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HorizontalLine"/>
        <w:jc w:val="center"/>
        <w:rPr/>
      </w:pPr>
      <w:r>
        <w:rPr/>
      </w:r>
    </w:p>
    <w:p>
      <w:pPr>
        <w:pStyle w:val="TextBody"/>
        <w:spacing w:before="0" w:after="0"/>
        <w:jc w:val="center"/>
        <w:rPr>
          <w:rFonts w:ascii="Times New Roman" w:hAnsi="Times New Roman"/>
          <w:b/>
          <w:color w:val="000000"/>
          <w:sz w:val="28"/>
        </w:rPr>
      </w:pPr>
      <w:r>
        <w:rPr>
          <w:rFonts w:ascii="Times New Roman" w:hAnsi="Times New Roman"/>
          <w:b/>
          <w:color w:val="000000"/>
          <w:sz w:val="28"/>
        </w:rPr>
        <w:t>UNITED STATES</w:t>
      </w:r>
    </w:p>
    <w:p>
      <w:pPr>
        <w:pStyle w:val="TextBody"/>
        <w:spacing w:before="0" w:after="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spacing w:before="0" w:after="0"/>
        <w:jc w:val="center"/>
        <w:rPr>
          <w:rFonts w:ascii="Times New Roman" w:hAnsi="Times New Roman"/>
          <w:b/>
          <w:color w:val="000000"/>
          <w:sz w:val="24"/>
        </w:rPr>
      </w:pPr>
      <w:r>
        <w:rPr>
          <w:rFonts w:ascii="Times New Roman" w:hAnsi="Times New Roman"/>
          <w:b/>
          <w:color w:val="000000"/>
          <w:sz w:val="24"/>
        </w:rPr>
        <w:t>WASHINGTON, DC 20549</w:t>
      </w:r>
    </w:p>
    <w:p>
      <w:pPr>
        <w:pStyle w:val="TextBody"/>
        <w:spacing w:before="0" w:after="0"/>
        <w:jc w:val="left"/>
        <w:rPr/>
      </w:pPr>
      <w:r>
        <w:rPr/>
      </w:r>
    </w:p>
    <w:p>
      <w:pPr>
        <w:pStyle w:val="HorizontalLine"/>
        <w:jc w:val="center"/>
        <w:rPr/>
      </w:pPr>
      <w:r>
        <w:rPr/>
      </w:r>
    </w:p>
    <w:p>
      <w:pPr>
        <w:pStyle w:val="TextBody"/>
        <w:spacing w:before="0" w:after="0"/>
        <w:jc w:val="left"/>
        <w:rPr/>
      </w:pPr>
      <w:r>
        <w:rPr/>
      </w:r>
    </w:p>
    <w:p>
      <w:pPr>
        <w:pStyle w:val="TextBody"/>
        <w:spacing w:before="0" w:after="0"/>
        <w:jc w:val="center"/>
        <w:rPr>
          <w:rFonts w:ascii="Times New Roman" w:hAnsi="Times New Roman"/>
          <w:b/>
          <w:color w:val="000000"/>
          <w:sz w:val="36"/>
        </w:rPr>
      </w:pPr>
      <w:r>
        <w:rPr>
          <w:rFonts w:ascii="Times New Roman" w:hAnsi="Times New Roman"/>
          <w:b/>
          <w:color w:val="000000"/>
          <w:sz w:val="36"/>
        </w:rPr>
        <w:t>FORM 10-Q</w:t>
      </w:r>
    </w:p>
    <w:p>
      <w:pPr>
        <w:pStyle w:val="TextBody"/>
        <w:spacing w:before="0" w:after="0"/>
        <w:jc w:val="left"/>
        <w:rPr/>
      </w:pPr>
      <w:r>
        <w:rPr/>
      </w:r>
    </w:p>
    <w:p>
      <w:pPr>
        <w:pStyle w:val="HorizontalLine"/>
        <w:jc w:val="center"/>
        <w:rPr/>
      </w:pPr>
      <w:r>
        <w:rPr/>
      </w:r>
    </w:p>
    <w:p>
      <w:pPr>
        <w:pStyle w:val="TextBody"/>
        <w:spacing w:before="0" w:after="0"/>
        <w:jc w:val="left"/>
        <w:rPr/>
      </w:pPr>
      <w:r>
        <w:rPr/>
      </w:r>
    </w:p>
    <w:p>
      <w:pPr>
        <w:pStyle w:val="TextBody"/>
        <w:spacing w:before="0" w:after="0"/>
        <w:jc w:val="left"/>
        <w:rPr>
          <w:rFonts w:ascii="Times New Roman" w:hAnsi="Times New Roman"/>
          <w:color w:val="000000"/>
          <w:sz w:val="20"/>
        </w:rPr>
      </w:pPr>
      <w:r>
        <w:rPr>
          <w:rFonts w:ascii="Times New Roman" w:hAnsi="Times New Roman"/>
          <w:color w:val="000000"/>
          <w:sz w:val="20"/>
        </w:rPr>
        <w:t>(Mark One)</w:t>
      </w:r>
    </w:p>
    <w:p>
      <w:pPr>
        <w:pStyle w:val="TextBody"/>
        <w:spacing w:before="0" w:after="0"/>
        <w:jc w:val="left"/>
        <w:rPr/>
      </w:pPr>
      <w:r>
        <w:rPr/>
      </w:r>
    </w:p>
    <w:tbl>
      <w:tblPr>
        <w:tblW w:w="10135" w:type="dxa"/>
        <w:jc w:val="left"/>
        <w:tblInd w:w="0" w:type="dxa"/>
        <w:tblCellMar>
          <w:top w:w="0" w:type="dxa"/>
          <w:left w:w="0" w:type="dxa"/>
          <w:bottom w:w="0" w:type="dxa"/>
          <w:right w:w="0" w:type="dxa"/>
        </w:tblCellMar>
      </w:tblPr>
      <w:tblGrid>
        <w:gridCol w:w="245"/>
        <w:gridCol w:w="9890"/>
      </w:tblGrid>
      <w:tr>
        <w:trPr/>
        <w:tc>
          <w:tcPr>
            <w:tcW w:w="245" w:type="dxa"/>
            <w:tcBorders/>
            <w:shd w:fill="auto" w:val="clear"/>
            <w:vAlign w:val="center"/>
          </w:tcPr>
          <w:p>
            <w:pPr>
              <w:pStyle w:val="TableContents"/>
              <w:spacing w:before="0" w:after="283"/>
              <w:rPr/>
            </w:pPr>
            <w:r>
              <w:rPr/>
              <w:t>☒</w:t>
            </w:r>
          </w:p>
        </w:tc>
        <w:tc>
          <w:tcPr>
            <w:tcW w:w="9890"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QUARTERLY REPORT PURSUANT TO SECTION 13 OR 15(d) OF THE SECURITIES EXCHANGE ACT OF 1934</w:t>
            </w:r>
          </w:p>
        </w:tc>
      </w:tr>
    </w:tbl>
    <w:p>
      <w:pPr>
        <w:pStyle w:val="TextBody"/>
        <w:spacing w:before="0" w:after="0"/>
        <w:jc w:val="left"/>
        <w:rPr/>
      </w:pPr>
      <w:r>
        <w:rPr/>
      </w:r>
    </w:p>
    <w:p>
      <w:pPr>
        <w:pStyle w:val="TextBody"/>
        <w:spacing w:before="0" w:after="0"/>
        <w:jc w:val="center"/>
        <w:rPr>
          <w:rFonts w:ascii="Times New Roman" w:hAnsi="Times New Roman"/>
          <w:b/>
          <w:color w:val="000000"/>
          <w:sz w:val="20"/>
        </w:rPr>
      </w:pPr>
      <w:r>
        <w:rPr>
          <w:rFonts w:ascii="Times New Roman" w:hAnsi="Times New Roman"/>
          <w:b/>
          <w:color w:val="000000"/>
          <w:sz w:val="20"/>
        </w:rPr>
        <w:t>For the quarterly period ended March 31, 2023</w:t>
      </w:r>
    </w:p>
    <w:p>
      <w:pPr>
        <w:pStyle w:val="TextBody"/>
        <w:spacing w:before="0" w:after="0"/>
        <w:jc w:val="left"/>
        <w:rPr/>
      </w:pPr>
      <w:r>
        <w:rPr/>
      </w:r>
    </w:p>
    <w:p>
      <w:pPr>
        <w:pStyle w:val="TextBody"/>
        <w:spacing w:before="0" w:after="0"/>
        <w:jc w:val="center"/>
        <w:rPr>
          <w:rFonts w:ascii="Times New Roman" w:hAnsi="Times New Roman"/>
          <w:b/>
          <w:color w:val="000000"/>
          <w:sz w:val="20"/>
        </w:rPr>
      </w:pPr>
      <w:r>
        <w:rPr>
          <w:rFonts w:ascii="Times New Roman" w:hAnsi="Times New Roman"/>
          <w:b/>
          <w:color w:val="000000"/>
          <w:sz w:val="20"/>
        </w:rPr>
        <w:t>OR</w:t>
      </w:r>
    </w:p>
    <w:p>
      <w:pPr>
        <w:pStyle w:val="TextBody"/>
        <w:spacing w:before="0" w:after="0"/>
        <w:jc w:val="left"/>
        <w:rPr/>
      </w:pPr>
      <w:r>
        <w:rPr/>
      </w:r>
    </w:p>
    <w:tbl>
      <w:tblPr>
        <w:tblW w:w="10120" w:type="dxa"/>
        <w:jc w:val="left"/>
        <w:tblInd w:w="0" w:type="dxa"/>
        <w:tblCellMar>
          <w:top w:w="0" w:type="dxa"/>
          <w:left w:w="0" w:type="dxa"/>
          <w:bottom w:w="0" w:type="dxa"/>
          <w:right w:w="0" w:type="dxa"/>
        </w:tblCellMar>
      </w:tblPr>
      <w:tblGrid>
        <w:gridCol w:w="245"/>
        <w:gridCol w:w="9875"/>
      </w:tblGrid>
      <w:tr>
        <w:trPr/>
        <w:tc>
          <w:tcPr>
            <w:tcW w:w="245" w:type="dxa"/>
            <w:tcBorders/>
            <w:shd w:fill="auto" w:val="clear"/>
            <w:vAlign w:val="center"/>
          </w:tcPr>
          <w:p>
            <w:pPr>
              <w:pStyle w:val="TableContents"/>
              <w:spacing w:before="0" w:after="283"/>
              <w:rPr/>
            </w:pPr>
            <w:r>
              <w:rPr/>
              <w:t>☐</w:t>
            </w:r>
          </w:p>
        </w:tc>
        <w:tc>
          <w:tcPr>
            <w:tcW w:w="9875"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TRANSITION REPORT PURSUANT TO SECTION 13 OR 15(d) OF THE SECURITIES EXCHANGE ACT OF 1934</w:t>
            </w:r>
          </w:p>
        </w:tc>
      </w:tr>
    </w:tbl>
    <w:p>
      <w:pPr>
        <w:pStyle w:val="TextBody"/>
        <w:spacing w:before="0" w:after="0"/>
        <w:jc w:val="left"/>
        <w:rPr/>
      </w:pPr>
      <w:r>
        <w:rPr/>
      </w:r>
    </w:p>
    <w:p>
      <w:pPr>
        <w:pStyle w:val="TextBody"/>
        <w:spacing w:before="0" w:after="0"/>
        <w:jc w:val="center"/>
        <w:rPr>
          <w:rFonts w:ascii="Times New Roman" w:hAnsi="Times New Roman"/>
          <w:b/>
          <w:color w:val="000000"/>
          <w:sz w:val="20"/>
        </w:rPr>
      </w:pPr>
      <w:r>
        <w:rPr>
          <w:rFonts w:ascii="Times New Roman" w:hAnsi="Times New Roman"/>
          <w:b/>
          <w:color w:val="000000"/>
          <w:sz w:val="20"/>
        </w:rPr>
        <w:t>For the transition period from ______ to ______</w:t>
      </w:r>
    </w:p>
    <w:p>
      <w:pPr>
        <w:pStyle w:val="TextBody"/>
        <w:spacing w:before="0" w:after="0"/>
        <w:jc w:val="left"/>
        <w:rPr/>
      </w:pPr>
      <w:r>
        <w:rPr/>
      </w:r>
    </w:p>
    <w:p>
      <w:pPr>
        <w:pStyle w:val="TextBody"/>
        <w:spacing w:before="0" w:after="0"/>
        <w:jc w:val="center"/>
        <w:rPr>
          <w:rFonts w:ascii="Times New Roman" w:hAnsi="Times New Roman"/>
          <w:b/>
          <w:color w:val="000000"/>
          <w:sz w:val="20"/>
        </w:rPr>
      </w:pPr>
      <w:r>
        <w:rPr>
          <w:rFonts w:ascii="Times New Roman" w:hAnsi="Times New Roman"/>
          <w:b/>
          <w:color w:val="000000"/>
          <w:sz w:val="20"/>
        </w:rPr>
        <w:t>Commission File Number: 001-38895</w:t>
      </w:r>
    </w:p>
    <w:p>
      <w:pPr>
        <w:pStyle w:val="TextBody"/>
        <w:spacing w:before="0" w:after="0"/>
        <w:jc w:val="left"/>
        <w:rPr/>
      </w:pPr>
      <w:r>
        <w:rPr/>
      </w:r>
    </w:p>
    <w:p>
      <w:pPr>
        <w:pStyle w:val="HorizontalLine"/>
        <w:jc w:val="center"/>
        <w:rPr/>
      </w:pPr>
      <w:r>
        <w:rPr/>
      </w:r>
    </w:p>
    <w:p>
      <w:pPr>
        <w:pStyle w:val="TextBody"/>
        <w:spacing w:before="0" w:after="0"/>
        <w:jc w:val="left"/>
        <w:rPr/>
      </w:pPr>
      <w:r>
        <w:rPr/>
      </w:r>
    </w:p>
    <w:p>
      <w:pPr>
        <w:pStyle w:val="TextBody"/>
        <w:spacing w:before="0" w:after="0"/>
        <w:jc w:val="center"/>
        <w:rPr>
          <w:rFonts w:ascii="Times New Roman" w:hAnsi="Times New Roman"/>
          <w:b/>
          <w:color w:val="000000"/>
          <w:sz w:val="48"/>
        </w:rPr>
      </w:pPr>
      <w:r>
        <w:rPr>
          <w:rFonts w:ascii="Times New Roman" w:hAnsi="Times New Roman"/>
          <w:b/>
          <w:color w:val="000000"/>
          <w:sz w:val="48"/>
        </w:rPr>
        <w:t>South Plains Financial, Inc.</w:t>
      </w:r>
    </w:p>
    <w:p>
      <w:pPr>
        <w:pStyle w:val="TextBody"/>
        <w:spacing w:before="0" w:after="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spacing w:before="0" w:after="0"/>
        <w:jc w:val="left"/>
        <w:rPr/>
      </w:pPr>
      <w:r>
        <w:rPr/>
      </w:r>
    </w:p>
    <w:tbl>
      <w:tblPr>
        <w:tblW w:w="7855" w:type="dxa"/>
        <w:jc w:val="left"/>
        <w:tblInd w:w="0" w:type="dxa"/>
        <w:tblCellMar>
          <w:top w:w="0" w:type="dxa"/>
          <w:left w:w="0" w:type="dxa"/>
          <w:bottom w:w="0" w:type="dxa"/>
          <w:right w:w="0" w:type="dxa"/>
        </w:tblCellMar>
      </w:tblPr>
      <w:tblGrid>
        <w:gridCol w:w="4880"/>
        <w:gridCol w:w="60"/>
        <w:gridCol w:w="2915"/>
      </w:tblGrid>
      <w:tr>
        <w:trPr/>
        <w:tc>
          <w:tcPr>
            <w:tcW w:w="4880" w:type="dxa"/>
            <w:tcBorders/>
            <w:shd w:fill="auto" w:val="clear"/>
            <w:vAlign w:val="center"/>
          </w:tcPr>
          <w:p>
            <w:pPr>
              <w:pStyle w:val="TableContents"/>
              <w:spacing w:before="0" w:after="0"/>
              <w:jc w:val="center"/>
              <w:rPr/>
            </w:pPr>
            <w:r>
              <w:rPr/>
              <w:t> </w:t>
            </w:r>
            <w:r>
              <w:rPr>
                <w:rFonts w:ascii="Times New Roman" w:hAnsi="Times New Roman"/>
                <w:b/>
                <w:sz w:val="20"/>
              </w:rPr>
              <w:t>Texas</w:t>
            </w:r>
          </w:p>
        </w:tc>
        <w:tc>
          <w:tcPr>
            <w:tcW w:w="60" w:type="dxa"/>
            <w:tcBorders/>
            <w:shd w:fill="auto" w:val="clear"/>
            <w:vAlign w:val="center"/>
          </w:tcPr>
          <w:p>
            <w:pPr>
              <w:pStyle w:val="TableContents"/>
              <w:spacing w:before="0" w:after="283"/>
              <w:rPr/>
            </w:pPr>
            <w:r>
              <w:rPr/>
              <w:t> </w:t>
            </w:r>
          </w:p>
        </w:tc>
        <w:tc>
          <w:tcPr>
            <w:tcW w:w="2915" w:type="dxa"/>
            <w:tcBorders/>
            <w:shd w:fill="auto" w:val="clear"/>
            <w:vAlign w:val="center"/>
          </w:tcPr>
          <w:p>
            <w:pPr>
              <w:pStyle w:val="TableContents"/>
              <w:spacing w:before="0" w:after="0"/>
              <w:jc w:val="center"/>
              <w:rPr>
                <w:rFonts w:ascii="Times New Roman" w:hAnsi="Times New Roman"/>
                <w:b/>
                <w:sz w:val="20"/>
              </w:rPr>
            </w:pPr>
            <w:r>
              <w:rPr>
                <w:rFonts w:ascii="Times New Roman" w:hAnsi="Times New Roman"/>
                <w:b/>
                <w:sz w:val="20"/>
              </w:rPr>
              <w:t>75-2453320</w:t>
            </w:r>
          </w:p>
        </w:tc>
      </w:tr>
      <w:tr>
        <w:trPr/>
        <w:tc>
          <w:tcPr>
            <w:tcW w:w="4880" w:type="dxa"/>
            <w:tcBorders/>
            <w:shd w:fill="auto" w:val="clear"/>
            <w:vAlign w:val="center"/>
          </w:tcPr>
          <w:p>
            <w:pPr>
              <w:pStyle w:val="TableContents"/>
              <w:spacing w:before="0" w:after="0"/>
              <w:jc w:val="center"/>
              <w:rPr>
                <w:rFonts w:ascii="Times New Roman" w:hAnsi="Times New Roman"/>
                <w:sz w:val="20"/>
              </w:rPr>
            </w:pPr>
            <w:r>
              <w:rPr>
                <w:rFonts w:ascii="Times New Roman" w:hAnsi="Times New Roman"/>
                <w:sz w:val="20"/>
              </w:rPr>
              <w:t>(State or other jurisdiction of incorporation or organization)</w:t>
            </w:r>
          </w:p>
        </w:tc>
        <w:tc>
          <w:tcPr>
            <w:tcW w:w="60" w:type="dxa"/>
            <w:tcBorders/>
            <w:shd w:fill="auto" w:val="clear"/>
            <w:vAlign w:val="center"/>
          </w:tcPr>
          <w:p>
            <w:pPr>
              <w:pStyle w:val="TableContents"/>
              <w:spacing w:before="0" w:after="283"/>
              <w:rPr/>
            </w:pPr>
            <w:r>
              <w:rPr/>
              <w:t> </w:t>
            </w:r>
          </w:p>
        </w:tc>
        <w:tc>
          <w:tcPr>
            <w:tcW w:w="2915" w:type="dxa"/>
            <w:tcBorders/>
            <w:shd w:fill="auto" w:val="clear"/>
            <w:vAlign w:val="center"/>
          </w:tcPr>
          <w:p>
            <w:pPr>
              <w:pStyle w:val="TableContents"/>
              <w:spacing w:before="0" w:after="0"/>
              <w:jc w:val="center"/>
              <w:rPr>
                <w:rFonts w:ascii="Times New Roman" w:hAnsi="Times New Roman"/>
                <w:sz w:val="20"/>
              </w:rPr>
            </w:pPr>
            <w:r>
              <w:rPr>
                <w:rFonts w:ascii="Times New Roman" w:hAnsi="Times New Roman"/>
                <w:sz w:val="20"/>
              </w:rPr>
              <w:t>(I.R.S. Employer Identification No.)</w:t>
            </w:r>
          </w:p>
        </w:tc>
      </w:tr>
      <w:tr>
        <w:trPr/>
        <w:tc>
          <w:tcPr>
            <w:tcW w:w="48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915" w:type="dxa"/>
            <w:tcBorders/>
            <w:shd w:fill="auto" w:val="clear"/>
            <w:vAlign w:val="center"/>
          </w:tcPr>
          <w:p>
            <w:pPr>
              <w:pStyle w:val="TableContents"/>
              <w:spacing w:before="0" w:after="283"/>
              <w:rPr/>
            </w:pPr>
            <w:r>
              <w:rPr/>
              <w:t> </w:t>
            </w:r>
          </w:p>
        </w:tc>
      </w:tr>
      <w:tr>
        <w:trPr/>
        <w:tc>
          <w:tcPr>
            <w:tcW w:w="4880" w:type="dxa"/>
            <w:tcBorders/>
            <w:shd w:fill="auto" w:val="clear"/>
            <w:vAlign w:val="center"/>
          </w:tcPr>
          <w:p>
            <w:pPr>
              <w:pStyle w:val="TableContents"/>
              <w:spacing w:before="0" w:after="0"/>
              <w:jc w:val="center"/>
              <w:rPr>
                <w:rFonts w:ascii="Times New Roman" w:hAnsi="Times New Roman"/>
                <w:b/>
                <w:sz w:val="20"/>
              </w:rPr>
            </w:pPr>
            <w:r>
              <w:rPr>
                <w:rFonts w:ascii="Times New Roman" w:hAnsi="Times New Roman"/>
                <w:b/>
                <w:sz w:val="20"/>
              </w:rPr>
              <w:t>5219 City Bank Parkway</w:t>
            </w:r>
          </w:p>
          <w:p>
            <w:pPr>
              <w:pStyle w:val="TableContents"/>
              <w:spacing w:before="0" w:after="0"/>
              <w:jc w:val="center"/>
              <w:rPr>
                <w:rFonts w:ascii="Times New Roman" w:hAnsi="Times New Roman"/>
                <w:b/>
                <w:sz w:val="20"/>
              </w:rPr>
            </w:pPr>
            <w:r>
              <w:rPr>
                <w:rFonts w:ascii="Times New Roman" w:hAnsi="Times New Roman"/>
                <w:b/>
                <w:sz w:val="20"/>
              </w:rPr>
              <w:t>Lubbock, Texas</w:t>
            </w:r>
          </w:p>
        </w:tc>
        <w:tc>
          <w:tcPr>
            <w:tcW w:w="60" w:type="dxa"/>
            <w:tcBorders/>
            <w:shd w:fill="auto" w:val="clear"/>
            <w:vAlign w:val="center"/>
          </w:tcPr>
          <w:p>
            <w:pPr>
              <w:pStyle w:val="TableContents"/>
              <w:spacing w:before="0" w:after="283"/>
              <w:rPr/>
            </w:pPr>
            <w:r>
              <w:rPr/>
              <w:t> </w:t>
            </w:r>
          </w:p>
        </w:tc>
        <w:tc>
          <w:tcPr>
            <w:tcW w:w="2915" w:type="dxa"/>
            <w:tcBorders/>
            <w:shd w:fill="auto" w:val="clear"/>
            <w:vAlign w:val="center"/>
          </w:tcPr>
          <w:p>
            <w:pPr>
              <w:pStyle w:val="TableContents"/>
              <w:spacing w:before="0" w:after="0"/>
              <w:jc w:val="center"/>
              <w:rPr>
                <w:rFonts w:ascii="Times New Roman" w:hAnsi="Times New Roman"/>
                <w:b/>
                <w:sz w:val="20"/>
              </w:rPr>
            </w:pPr>
            <w:r>
              <w:rPr>
                <w:rFonts w:ascii="Times New Roman" w:hAnsi="Times New Roman"/>
                <w:b/>
                <w:sz w:val="20"/>
              </w:rPr>
              <w:t>79407</w:t>
            </w:r>
          </w:p>
        </w:tc>
      </w:tr>
      <w:tr>
        <w:trPr/>
        <w:tc>
          <w:tcPr>
            <w:tcW w:w="4880" w:type="dxa"/>
            <w:tcBorders/>
            <w:shd w:fill="auto" w:val="clear"/>
            <w:vAlign w:val="center"/>
          </w:tcPr>
          <w:p>
            <w:pPr>
              <w:pStyle w:val="TableContents"/>
              <w:spacing w:before="0" w:after="0"/>
              <w:jc w:val="center"/>
              <w:rPr>
                <w:rFonts w:ascii="Times New Roman" w:hAnsi="Times New Roman"/>
                <w:sz w:val="20"/>
              </w:rPr>
            </w:pPr>
            <w:r>
              <w:rPr>
                <w:rFonts w:ascii="Times New Roman" w:hAnsi="Times New Roman"/>
                <w:sz w:val="20"/>
              </w:rPr>
              <w:t>(Address of principal executive offices)</w:t>
            </w:r>
          </w:p>
        </w:tc>
        <w:tc>
          <w:tcPr>
            <w:tcW w:w="60" w:type="dxa"/>
            <w:tcBorders/>
            <w:shd w:fill="auto" w:val="clear"/>
            <w:vAlign w:val="center"/>
          </w:tcPr>
          <w:p>
            <w:pPr>
              <w:pStyle w:val="TableContents"/>
              <w:spacing w:before="0" w:after="283"/>
              <w:rPr/>
            </w:pPr>
            <w:r>
              <w:rPr/>
              <w:t> </w:t>
            </w:r>
          </w:p>
        </w:tc>
        <w:tc>
          <w:tcPr>
            <w:tcW w:w="2915" w:type="dxa"/>
            <w:tcBorders/>
            <w:shd w:fill="auto" w:val="clear"/>
            <w:vAlign w:val="center"/>
          </w:tcPr>
          <w:p>
            <w:pPr>
              <w:pStyle w:val="TableContents"/>
              <w:spacing w:before="0" w:after="0"/>
              <w:jc w:val="center"/>
              <w:rPr>
                <w:rFonts w:ascii="Times New Roman" w:hAnsi="Times New Roman"/>
                <w:sz w:val="20"/>
              </w:rPr>
            </w:pPr>
            <w:r>
              <w:rPr>
                <w:rFonts w:ascii="Times New Roman" w:hAnsi="Times New Roman"/>
                <w:sz w:val="20"/>
              </w:rPr>
              <w:t>(Zip Code)</w:t>
            </w:r>
          </w:p>
        </w:tc>
      </w:tr>
    </w:tbl>
    <w:p>
      <w:pPr>
        <w:pStyle w:val="TextBody"/>
        <w:spacing w:before="0" w:after="0"/>
        <w:jc w:val="left"/>
        <w:rPr/>
      </w:pPr>
      <w:r>
        <w:rPr/>
      </w:r>
    </w:p>
    <w:p>
      <w:pPr>
        <w:pStyle w:val="TextBody"/>
        <w:spacing w:before="0" w:after="0"/>
        <w:jc w:val="center"/>
        <w:rPr>
          <w:rFonts w:ascii="Times New Roman" w:hAnsi="Times New Roman"/>
          <w:b/>
          <w:color w:val="000000"/>
          <w:sz w:val="20"/>
        </w:rPr>
      </w:pPr>
      <w:r>
        <w:rPr>
          <w:rFonts w:ascii="Times New Roman" w:hAnsi="Times New Roman"/>
          <w:b/>
          <w:color w:val="000000"/>
          <w:sz w:val="20"/>
        </w:rPr>
        <w:t>Registrant’s telephone number, including area code: (806) 792-7101</w:t>
      </w:r>
    </w:p>
    <w:p>
      <w:pPr>
        <w:pStyle w:val="TextBody"/>
        <w:spacing w:before="0" w:after="0"/>
        <w:jc w:val="left"/>
        <w:rPr/>
      </w:pPr>
      <w:r>
        <w:rPr/>
      </w:r>
    </w:p>
    <w:p>
      <w:pPr>
        <w:pStyle w:val="TextBody"/>
        <w:spacing w:before="0" w:after="0"/>
        <w:ind w:left="0" w:right="0" w:firstLine="720"/>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spacing w:before="0" w:after="0"/>
        <w:ind w:left="0" w:right="0" w:firstLine="720"/>
        <w:jc w:val="left"/>
        <w:rPr>
          <w:rFonts w:ascii="Times New Roman" w:hAnsi="Times New Roman"/>
          <w:sz w:val="20"/>
        </w:rPr>
      </w:pPr>
      <w:r>
        <w:rPr>
          <w:rFonts w:ascii="Times New Roman" w:hAnsi="Times New Roman"/>
          <w:sz w:val="20"/>
        </w:rPr>
      </w:r>
    </w:p>
    <w:tbl>
      <w:tblPr>
        <w:tblW w:w="8535" w:type="dxa"/>
        <w:jc w:val="left"/>
        <w:tblInd w:w="0" w:type="dxa"/>
        <w:tblCellMar>
          <w:top w:w="28" w:type="dxa"/>
          <w:left w:w="28" w:type="dxa"/>
          <w:bottom w:w="28" w:type="dxa"/>
          <w:right w:w="28" w:type="dxa"/>
        </w:tblCellMar>
      </w:tblPr>
      <w:tblGrid>
        <w:gridCol w:w="3410"/>
        <w:gridCol w:w="1535"/>
        <w:gridCol w:w="3590"/>
      </w:tblGrid>
      <w:tr>
        <w:trPr/>
        <w:tc>
          <w:tcPr>
            <w:tcW w:w="341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jc w:val="center"/>
              <w:rPr>
                <w:rFonts w:ascii="Times New Roman" w:hAnsi="Times New Roman"/>
                <w:sz w:val="20"/>
              </w:rPr>
            </w:pPr>
            <w:r>
              <w:rPr>
                <w:rFonts w:ascii="Times New Roman" w:hAnsi="Times New Roman"/>
                <w:sz w:val="20"/>
              </w:rPr>
              <w:t>Title of each class</w:t>
            </w:r>
          </w:p>
        </w:tc>
        <w:tc>
          <w:tcPr>
            <w:tcW w:w="1535"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jc w:val="center"/>
              <w:rPr>
                <w:rFonts w:ascii="Times New Roman" w:hAnsi="Times New Roman"/>
                <w:sz w:val="20"/>
              </w:rPr>
            </w:pPr>
            <w:r>
              <w:rPr>
                <w:rFonts w:ascii="Times New Roman" w:hAnsi="Times New Roman"/>
                <w:sz w:val="20"/>
              </w:rPr>
              <w:t>Trading Symbol(s)</w:t>
            </w:r>
          </w:p>
        </w:tc>
        <w:tc>
          <w:tcPr>
            <w:tcW w:w="359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jc w:val="center"/>
              <w:rPr>
                <w:rFonts w:ascii="Times New Roman" w:hAnsi="Times New Roman"/>
                <w:sz w:val="20"/>
              </w:rPr>
            </w:pPr>
            <w:r>
              <w:rPr>
                <w:rFonts w:ascii="Times New Roman" w:hAnsi="Times New Roman"/>
                <w:sz w:val="20"/>
              </w:rPr>
              <w:t>Name of each exchange on which registered</w:t>
            </w:r>
          </w:p>
        </w:tc>
      </w:tr>
      <w:tr>
        <w:trPr/>
        <w:tc>
          <w:tcPr>
            <w:tcW w:w="341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jc w:val="center"/>
              <w:rPr>
                <w:rFonts w:ascii="Times New Roman" w:hAnsi="Times New Roman"/>
                <w:sz w:val="20"/>
              </w:rPr>
            </w:pPr>
            <w:r>
              <w:rPr>
                <w:rFonts w:ascii="Times New Roman" w:hAnsi="Times New Roman"/>
                <w:sz w:val="20"/>
              </w:rPr>
              <w:t>Common Stock, $1.00 par value per share</w:t>
            </w:r>
          </w:p>
        </w:tc>
        <w:tc>
          <w:tcPr>
            <w:tcW w:w="1535"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jc w:val="center"/>
              <w:rPr>
                <w:rFonts w:ascii="Times New Roman" w:hAnsi="Times New Roman"/>
                <w:sz w:val="20"/>
              </w:rPr>
            </w:pPr>
            <w:r>
              <w:rPr>
                <w:rFonts w:ascii="Times New Roman" w:hAnsi="Times New Roman"/>
                <w:sz w:val="20"/>
              </w:rPr>
              <w:t>SPFI</w:t>
            </w:r>
          </w:p>
        </w:tc>
        <w:tc>
          <w:tcPr>
            <w:tcW w:w="3590" w:type="dxa"/>
            <w:tcBorders>
              <w:top w:val="single" w:sz="12" w:space="0" w:color="000000"/>
              <w:left w:val="single" w:sz="12" w:space="0" w:color="000000"/>
              <w:bottom w:val="single" w:sz="12" w:space="0" w:color="000000"/>
              <w:right w:val="single" w:sz="12" w:space="0" w:color="000000"/>
            </w:tcBorders>
            <w:shd w:fill="auto" w:val="clear"/>
            <w:vAlign w:val="center"/>
          </w:tcPr>
          <w:p>
            <w:pPr>
              <w:pStyle w:val="TableContents"/>
              <w:spacing w:before="0" w:after="0"/>
              <w:jc w:val="center"/>
              <w:rPr>
                <w:rFonts w:ascii="Times New Roman" w:hAnsi="Times New Roman"/>
                <w:sz w:val="20"/>
              </w:rPr>
            </w:pPr>
            <w:r>
              <w:rPr>
                <w:rFonts w:ascii="Times New Roman" w:hAnsi="Times New Roman"/>
                <w:sz w:val="20"/>
              </w:rPr>
              <w:t>The Nasdaq Stock Market, LLC</w:t>
            </w:r>
          </w:p>
        </w:tc>
      </w:tr>
    </w:tbl>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spacing w:before="0" w:after="0"/>
        <w:jc w:val="left"/>
        <w:rPr/>
      </w:pPr>
      <w:r>
        <w:rPr/>
      </w:r>
    </w:p>
    <w:tbl>
      <w:tblPr>
        <w:tblW w:w="4595" w:type="dxa"/>
        <w:jc w:val="left"/>
        <w:tblInd w:w="0" w:type="dxa"/>
        <w:tblCellMar>
          <w:top w:w="0" w:type="dxa"/>
          <w:left w:w="0" w:type="dxa"/>
          <w:bottom w:w="0" w:type="dxa"/>
          <w:right w:w="0" w:type="dxa"/>
        </w:tblCellMar>
      </w:tblPr>
      <w:tblGrid>
        <w:gridCol w:w="1835"/>
        <w:gridCol w:w="230"/>
        <w:gridCol w:w="60"/>
        <w:gridCol w:w="2225"/>
        <w:gridCol w:w="245"/>
      </w:tblGrid>
      <w:tr>
        <w:trPr/>
        <w:tc>
          <w:tcPr>
            <w:tcW w:w="183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Large accelerated filer</w:t>
            </w:r>
          </w:p>
        </w:tc>
        <w:tc>
          <w:tcPr>
            <w:tcW w:w="230" w:type="dxa"/>
            <w:tcBorders/>
            <w:shd w:fill="auto" w:val="clear"/>
            <w:vAlign w:val="center"/>
          </w:tcPr>
          <w:p>
            <w:pPr>
              <w:pStyle w:val="TableContents"/>
              <w:spacing w:before="0" w:after="0"/>
              <w:jc w:val="left"/>
              <w:rPr/>
            </w:pPr>
            <w:r>
              <w:rPr/>
              <w:t>☐</w:t>
            </w:r>
          </w:p>
        </w:tc>
        <w:tc>
          <w:tcPr>
            <w:tcW w:w="60" w:type="dxa"/>
            <w:tcBorders/>
            <w:shd w:fill="auto" w:val="clear"/>
            <w:vAlign w:val="center"/>
          </w:tcPr>
          <w:p>
            <w:pPr>
              <w:pStyle w:val="TableContents"/>
              <w:spacing w:before="0" w:after="283"/>
              <w:rPr/>
            </w:pPr>
            <w:r>
              <w:rPr/>
              <w:t> </w:t>
            </w:r>
          </w:p>
        </w:tc>
        <w:tc>
          <w:tcPr>
            <w:tcW w:w="222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Accelerated filer</w:t>
            </w:r>
          </w:p>
        </w:tc>
        <w:tc>
          <w:tcPr>
            <w:tcW w:w="245" w:type="dxa"/>
            <w:tcBorders/>
            <w:shd w:fill="auto" w:val="clear"/>
            <w:vAlign w:val="center"/>
          </w:tcPr>
          <w:p>
            <w:pPr>
              <w:pStyle w:val="TableContents"/>
              <w:spacing w:before="0" w:after="0"/>
              <w:jc w:val="left"/>
              <w:rPr/>
            </w:pPr>
            <w:r>
              <w:rPr/>
              <w:t>☒</w:t>
            </w:r>
          </w:p>
        </w:tc>
      </w:tr>
      <w:tr>
        <w:trPr/>
        <w:tc>
          <w:tcPr>
            <w:tcW w:w="183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Non-accelerated filer</w:t>
            </w:r>
          </w:p>
        </w:tc>
        <w:tc>
          <w:tcPr>
            <w:tcW w:w="230" w:type="dxa"/>
            <w:tcBorders/>
            <w:shd w:fill="auto" w:val="clear"/>
            <w:vAlign w:val="center"/>
          </w:tcPr>
          <w:p>
            <w:pPr>
              <w:pStyle w:val="TableContents"/>
              <w:spacing w:before="0" w:after="0"/>
              <w:jc w:val="left"/>
              <w:rPr/>
            </w:pPr>
            <w:r>
              <w:rPr/>
              <w:t>☐</w:t>
            </w:r>
          </w:p>
        </w:tc>
        <w:tc>
          <w:tcPr>
            <w:tcW w:w="60" w:type="dxa"/>
            <w:tcBorders/>
            <w:shd w:fill="auto" w:val="clear"/>
            <w:vAlign w:val="center"/>
          </w:tcPr>
          <w:p>
            <w:pPr>
              <w:pStyle w:val="TableContents"/>
              <w:spacing w:before="0" w:after="283"/>
              <w:rPr/>
            </w:pPr>
            <w:r>
              <w:rPr/>
              <w:t> </w:t>
            </w:r>
          </w:p>
        </w:tc>
        <w:tc>
          <w:tcPr>
            <w:tcW w:w="222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Smaller reporting company</w:t>
            </w:r>
          </w:p>
        </w:tc>
        <w:tc>
          <w:tcPr>
            <w:tcW w:w="245" w:type="dxa"/>
            <w:tcBorders/>
            <w:shd w:fill="auto" w:val="clear"/>
            <w:vAlign w:val="center"/>
          </w:tcPr>
          <w:p>
            <w:pPr>
              <w:pStyle w:val="TableContents"/>
              <w:spacing w:before="0" w:after="0"/>
              <w:jc w:val="left"/>
              <w:rPr/>
            </w:pPr>
            <w:r>
              <w:rPr/>
              <w:t>☐</w:t>
            </w:r>
          </w:p>
        </w:tc>
      </w:tr>
      <w:tr>
        <w:trPr/>
        <w:tc>
          <w:tcPr>
            <w:tcW w:w="183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22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Emerging growth company</w:t>
            </w:r>
          </w:p>
        </w:tc>
        <w:tc>
          <w:tcPr>
            <w:tcW w:w="245" w:type="dxa"/>
            <w:tcBorders/>
            <w:shd w:fill="auto" w:val="clear"/>
            <w:vAlign w:val="center"/>
          </w:tcPr>
          <w:p>
            <w:pPr>
              <w:pStyle w:val="TableContents"/>
              <w:spacing w:before="0" w:after="0"/>
              <w:jc w:val="left"/>
              <w:rPr/>
            </w:pPr>
            <w:r>
              <w:rPr/>
              <w:t>☒</w:t>
            </w:r>
          </w:p>
        </w:tc>
      </w:tr>
    </w:tbl>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12b-2 of the Exchange Act). Yes  ☐  No  ☒</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As of May 5, 2023, the registrant had 17,063,394 shares of common stock, par value $1.00 per share, outstanding.</w:t>
      </w:r>
    </w:p>
    <w:p>
      <w:pPr>
        <w:pStyle w:val="TextBody"/>
        <w:spacing w:before="0" w:after="0"/>
        <w:jc w:val="both"/>
        <w:rPr>
          <w:rFonts w:ascii="Times New Roman" w:hAnsi="Times New Roman"/>
          <w:sz w:val="20"/>
        </w:rPr>
      </w:pPr>
      <w:r>
        <w:rPr>
          <w:rFonts w:ascii="Times New Roman" w:hAnsi="Times New Roman"/>
          <w:sz w:val="20"/>
        </w:rPr>
      </w:r>
    </w:p>
    <w:p>
      <w:pPr>
        <w:pStyle w:val="HorizontalLine"/>
        <w:jc w:val="both"/>
        <w:rPr/>
      </w:pPr>
      <w:r>
        <w:rPr/>
      </w:r>
    </w:p>
    <w:p>
      <w:pPr>
        <w:pStyle w:val="TextBody"/>
        <w:spacing w:before="200" w:after="200"/>
        <w:jc w:val="left"/>
        <w:rPr/>
      </w:pPr>
      <w:r>
        <w:rPr/>
      </w:r>
    </w:p>
    <w:p>
      <w:pPr>
        <w:pStyle w:val="HorizontalLine"/>
        <w:spacing w:before="200" w:after="200"/>
        <w:jc w:val="left"/>
        <w:rPr/>
      </w:pPr>
      <w:r>
        <w:rPr/>
      </w:r>
    </w:p>
    <w:p>
      <w:pPr>
        <w:pStyle w:val="TextBody"/>
        <w:spacing w:before="0" w:after="0"/>
        <w:ind w:left="0" w:right="0" w:hanging="0"/>
        <w:jc w:val="left"/>
        <w:rPr/>
      </w:pPr>
      <w:r>
        <w:rPr/>
      </w:r>
    </w:p>
    <w:p>
      <w:pPr>
        <w:pStyle w:val="TextBody"/>
        <w:spacing w:before="0" w:after="0"/>
        <w:jc w:val="center"/>
        <w:rPr>
          <w:rFonts w:ascii="Times New Roman" w:hAnsi="Times New Roman"/>
          <w:b/>
          <w:color w:val="000000"/>
          <w:sz w:val="20"/>
        </w:rPr>
      </w:pPr>
      <w:bookmarkStart w:id="0" w:name="TABLEOFCONTENTS"/>
      <w:bookmarkEnd w:id="0"/>
      <w:r>
        <w:rPr>
          <w:rFonts w:ascii="Times New Roman" w:hAnsi="Times New Roman"/>
          <w:b/>
          <w:color w:val="000000"/>
          <w:sz w:val="20"/>
        </w:rPr>
        <w:t>TABLE OF CONTENTS</w:t>
      </w:r>
    </w:p>
    <w:p>
      <w:pPr>
        <w:pStyle w:val="TextBody"/>
        <w:spacing w:before="0" w:after="0"/>
        <w:jc w:val="left"/>
        <w:rPr/>
      </w:pPr>
      <w:r>
        <w:rPr/>
      </w:r>
    </w:p>
    <w:tbl>
      <w:tblPr>
        <w:tblW w:w="8535" w:type="dxa"/>
        <w:jc w:val="left"/>
        <w:tblInd w:w="0" w:type="dxa"/>
        <w:tblCellMar>
          <w:top w:w="0" w:type="dxa"/>
          <w:left w:w="0" w:type="dxa"/>
          <w:bottom w:w="0" w:type="dxa"/>
          <w:right w:w="0" w:type="dxa"/>
        </w:tblCellMar>
      </w:tblPr>
      <w:tblGrid>
        <w:gridCol w:w="800"/>
        <w:gridCol w:w="7280"/>
        <w:gridCol w:w="455"/>
      </w:tblGrid>
      <w:tr>
        <w:trPr/>
        <w:tc>
          <w:tcPr>
            <w:tcW w:w="800" w:type="dxa"/>
            <w:tcBorders/>
            <w:shd w:fill="auto" w:val="clear"/>
            <w:vAlign w:val="center"/>
          </w:tcPr>
          <w:p>
            <w:pPr>
              <w:pStyle w:val="TableContents"/>
              <w:spacing w:before="0" w:after="283"/>
              <w:rPr/>
            </w:pPr>
            <w:r>
              <w:rPr/>
              <w:t> </w:t>
            </w:r>
          </w:p>
        </w:tc>
        <w:tc>
          <w:tcPr>
            <w:tcW w:w="7280" w:type="dxa"/>
            <w:tcBorders/>
            <w:shd w:fill="auto" w:val="clear"/>
            <w:vAlign w:val="center"/>
          </w:tcPr>
          <w:p>
            <w:pPr>
              <w:pStyle w:val="TableContents"/>
              <w:spacing w:before="0" w:after="283"/>
              <w:rPr/>
            </w:pPr>
            <w:r>
              <w:rPr/>
              <w:t> </w:t>
            </w:r>
          </w:p>
        </w:tc>
        <w:tc>
          <w:tcPr>
            <w:tcW w:w="455" w:type="dxa"/>
            <w:tcBorders>
              <w:bottom w:val="single" w:sz="12" w:space="0" w:color="000000"/>
            </w:tcBorders>
            <w:shd w:fill="auto" w:val="clear"/>
            <w:tcMar>
              <w:bottom w:w="28" w:type="dxa"/>
            </w:tcMar>
            <w:vAlign w:val="center"/>
          </w:tcPr>
          <w:p>
            <w:pPr>
              <w:pStyle w:val="TableContents"/>
              <w:spacing w:before="0" w:after="0"/>
              <w:jc w:val="center"/>
              <w:rPr>
                <w:rFonts w:ascii="Times New Roman" w:hAnsi="Times New Roman"/>
                <w:b/>
                <w:sz w:val="20"/>
              </w:rPr>
            </w:pPr>
            <w:r>
              <w:rPr>
                <w:rFonts w:ascii="Times New Roman" w:hAnsi="Times New Roman"/>
                <w:b/>
                <w:sz w:val="20"/>
              </w:rPr>
              <w:t>Page</w:t>
            </w:r>
          </w:p>
        </w:tc>
      </w:tr>
      <w:tr>
        <w:trPr/>
        <w:tc>
          <w:tcPr>
            <w:tcW w:w="800" w:type="dxa"/>
            <w:tcBorders/>
            <w:shd w:fill="CCEEFF" w:val="clear"/>
            <w:vAlign w:val="center"/>
          </w:tcPr>
          <w:p>
            <w:pPr>
              <w:pStyle w:val="TableContents"/>
              <w:spacing w:before="0" w:after="0"/>
              <w:jc w:val="left"/>
              <w:rPr>
                <w:rFonts w:ascii="Times New Roman" w:hAnsi="Times New Roman"/>
                <w:b/>
                <w:sz w:val="20"/>
              </w:rPr>
            </w:pPr>
            <w:r>
              <w:rPr>
                <w:rFonts w:ascii="Times New Roman" w:hAnsi="Times New Roman"/>
                <w:b/>
                <w:sz w:val="20"/>
              </w:rPr>
              <w:t>PART I.</w:t>
            </w:r>
          </w:p>
        </w:tc>
        <w:tc>
          <w:tcPr>
            <w:tcW w:w="7280" w:type="dxa"/>
            <w:tcBorders/>
            <w:shd w:fill="CCEEFF" w:val="clear"/>
            <w:vAlign w:val="center"/>
          </w:tcPr>
          <w:p>
            <w:pPr>
              <w:pStyle w:val="TableContents"/>
              <w:spacing w:before="0" w:after="0"/>
              <w:jc w:val="left"/>
              <w:rPr/>
            </w:pPr>
            <w:hyperlink w:anchor="PARTI.FINANCIALINFORMATIO">
              <w:r>
                <w:rPr>
                  <w:rStyle w:val="InternetLink"/>
                  <w:rFonts w:ascii="Times New Roman" w:hAnsi="Times New Roman"/>
                  <w:b w:val="false"/>
                  <w:i w:val="false"/>
                  <w:caps w:val="false"/>
                  <w:smallCaps w:val="false"/>
                  <w:color w:val="000000"/>
                  <w:sz w:val="20"/>
                </w:rPr>
                <w:t>FINANCIAL INFORMATION</w:t>
              </w:r>
            </w:hyperlink>
          </w:p>
        </w:tc>
        <w:tc>
          <w:tcPr>
            <w:tcW w:w="455" w:type="dxa"/>
            <w:tcBorders>
              <w:top w:val="single" w:sz="12" w:space="0" w:color="000000"/>
            </w:tcBorders>
            <w:shd w:fill="CCEEFF" w:val="clear"/>
            <w:tcMar>
              <w:top w:w="28" w:type="dxa"/>
            </w:tcMar>
            <w:vAlign w:val="center"/>
          </w:tcPr>
          <w:p>
            <w:pPr>
              <w:pStyle w:val="TableContents"/>
              <w:spacing w:before="0" w:after="0"/>
              <w:jc w:val="center"/>
              <w:rPr>
                <w:rFonts w:ascii="Times New Roman" w:hAnsi="Times New Roman"/>
                <w:sz w:val="20"/>
              </w:rPr>
            </w:pPr>
            <w:r>
              <w:rPr>
                <w:rFonts w:ascii="Times New Roman" w:hAnsi="Times New Roman"/>
                <w:sz w:val="20"/>
              </w:rPr>
              <w:t>3</w:t>
            </w:r>
          </w:p>
        </w:tc>
      </w:tr>
      <w:tr>
        <w:trPr/>
        <w:tc>
          <w:tcPr>
            <w:tcW w:w="800" w:type="dxa"/>
            <w:tcBorders/>
            <w:shd w:fill="FFFFFF" w:val="clear"/>
            <w:vAlign w:val="center"/>
          </w:tcPr>
          <w:p>
            <w:pPr>
              <w:pStyle w:val="TableContents"/>
              <w:spacing w:before="0" w:after="0"/>
              <w:jc w:val="left"/>
              <w:rPr>
                <w:rFonts w:ascii="Times New Roman" w:hAnsi="Times New Roman"/>
                <w:sz w:val="20"/>
              </w:rPr>
            </w:pPr>
            <w:r>
              <w:rPr>
                <w:rFonts w:ascii="Times New Roman" w:hAnsi="Times New Roman"/>
                <w:sz w:val="20"/>
              </w:rPr>
              <w:t>Item 1.</w:t>
            </w:r>
          </w:p>
        </w:tc>
        <w:tc>
          <w:tcPr>
            <w:tcW w:w="7280" w:type="dxa"/>
            <w:tcBorders/>
            <w:shd w:fill="FFFFFF" w:val="clear"/>
            <w:vAlign w:val="center"/>
          </w:tcPr>
          <w:p>
            <w:pPr>
              <w:pStyle w:val="TableContents"/>
              <w:spacing w:before="0" w:after="0"/>
              <w:jc w:val="left"/>
              <w:rPr/>
            </w:pPr>
            <w:hyperlink w:anchor="ConsolidatedFinancialStat">
              <w:r>
                <w:rPr>
                  <w:rStyle w:val="InternetLink"/>
                  <w:rFonts w:ascii="Times New Roman" w:hAnsi="Times New Roman"/>
                  <w:b w:val="false"/>
                  <w:i w:val="false"/>
                  <w:caps w:val="false"/>
                  <w:smallCaps w:val="false"/>
                  <w:color w:val="000000"/>
                  <w:sz w:val="20"/>
                </w:rPr>
                <w:t>Consolidated Financial Statements</w:t>
              </w:r>
            </w:hyperlink>
          </w:p>
        </w:tc>
        <w:tc>
          <w:tcPr>
            <w:tcW w:w="455" w:type="dxa"/>
            <w:tcBorders/>
            <w:shd w:fill="FFFFFF" w:val="clear"/>
            <w:vAlign w:val="center"/>
          </w:tcPr>
          <w:p>
            <w:pPr>
              <w:pStyle w:val="TableContents"/>
              <w:spacing w:before="0" w:after="0"/>
              <w:jc w:val="center"/>
              <w:rPr>
                <w:rFonts w:ascii="Times New Roman" w:hAnsi="Times New Roman"/>
                <w:sz w:val="20"/>
              </w:rPr>
            </w:pPr>
            <w:r>
              <w:rPr>
                <w:rFonts w:ascii="Times New Roman" w:hAnsi="Times New Roman"/>
                <w:sz w:val="20"/>
              </w:rPr>
              <w:t>3</w:t>
            </w:r>
          </w:p>
        </w:tc>
      </w:tr>
      <w:tr>
        <w:trPr/>
        <w:tc>
          <w:tcPr>
            <w:tcW w:w="800" w:type="dxa"/>
            <w:tcBorders/>
            <w:shd w:fill="CCEEFF" w:val="clear"/>
            <w:vAlign w:val="center"/>
          </w:tcPr>
          <w:p>
            <w:pPr>
              <w:pStyle w:val="TableContents"/>
              <w:spacing w:before="0" w:after="283"/>
              <w:rPr/>
            </w:pPr>
            <w:r>
              <w:rPr/>
              <w:t> </w:t>
            </w:r>
          </w:p>
        </w:tc>
        <w:tc>
          <w:tcPr>
            <w:tcW w:w="7280" w:type="dxa"/>
            <w:tcBorders/>
            <w:shd w:fill="CCEEFF" w:val="clear"/>
            <w:vAlign w:val="center"/>
          </w:tcPr>
          <w:p>
            <w:pPr>
              <w:pStyle w:val="TableContents"/>
              <w:spacing w:before="0" w:after="0"/>
              <w:jc w:val="left"/>
              <w:rPr/>
            </w:pPr>
            <w:hyperlink w:anchor="CONSOLIDATEDBALANCESHEETS">
              <w:r>
                <w:rPr>
                  <w:rStyle w:val="InternetLink"/>
                  <w:rFonts w:ascii="Times New Roman" w:hAnsi="Times New Roman"/>
                  <w:b w:val="false"/>
                  <w:i w:val="false"/>
                  <w:caps w:val="false"/>
                  <w:smallCaps w:val="false"/>
                  <w:color w:val="000000"/>
                  <w:sz w:val="20"/>
                </w:rPr>
                <w:t>Consolidated Balance Sheets (Unaudited)</w:t>
              </w:r>
            </w:hyperlink>
          </w:p>
        </w:tc>
        <w:tc>
          <w:tcPr>
            <w:tcW w:w="455" w:type="dxa"/>
            <w:tcBorders/>
            <w:shd w:fill="CCEEFF" w:val="clear"/>
            <w:vAlign w:val="center"/>
          </w:tcPr>
          <w:p>
            <w:pPr>
              <w:pStyle w:val="TableContents"/>
              <w:spacing w:before="0" w:after="0"/>
              <w:jc w:val="center"/>
              <w:rPr>
                <w:rFonts w:ascii="Times New Roman" w:hAnsi="Times New Roman"/>
                <w:sz w:val="20"/>
              </w:rPr>
            </w:pPr>
            <w:r>
              <w:rPr>
                <w:rFonts w:ascii="Times New Roman" w:hAnsi="Times New Roman"/>
                <w:sz w:val="20"/>
              </w:rPr>
              <w:t>3</w:t>
            </w:r>
          </w:p>
        </w:tc>
      </w:tr>
      <w:tr>
        <w:trPr/>
        <w:tc>
          <w:tcPr>
            <w:tcW w:w="800" w:type="dxa"/>
            <w:tcBorders/>
            <w:shd w:fill="FFFFFF" w:val="clear"/>
            <w:vAlign w:val="center"/>
          </w:tcPr>
          <w:p>
            <w:pPr>
              <w:pStyle w:val="TableContents"/>
              <w:spacing w:before="0" w:after="283"/>
              <w:rPr/>
            </w:pPr>
            <w:r>
              <w:rPr/>
              <w:t> </w:t>
            </w:r>
          </w:p>
        </w:tc>
        <w:tc>
          <w:tcPr>
            <w:tcW w:w="7280" w:type="dxa"/>
            <w:tcBorders/>
            <w:shd w:fill="FFFFFF" w:val="clear"/>
            <w:vAlign w:val="center"/>
          </w:tcPr>
          <w:p>
            <w:pPr>
              <w:pStyle w:val="TableContents"/>
              <w:spacing w:before="0" w:after="0"/>
              <w:jc w:val="left"/>
              <w:rPr/>
            </w:pPr>
            <w:hyperlink w:anchor="STATEMENTSOFCOMPREHENSIVE">
              <w:r>
                <w:rPr>
                  <w:rStyle w:val="InternetLink"/>
                  <w:rFonts w:ascii="Times New Roman" w:hAnsi="Times New Roman"/>
                  <w:b w:val="false"/>
                  <w:i w:val="false"/>
                  <w:caps w:val="false"/>
                  <w:smallCaps w:val="false"/>
                  <w:color w:val="000000"/>
                  <w:sz w:val="20"/>
                </w:rPr>
                <w:t>Consolidated Statements of Comprehensive Income (Loss) (Unaudited)</w:t>
              </w:r>
            </w:hyperlink>
          </w:p>
        </w:tc>
        <w:tc>
          <w:tcPr>
            <w:tcW w:w="455" w:type="dxa"/>
            <w:tcBorders/>
            <w:shd w:fill="FFFFFF" w:val="clear"/>
            <w:vAlign w:val="center"/>
          </w:tcPr>
          <w:p>
            <w:pPr>
              <w:pStyle w:val="TableContents"/>
              <w:spacing w:before="0" w:after="0"/>
              <w:jc w:val="center"/>
              <w:rPr>
                <w:rFonts w:ascii="Times New Roman" w:hAnsi="Times New Roman"/>
                <w:sz w:val="20"/>
              </w:rPr>
            </w:pPr>
            <w:r>
              <w:rPr>
                <w:rFonts w:ascii="Times New Roman" w:hAnsi="Times New Roman"/>
                <w:sz w:val="20"/>
              </w:rPr>
              <w:t>4</w:t>
            </w:r>
          </w:p>
        </w:tc>
      </w:tr>
      <w:tr>
        <w:trPr/>
        <w:tc>
          <w:tcPr>
            <w:tcW w:w="800" w:type="dxa"/>
            <w:tcBorders/>
            <w:shd w:fill="CCEEFF" w:val="clear"/>
            <w:vAlign w:val="center"/>
          </w:tcPr>
          <w:p>
            <w:pPr>
              <w:pStyle w:val="TableContents"/>
              <w:spacing w:before="0" w:after="283"/>
              <w:rPr/>
            </w:pPr>
            <w:r>
              <w:rPr/>
              <w:t> </w:t>
            </w:r>
          </w:p>
        </w:tc>
        <w:tc>
          <w:tcPr>
            <w:tcW w:w="7280" w:type="dxa"/>
            <w:tcBorders/>
            <w:shd w:fill="CCEEFF" w:val="clear"/>
            <w:vAlign w:val="center"/>
          </w:tcPr>
          <w:p>
            <w:pPr>
              <w:pStyle w:val="TableContents"/>
              <w:spacing w:before="0" w:after="0"/>
              <w:jc w:val="left"/>
              <w:rPr/>
            </w:pPr>
            <w:hyperlink w:anchor="CHANGESINSTOCKHOLDERSEQUI">
              <w:r>
                <w:rPr>
                  <w:rStyle w:val="InternetLink"/>
                  <w:rFonts w:ascii="Times New Roman" w:hAnsi="Times New Roman"/>
                  <w:b w:val="false"/>
                  <w:i w:val="false"/>
                  <w:caps w:val="false"/>
                  <w:smallCaps w:val="false"/>
                  <w:color w:val="000000"/>
                  <w:sz w:val="20"/>
                </w:rPr>
                <w:t>Consolidated Statements of Changes in Stockholders’ Equity (Unaudited)</w:t>
              </w:r>
            </w:hyperlink>
          </w:p>
        </w:tc>
        <w:tc>
          <w:tcPr>
            <w:tcW w:w="455" w:type="dxa"/>
            <w:tcBorders/>
            <w:shd w:fill="CCEEFF" w:val="clear"/>
            <w:vAlign w:val="center"/>
          </w:tcPr>
          <w:p>
            <w:pPr>
              <w:pStyle w:val="TableContents"/>
              <w:spacing w:before="0" w:after="0"/>
              <w:jc w:val="center"/>
              <w:rPr>
                <w:rFonts w:ascii="Times New Roman" w:hAnsi="Times New Roman"/>
                <w:sz w:val="20"/>
              </w:rPr>
            </w:pPr>
            <w:r>
              <w:rPr>
                <w:rFonts w:ascii="Times New Roman" w:hAnsi="Times New Roman"/>
                <w:sz w:val="20"/>
              </w:rPr>
              <w:t>6</w:t>
            </w:r>
          </w:p>
        </w:tc>
      </w:tr>
      <w:tr>
        <w:trPr/>
        <w:tc>
          <w:tcPr>
            <w:tcW w:w="800" w:type="dxa"/>
            <w:tcBorders/>
            <w:shd w:fill="FFFFFF" w:val="clear"/>
            <w:vAlign w:val="center"/>
          </w:tcPr>
          <w:p>
            <w:pPr>
              <w:pStyle w:val="TableContents"/>
              <w:spacing w:before="0" w:after="283"/>
              <w:rPr/>
            </w:pPr>
            <w:r>
              <w:rPr/>
              <w:t> </w:t>
            </w:r>
          </w:p>
        </w:tc>
        <w:tc>
          <w:tcPr>
            <w:tcW w:w="7280" w:type="dxa"/>
            <w:tcBorders/>
            <w:shd w:fill="FFFFFF" w:val="clear"/>
            <w:vAlign w:val="center"/>
          </w:tcPr>
          <w:p>
            <w:pPr>
              <w:pStyle w:val="TableContents"/>
              <w:spacing w:before="0" w:after="0"/>
              <w:jc w:val="left"/>
              <w:rPr/>
            </w:pPr>
            <w:hyperlink w:anchor="STATEMENTSOFCASHFLOWS">
              <w:r>
                <w:rPr>
                  <w:rStyle w:val="InternetLink"/>
                  <w:rFonts w:ascii="Times New Roman" w:hAnsi="Times New Roman"/>
                  <w:b w:val="false"/>
                  <w:i w:val="false"/>
                  <w:caps w:val="false"/>
                  <w:smallCaps w:val="false"/>
                  <w:color w:val="000000"/>
                  <w:sz w:val="20"/>
                </w:rPr>
                <w:t>Consolidated Statements of Cash Flows (Unaudited)</w:t>
              </w:r>
            </w:hyperlink>
          </w:p>
        </w:tc>
        <w:tc>
          <w:tcPr>
            <w:tcW w:w="455" w:type="dxa"/>
            <w:tcBorders/>
            <w:shd w:fill="FFFFFF" w:val="clear"/>
            <w:vAlign w:val="center"/>
          </w:tcPr>
          <w:p>
            <w:pPr>
              <w:pStyle w:val="TableContents"/>
              <w:spacing w:before="0" w:after="283"/>
              <w:jc w:val="center"/>
              <w:rPr/>
            </w:pPr>
            <w:r>
              <w:rPr/>
              <w:t>7</w:t>
            </w:r>
          </w:p>
        </w:tc>
      </w:tr>
      <w:tr>
        <w:trPr/>
        <w:tc>
          <w:tcPr>
            <w:tcW w:w="800" w:type="dxa"/>
            <w:tcBorders/>
            <w:shd w:fill="CCEEFF" w:val="clear"/>
            <w:vAlign w:val="center"/>
          </w:tcPr>
          <w:p>
            <w:pPr>
              <w:pStyle w:val="TableContents"/>
              <w:spacing w:before="0" w:after="283"/>
              <w:rPr/>
            </w:pPr>
            <w:r>
              <w:rPr/>
              <w:t> </w:t>
            </w:r>
          </w:p>
        </w:tc>
        <w:tc>
          <w:tcPr>
            <w:tcW w:w="7280" w:type="dxa"/>
            <w:tcBorders/>
            <w:shd w:fill="CCEEFF" w:val="clear"/>
            <w:vAlign w:val="center"/>
          </w:tcPr>
          <w:p>
            <w:pPr>
              <w:pStyle w:val="TableContents"/>
              <w:spacing w:before="0" w:after="0"/>
              <w:jc w:val="left"/>
              <w:rPr/>
            </w:pPr>
            <w:hyperlink w:anchor="NOTESTOCONSOLIDATEDFINANC">
              <w:r>
                <w:rPr>
                  <w:rStyle w:val="InternetLink"/>
                  <w:rFonts w:ascii="Times New Roman" w:hAnsi="Times New Roman"/>
                  <w:b w:val="false"/>
                  <w:i w:val="false"/>
                  <w:caps w:val="false"/>
                  <w:smallCaps w:val="false"/>
                  <w:color w:val="000000"/>
                  <w:sz w:val="20"/>
                </w:rPr>
                <w:t>Notes to Consolidated Financial Statements (Unaudited)</w:t>
              </w:r>
            </w:hyperlink>
          </w:p>
        </w:tc>
        <w:tc>
          <w:tcPr>
            <w:tcW w:w="455" w:type="dxa"/>
            <w:tcBorders/>
            <w:shd w:fill="CCEEFF" w:val="clear"/>
            <w:vAlign w:val="center"/>
          </w:tcPr>
          <w:p>
            <w:pPr>
              <w:pStyle w:val="TableContents"/>
              <w:spacing w:before="0" w:after="283"/>
              <w:jc w:val="center"/>
              <w:rPr/>
            </w:pPr>
            <w:r>
              <w:rPr/>
              <w:t>8</w:t>
            </w:r>
          </w:p>
        </w:tc>
      </w:tr>
      <w:tr>
        <w:trPr/>
        <w:tc>
          <w:tcPr>
            <w:tcW w:w="800" w:type="dxa"/>
            <w:tcBorders/>
            <w:shd w:fill="FFFFFF" w:val="clear"/>
            <w:vAlign w:val="center"/>
          </w:tcPr>
          <w:p>
            <w:pPr>
              <w:pStyle w:val="TableContents"/>
              <w:spacing w:before="0" w:after="0"/>
              <w:jc w:val="left"/>
              <w:rPr>
                <w:rFonts w:ascii="Times New Roman" w:hAnsi="Times New Roman"/>
                <w:sz w:val="20"/>
              </w:rPr>
            </w:pPr>
            <w:r>
              <w:rPr>
                <w:rFonts w:ascii="Times New Roman" w:hAnsi="Times New Roman"/>
                <w:sz w:val="20"/>
              </w:rPr>
              <w:t>Item 2.</w:t>
            </w:r>
          </w:p>
        </w:tc>
        <w:tc>
          <w:tcPr>
            <w:tcW w:w="7280" w:type="dxa"/>
            <w:tcBorders/>
            <w:shd w:fill="FFFFFF" w:val="clear"/>
            <w:vAlign w:val="center"/>
          </w:tcPr>
          <w:p>
            <w:pPr>
              <w:pStyle w:val="TableContents"/>
              <w:spacing w:before="0" w:after="0"/>
              <w:jc w:val="left"/>
              <w:rPr/>
            </w:pPr>
            <w:hyperlink w:anchor="ManagementsDiscussionandA">
              <w:r>
                <w:rPr>
                  <w:rStyle w:val="InternetLink"/>
                  <w:rFonts w:ascii="Times New Roman" w:hAnsi="Times New Roman"/>
                  <w:b w:val="false"/>
                  <w:i w:val="false"/>
                  <w:caps w:val="false"/>
                  <w:smallCaps w:val="false"/>
                  <w:color w:val="000000"/>
                  <w:sz w:val="20"/>
                </w:rPr>
                <w:t>Management’s Discussion and Analysis of Financial Condition and Results of Operations</w:t>
              </w:r>
            </w:hyperlink>
          </w:p>
        </w:tc>
        <w:tc>
          <w:tcPr>
            <w:tcW w:w="455" w:type="dxa"/>
            <w:tcBorders/>
            <w:shd w:fill="FFFFFF" w:val="clear"/>
            <w:vAlign w:val="center"/>
          </w:tcPr>
          <w:p>
            <w:pPr>
              <w:pStyle w:val="TableContents"/>
              <w:spacing w:before="0" w:after="0"/>
              <w:jc w:val="center"/>
              <w:rPr>
                <w:rFonts w:ascii="Times New Roman" w:hAnsi="Times New Roman"/>
                <w:sz w:val="20"/>
              </w:rPr>
            </w:pPr>
            <w:r>
              <w:rPr>
                <w:rFonts w:ascii="Times New Roman" w:hAnsi="Times New Roman"/>
                <w:sz w:val="20"/>
              </w:rPr>
              <w:t>30</w:t>
            </w:r>
          </w:p>
        </w:tc>
      </w:tr>
      <w:tr>
        <w:trPr/>
        <w:tc>
          <w:tcPr>
            <w:tcW w:w="800" w:type="dxa"/>
            <w:tcBorders/>
            <w:shd w:fill="CCEEFF" w:val="clear"/>
            <w:vAlign w:val="center"/>
          </w:tcPr>
          <w:p>
            <w:pPr>
              <w:pStyle w:val="TableContents"/>
              <w:spacing w:before="0" w:after="0"/>
              <w:jc w:val="left"/>
              <w:rPr>
                <w:rFonts w:ascii="Times New Roman" w:hAnsi="Times New Roman"/>
                <w:sz w:val="20"/>
              </w:rPr>
            </w:pPr>
            <w:r>
              <w:rPr>
                <w:rFonts w:ascii="Times New Roman" w:hAnsi="Times New Roman"/>
                <w:sz w:val="20"/>
              </w:rPr>
              <w:t>Item 3.</w:t>
            </w:r>
          </w:p>
        </w:tc>
        <w:tc>
          <w:tcPr>
            <w:tcW w:w="7280" w:type="dxa"/>
            <w:tcBorders/>
            <w:shd w:fill="CCEEFF" w:val="clear"/>
            <w:vAlign w:val="center"/>
          </w:tcPr>
          <w:p>
            <w:pPr>
              <w:pStyle w:val="TableContents"/>
              <w:spacing w:before="0" w:after="0"/>
              <w:jc w:val="left"/>
              <w:rPr/>
            </w:pPr>
            <w:hyperlink w:anchor="QuantitativeandQualitativ">
              <w:r>
                <w:rPr>
                  <w:rStyle w:val="InternetLink"/>
                  <w:rFonts w:ascii="Times New Roman" w:hAnsi="Times New Roman"/>
                  <w:b w:val="false"/>
                  <w:i w:val="false"/>
                  <w:caps w:val="false"/>
                  <w:smallCaps w:val="false"/>
                  <w:color w:val="000000"/>
                  <w:sz w:val="20"/>
                </w:rPr>
                <w:t>Quantitative and Qualitative Disclosures About Market Risk</w:t>
              </w:r>
            </w:hyperlink>
          </w:p>
        </w:tc>
        <w:tc>
          <w:tcPr>
            <w:tcW w:w="455" w:type="dxa"/>
            <w:tcBorders/>
            <w:shd w:fill="CCEEFF" w:val="clear"/>
            <w:vAlign w:val="center"/>
          </w:tcPr>
          <w:p>
            <w:pPr>
              <w:pStyle w:val="TableContents"/>
              <w:spacing w:before="0" w:after="0"/>
              <w:jc w:val="center"/>
              <w:rPr>
                <w:rFonts w:ascii="Times New Roman" w:hAnsi="Times New Roman"/>
                <w:sz w:val="20"/>
              </w:rPr>
            </w:pPr>
            <w:r>
              <w:rPr>
                <w:rFonts w:ascii="Times New Roman" w:hAnsi="Times New Roman"/>
                <w:sz w:val="20"/>
              </w:rPr>
              <w:t>51</w:t>
            </w:r>
          </w:p>
        </w:tc>
      </w:tr>
      <w:tr>
        <w:trPr/>
        <w:tc>
          <w:tcPr>
            <w:tcW w:w="800" w:type="dxa"/>
            <w:tcBorders/>
            <w:shd w:fill="FFFFFF" w:val="clear"/>
            <w:vAlign w:val="center"/>
          </w:tcPr>
          <w:p>
            <w:pPr>
              <w:pStyle w:val="TableContents"/>
              <w:spacing w:before="0" w:after="0"/>
              <w:jc w:val="left"/>
              <w:rPr>
                <w:rFonts w:ascii="Times New Roman" w:hAnsi="Times New Roman"/>
                <w:sz w:val="20"/>
              </w:rPr>
            </w:pPr>
            <w:r>
              <w:rPr>
                <w:rFonts w:ascii="Times New Roman" w:hAnsi="Times New Roman"/>
                <w:sz w:val="20"/>
              </w:rPr>
              <w:t>Item 4.</w:t>
            </w:r>
          </w:p>
        </w:tc>
        <w:tc>
          <w:tcPr>
            <w:tcW w:w="7280" w:type="dxa"/>
            <w:tcBorders/>
            <w:shd w:fill="FFFFFF" w:val="clear"/>
            <w:vAlign w:val="center"/>
          </w:tcPr>
          <w:p>
            <w:pPr>
              <w:pStyle w:val="TableContents"/>
              <w:spacing w:before="0" w:after="0"/>
              <w:jc w:val="left"/>
              <w:rPr/>
            </w:pPr>
            <w:hyperlink w:anchor="ControlsandProcedures">
              <w:r>
                <w:rPr>
                  <w:rStyle w:val="InternetLink"/>
                  <w:rFonts w:ascii="Times New Roman" w:hAnsi="Times New Roman"/>
                  <w:b w:val="false"/>
                  <w:i w:val="false"/>
                  <w:caps w:val="false"/>
                  <w:smallCaps w:val="false"/>
                  <w:color w:val="000000"/>
                  <w:sz w:val="20"/>
                </w:rPr>
                <w:t>Controls and Procedures</w:t>
              </w:r>
            </w:hyperlink>
          </w:p>
        </w:tc>
        <w:tc>
          <w:tcPr>
            <w:tcW w:w="455" w:type="dxa"/>
            <w:tcBorders/>
            <w:shd w:fill="FFFFFF" w:val="clear"/>
            <w:vAlign w:val="center"/>
          </w:tcPr>
          <w:p>
            <w:pPr>
              <w:pStyle w:val="TableContents"/>
              <w:spacing w:before="0" w:after="0"/>
              <w:jc w:val="center"/>
              <w:rPr>
                <w:rFonts w:ascii="Times New Roman" w:hAnsi="Times New Roman"/>
                <w:sz w:val="20"/>
              </w:rPr>
            </w:pPr>
            <w:r>
              <w:rPr>
                <w:rFonts w:ascii="Times New Roman" w:hAnsi="Times New Roman"/>
                <w:sz w:val="20"/>
              </w:rPr>
              <w:t>51</w:t>
            </w:r>
          </w:p>
        </w:tc>
      </w:tr>
      <w:tr>
        <w:trPr/>
        <w:tc>
          <w:tcPr>
            <w:tcW w:w="800" w:type="dxa"/>
            <w:tcBorders/>
            <w:shd w:fill="CCEEFF" w:val="clear"/>
            <w:vAlign w:val="center"/>
          </w:tcPr>
          <w:p>
            <w:pPr>
              <w:pStyle w:val="TableContents"/>
              <w:spacing w:before="0" w:after="0"/>
              <w:jc w:val="left"/>
              <w:rPr>
                <w:rFonts w:ascii="Times New Roman" w:hAnsi="Times New Roman"/>
                <w:b/>
                <w:sz w:val="20"/>
              </w:rPr>
            </w:pPr>
            <w:r>
              <w:rPr>
                <w:rFonts w:ascii="Times New Roman" w:hAnsi="Times New Roman"/>
                <w:b/>
                <w:sz w:val="20"/>
              </w:rPr>
              <w:t>PART II.</w:t>
            </w:r>
          </w:p>
        </w:tc>
        <w:tc>
          <w:tcPr>
            <w:tcW w:w="7280" w:type="dxa"/>
            <w:tcBorders/>
            <w:shd w:fill="CCEEFF" w:val="clear"/>
            <w:vAlign w:val="center"/>
          </w:tcPr>
          <w:p>
            <w:pPr>
              <w:pStyle w:val="TableContents"/>
              <w:spacing w:before="0" w:after="0"/>
              <w:jc w:val="left"/>
              <w:rPr/>
            </w:pPr>
            <w:hyperlink w:anchor="PARTII.OTHERINFORMATION">
              <w:r>
                <w:rPr>
                  <w:rStyle w:val="InternetLink"/>
                  <w:rFonts w:ascii="Times New Roman" w:hAnsi="Times New Roman"/>
                  <w:b w:val="false"/>
                  <w:i w:val="false"/>
                  <w:caps w:val="false"/>
                  <w:smallCaps w:val="false"/>
                  <w:color w:val="000000"/>
                  <w:sz w:val="20"/>
                </w:rPr>
                <w:t>OTHER INFORMATION</w:t>
              </w:r>
            </w:hyperlink>
          </w:p>
        </w:tc>
        <w:tc>
          <w:tcPr>
            <w:tcW w:w="455" w:type="dxa"/>
            <w:tcBorders/>
            <w:shd w:fill="CCEEFF" w:val="clear"/>
            <w:vAlign w:val="center"/>
          </w:tcPr>
          <w:p>
            <w:pPr>
              <w:pStyle w:val="TableContents"/>
              <w:spacing w:before="0" w:after="0"/>
              <w:jc w:val="center"/>
              <w:rPr>
                <w:rFonts w:ascii="Times New Roman" w:hAnsi="Times New Roman"/>
                <w:sz w:val="20"/>
              </w:rPr>
            </w:pPr>
            <w:r>
              <w:rPr>
                <w:rFonts w:ascii="Times New Roman" w:hAnsi="Times New Roman"/>
                <w:sz w:val="20"/>
              </w:rPr>
              <w:t>52</w:t>
            </w:r>
          </w:p>
        </w:tc>
      </w:tr>
      <w:tr>
        <w:trPr/>
        <w:tc>
          <w:tcPr>
            <w:tcW w:w="800" w:type="dxa"/>
            <w:tcBorders/>
            <w:shd w:fill="FFFFFF" w:val="clear"/>
            <w:vAlign w:val="center"/>
          </w:tcPr>
          <w:p>
            <w:pPr>
              <w:pStyle w:val="TableContents"/>
              <w:spacing w:before="0" w:after="0"/>
              <w:jc w:val="left"/>
              <w:rPr>
                <w:rFonts w:ascii="Times New Roman" w:hAnsi="Times New Roman"/>
                <w:sz w:val="20"/>
              </w:rPr>
            </w:pPr>
            <w:r>
              <w:rPr>
                <w:rFonts w:ascii="Times New Roman" w:hAnsi="Times New Roman"/>
                <w:sz w:val="20"/>
              </w:rPr>
              <w:t>Item 1.</w:t>
            </w:r>
          </w:p>
        </w:tc>
        <w:tc>
          <w:tcPr>
            <w:tcW w:w="7280" w:type="dxa"/>
            <w:tcBorders/>
            <w:shd w:fill="FFFFFF" w:val="clear"/>
            <w:vAlign w:val="center"/>
          </w:tcPr>
          <w:p>
            <w:pPr>
              <w:pStyle w:val="TableContents"/>
              <w:spacing w:before="0" w:after="0"/>
              <w:jc w:val="left"/>
              <w:rPr/>
            </w:pPr>
            <w:hyperlink w:anchor="LegalProceedings">
              <w:r>
                <w:rPr>
                  <w:rStyle w:val="InternetLink"/>
                  <w:rFonts w:ascii="Times New Roman" w:hAnsi="Times New Roman"/>
                  <w:b w:val="false"/>
                  <w:i w:val="false"/>
                  <w:caps w:val="false"/>
                  <w:smallCaps w:val="false"/>
                  <w:color w:val="000000"/>
                  <w:sz w:val="20"/>
                </w:rPr>
                <w:t>Legal Proceedings</w:t>
              </w:r>
            </w:hyperlink>
          </w:p>
        </w:tc>
        <w:tc>
          <w:tcPr>
            <w:tcW w:w="455" w:type="dxa"/>
            <w:tcBorders/>
            <w:shd w:fill="FFFFFF" w:val="clear"/>
            <w:vAlign w:val="center"/>
          </w:tcPr>
          <w:p>
            <w:pPr>
              <w:pStyle w:val="TableContents"/>
              <w:spacing w:before="0" w:after="0"/>
              <w:jc w:val="center"/>
              <w:rPr>
                <w:rFonts w:ascii="Times New Roman" w:hAnsi="Times New Roman"/>
                <w:sz w:val="20"/>
              </w:rPr>
            </w:pPr>
            <w:r>
              <w:rPr>
                <w:rFonts w:ascii="Times New Roman" w:hAnsi="Times New Roman"/>
                <w:sz w:val="20"/>
              </w:rPr>
              <w:t>52</w:t>
            </w:r>
          </w:p>
        </w:tc>
      </w:tr>
      <w:tr>
        <w:trPr/>
        <w:tc>
          <w:tcPr>
            <w:tcW w:w="800" w:type="dxa"/>
            <w:tcBorders/>
            <w:shd w:fill="CCEEFF" w:val="clear"/>
            <w:vAlign w:val="center"/>
          </w:tcPr>
          <w:p>
            <w:pPr>
              <w:pStyle w:val="TableContents"/>
              <w:spacing w:before="0" w:after="0"/>
              <w:jc w:val="left"/>
              <w:rPr>
                <w:rFonts w:ascii="Times New Roman" w:hAnsi="Times New Roman"/>
                <w:sz w:val="20"/>
              </w:rPr>
            </w:pPr>
            <w:r>
              <w:rPr>
                <w:rFonts w:ascii="Times New Roman" w:hAnsi="Times New Roman"/>
                <w:sz w:val="20"/>
              </w:rPr>
              <w:t>Item 1A.</w:t>
            </w:r>
          </w:p>
        </w:tc>
        <w:tc>
          <w:tcPr>
            <w:tcW w:w="7280" w:type="dxa"/>
            <w:tcBorders/>
            <w:shd w:fill="CCEEFF" w:val="clear"/>
            <w:vAlign w:val="center"/>
          </w:tcPr>
          <w:p>
            <w:pPr>
              <w:pStyle w:val="TableContents"/>
              <w:spacing w:before="0" w:after="0"/>
              <w:jc w:val="left"/>
              <w:rPr/>
            </w:pPr>
            <w:hyperlink w:anchor="RiskFactors">
              <w:r>
                <w:rPr>
                  <w:rStyle w:val="InternetLink"/>
                  <w:rFonts w:ascii="Times New Roman" w:hAnsi="Times New Roman"/>
                  <w:b w:val="false"/>
                  <w:i w:val="false"/>
                  <w:caps w:val="false"/>
                  <w:smallCaps w:val="false"/>
                  <w:color w:val="000000"/>
                  <w:sz w:val="20"/>
                </w:rPr>
                <w:t>Risk Factors</w:t>
              </w:r>
            </w:hyperlink>
          </w:p>
        </w:tc>
        <w:tc>
          <w:tcPr>
            <w:tcW w:w="455" w:type="dxa"/>
            <w:tcBorders/>
            <w:shd w:fill="CCEEFF" w:val="clear"/>
            <w:vAlign w:val="center"/>
          </w:tcPr>
          <w:p>
            <w:pPr>
              <w:pStyle w:val="TableContents"/>
              <w:spacing w:before="0" w:after="0"/>
              <w:jc w:val="center"/>
              <w:rPr>
                <w:rFonts w:ascii="Times New Roman" w:hAnsi="Times New Roman"/>
                <w:sz w:val="20"/>
              </w:rPr>
            </w:pPr>
            <w:r>
              <w:rPr>
                <w:rFonts w:ascii="Times New Roman" w:hAnsi="Times New Roman"/>
                <w:sz w:val="20"/>
              </w:rPr>
              <w:t>52</w:t>
            </w:r>
          </w:p>
        </w:tc>
      </w:tr>
      <w:tr>
        <w:trPr/>
        <w:tc>
          <w:tcPr>
            <w:tcW w:w="800" w:type="dxa"/>
            <w:tcBorders/>
            <w:shd w:fill="FFFFFF" w:val="clear"/>
            <w:vAlign w:val="center"/>
          </w:tcPr>
          <w:p>
            <w:pPr>
              <w:pStyle w:val="TableContents"/>
              <w:spacing w:before="0" w:after="0"/>
              <w:jc w:val="left"/>
              <w:rPr>
                <w:rFonts w:ascii="Times New Roman" w:hAnsi="Times New Roman"/>
                <w:sz w:val="20"/>
              </w:rPr>
            </w:pPr>
            <w:r>
              <w:rPr>
                <w:rFonts w:ascii="Times New Roman" w:hAnsi="Times New Roman"/>
                <w:sz w:val="20"/>
              </w:rPr>
              <w:t>Item 2.</w:t>
            </w:r>
          </w:p>
        </w:tc>
        <w:tc>
          <w:tcPr>
            <w:tcW w:w="7280" w:type="dxa"/>
            <w:tcBorders/>
            <w:shd w:fill="FFFFFF" w:val="clear"/>
            <w:vAlign w:val="center"/>
          </w:tcPr>
          <w:p>
            <w:pPr>
              <w:pStyle w:val="TableContents"/>
              <w:spacing w:before="0" w:after="0"/>
              <w:jc w:val="left"/>
              <w:rPr/>
            </w:pPr>
            <w:hyperlink w:anchor="UnregisteredSalesofEquity">
              <w:r>
                <w:rPr>
                  <w:rStyle w:val="InternetLink"/>
                  <w:rFonts w:ascii="Times New Roman" w:hAnsi="Times New Roman"/>
                  <w:b w:val="false"/>
                  <w:i w:val="false"/>
                  <w:caps w:val="false"/>
                  <w:smallCaps w:val="false"/>
                  <w:color w:val="000000"/>
                  <w:sz w:val="20"/>
                </w:rPr>
                <w:t>Unregistered Sales of Equity Securities and Use of Proceeds</w:t>
              </w:r>
            </w:hyperlink>
          </w:p>
        </w:tc>
        <w:tc>
          <w:tcPr>
            <w:tcW w:w="455" w:type="dxa"/>
            <w:tcBorders/>
            <w:shd w:fill="FFFFFF" w:val="clear"/>
            <w:vAlign w:val="center"/>
          </w:tcPr>
          <w:p>
            <w:pPr>
              <w:pStyle w:val="TableContents"/>
              <w:spacing w:before="0" w:after="283"/>
              <w:jc w:val="center"/>
              <w:rPr/>
            </w:pPr>
            <w:r>
              <w:rPr/>
              <w:t>52</w:t>
            </w:r>
          </w:p>
        </w:tc>
      </w:tr>
      <w:tr>
        <w:trPr/>
        <w:tc>
          <w:tcPr>
            <w:tcW w:w="800" w:type="dxa"/>
            <w:tcBorders/>
            <w:shd w:fill="CCEEFF" w:val="clear"/>
            <w:vAlign w:val="center"/>
          </w:tcPr>
          <w:p>
            <w:pPr>
              <w:pStyle w:val="TableContents"/>
              <w:spacing w:before="0" w:after="0"/>
              <w:jc w:val="left"/>
              <w:rPr>
                <w:rFonts w:ascii="Times New Roman" w:hAnsi="Times New Roman"/>
                <w:sz w:val="20"/>
              </w:rPr>
            </w:pPr>
            <w:r>
              <w:rPr>
                <w:rFonts w:ascii="Times New Roman" w:hAnsi="Times New Roman"/>
                <w:sz w:val="20"/>
              </w:rPr>
              <w:t>Item 3.</w:t>
            </w:r>
          </w:p>
        </w:tc>
        <w:tc>
          <w:tcPr>
            <w:tcW w:w="7280" w:type="dxa"/>
            <w:tcBorders/>
            <w:shd w:fill="CCEEFF" w:val="clear"/>
            <w:vAlign w:val="center"/>
          </w:tcPr>
          <w:p>
            <w:pPr>
              <w:pStyle w:val="TableContents"/>
              <w:spacing w:before="0" w:after="0"/>
              <w:jc w:val="left"/>
              <w:rPr/>
            </w:pPr>
            <w:hyperlink w:anchor="DefaultsuponSeniorSecurit">
              <w:r>
                <w:rPr>
                  <w:rStyle w:val="InternetLink"/>
                  <w:rFonts w:ascii="Times New Roman" w:hAnsi="Times New Roman"/>
                  <w:b w:val="false"/>
                  <w:i w:val="false"/>
                  <w:caps w:val="false"/>
                  <w:smallCaps w:val="false"/>
                  <w:color w:val="000000"/>
                  <w:sz w:val="20"/>
                </w:rPr>
                <w:t>Defaults Upon Senior Securities</w:t>
              </w:r>
            </w:hyperlink>
          </w:p>
        </w:tc>
        <w:tc>
          <w:tcPr>
            <w:tcW w:w="455" w:type="dxa"/>
            <w:tcBorders/>
            <w:shd w:fill="CCEEFF" w:val="clear"/>
            <w:vAlign w:val="center"/>
          </w:tcPr>
          <w:p>
            <w:pPr>
              <w:pStyle w:val="TableContents"/>
              <w:spacing w:before="0" w:after="0"/>
              <w:jc w:val="center"/>
              <w:rPr>
                <w:rFonts w:ascii="Times New Roman" w:hAnsi="Times New Roman"/>
                <w:sz w:val="20"/>
              </w:rPr>
            </w:pPr>
            <w:r>
              <w:rPr>
                <w:rFonts w:ascii="Times New Roman" w:hAnsi="Times New Roman"/>
                <w:sz w:val="20"/>
              </w:rPr>
              <w:t>52</w:t>
            </w:r>
          </w:p>
        </w:tc>
      </w:tr>
      <w:tr>
        <w:trPr/>
        <w:tc>
          <w:tcPr>
            <w:tcW w:w="800" w:type="dxa"/>
            <w:tcBorders/>
            <w:shd w:fill="FFFFFF" w:val="clear"/>
            <w:vAlign w:val="center"/>
          </w:tcPr>
          <w:p>
            <w:pPr>
              <w:pStyle w:val="TableContents"/>
              <w:spacing w:before="0" w:after="0"/>
              <w:jc w:val="left"/>
              <w:rPr>
                <w:rFonts w:ascii="Times New Roman" w:hAnsi="Times New Roman"/>
                <w:sz w:val="20"/>
              </w:rPr>
            </w:pPr>
            <w:r>
              <w:rPr>
                <w:rFonts w:ascii="Times New Roman" w:hAnsi="Times New Roman"/>
                <w:sz w:val="20"/>
              </w:rPr>
              <w:t>Item 4.</w:t>
            </w:r>
          </w:p>
        </w:tc>
        <w:tc>
          <w:tcPr>
            <w:tcW w:w="7280" w:type="dxa"/>
            <w:tcBorders/>
            <w:shd w:fill="FFFFFF" w:val="clear"/>
            <w:vAlign w:val="center"/>
          </w:tcPr>
          <w:p>
            <w:pPr>
              <w:pStyle w:val="TableContents"/>
              <w:spacing w:before="0" w:after="0"/>
              <w:jc w:val="left"/>
              <w:rPr/>
            </w:pPr>
            <w:hyperlink w:anchor="MineSafetyDisclosures">
              <w:r>
                <w:rPr>
                  <w:rStyle w:val="InternetLink"/>
                  <w:rFonts w:ascii="Times New Roman" w:hAnsi="Times New Roman"/>
                  <w:b w:val="false"/>
                  <w:i w:val="false"/>
                  <w:caps w:val="false"/>
                  <w:smallCaps w:val="false"/>
                  <w:color w:val="000000"/>
                  <w:sz w:val="20"/>
                </w:rPr>
                <w:t>Mine Safety Disclosures</w:t>
              </w:r>
            </w:hyperlink>
          </w:p>
        </w:tc>
        <w:tc>
          <w:tcPr>
            <w:tcW w:w="455" w:type="dxa"/>
            <w:tcBorders/>
            <w:shd w:fill="FFFFFF" w:val="clear"/>
            <w:vAlign w:val="center"/>
          </w:tcPr>
          <w:p>
            <w:pPr>
              <w:pStyle w:val="TableContents"/>
              <w:spacing w:before="0" w:after="0"/>
              <w:jc w:val="center"/>
              <w:rPr>
                <w:rFonts w:ascii="Times New Roman" w:hAnsi="Times New Roman"/>
                <w:sz w:val="20"/>
              </w:rPr>
            </w:pPr>
            <w:r>
              <w:rPr>
                <w:rFonts w:ascii="Times New Roman" w:hAnsi="Times New Roman"/>
                <w:sz w:val="20"/>
              </w:rPr>
              <w:t>52</w:t>
            </w:r>
          </w:p>
        </w:tc>
      </w:tr>
      <w:tr>
        <w:trPr/>
        <w:tc>
          <w:tcPr>
            <w:tcW w:w="800" w:type="dxa"/>
            <w:tcBorders/>
            <w:shd w:fill="CCEEFF" w:val="clear"/>
            <w:vAlign w:val="center"/>
          </w:tcPr>
          <w:p>
            <w:pPr>
              <w:pStyle w:val="TableContents"/>
              <w:spacing w:before="0" w:after="0"/>
              <w:jc w:val="left"/>
              <w:rPr>
                <w:rFonts w:ascii="Times New Roman" w:hAnsi="Times New Roman"/>
                <w:sz w:val="20"/>
              </w:rPr>
            </w:pPr>
            <w:r>
              <w:rPr>
                <w:rFonts w:ascii="Times New Roman" w:hAnsi="Times New Roman"/>
                <w:sz w:val="20"/>
              </w:rPr>
              <w:t>Item 5.</w:t>
            </w:r>
          </w:p>
        </w:tc>
        <w:tc>
          <w:tcPr>
            <w:tcW w:w="7280" w:type="dxa"/>
            <w:tcBorders/>
            <w:shd w:fill="CCEEFF" w:val="clear"/>
            <w:vAlign w:val="center"/>
          </w:tcPr>
          <w:p>
            <w:pPr>
              <w:pStyle w:val="TableContents"/>
              <w:spacing w:before="0" w:after="0"/>
              <w:jc w:val="left"/>
              <w:rPr/>
            </w:pPr>
            <w:hyperlink w:anchor="OtherInformation">
              <w:r>
                <w:rPr>
                  <w:rStyle w:val="InternetLink"/>
                  <w:rFonts w:ascii="Times New Roman" w:hAnsi="Times New Roman"/>
                  <w:b w:val="false"/>
                  <w:i w:val="false"/>
                  <w:caps w:val="false"/>
                  <w:smallCaps w:val="false"/>
                  <w:color w:val="000000"/>
                  <w:sz w:val="20"/>
                </w:rPr>
                <w:t>Other Information</w:t>
              </w:r>
            </w:hyperlink>
          </w:p>
        </w:tc>
        <w:tc>
          <w:tcPr>
            <w:tcW w:w="455" w:type="dxa"/>
            <w:tcBorders/>
            <w:shd w:fill="CCEEFF" w:val="clear"/>
            <w:vAlign w:val="center"/>
          </w:tcPr>
          <w:p>
            <w:pPr>
              <w:pStyle w:val="TableContents"/>
              <w:spacing w:before="0" w:after="0"/>
              <w:jc w:val="center"/>
              <w:rPr>
                <w:rFonts w:ascii="Times New Roman" w:hAnsi="Times New Roman"/>
                <w:sz w:val="20"/>
              </w:rPr>
            </w:pPr>
            <w:r>
              <w:rPr>
                <w:rFonts w:ascii="Times New Roman" w:hAnsi="Times New Roman"/>
                <w:sz w:val="20"/>
              </w:rPr>
              <w:t>52</w:t>
            </w:r>
          </w:p>
        </w:tc>
      </w:tr>
      <w:tr>
        <w:trPr/>
        <w:tc>
          <w:tcPr>
            <w:tcW w:w="800" w:type="dxa"/>
            <w:tcBorders/>
            <w:shd w:fill="FFFFFF" w:val="clear"/>
            <w:vAlign w:val="center"/>
          </w:tcPr>
          <w:p>
            <w:pPr>
              <w:pStyle w:val="TableContents"/>
              <w:spacing w:before="0" w:after="0"/>
              <w:jc w:val="left"/>
              <w:rPr>
                <w:rFonts w:ascii="Times New Roman" w:hAnsi="Times New Roman"/>
                <w:sz w:val="20"/>
              </w:rPr>
            </w:pPr>
            <w:r>
              <w:rPr>
                <w:rFonts w:ascii="Times New Roman" w:hAnsi="Times New Roman"/>
                <w:sz w:val="20"/>
              </w:rPr>
              <w:t>Item 6.</w:t>
            </w:r>
          </w:p>
        </w:tc>
        <w:tc>
          <w:tcPr>
            <w:tcW w:w="7280" w:type="dxa"/>
            <w:tcBorders/>
            <w:shd w:fill="FFFFFF" w:val="clear"/>
            <w:vAlign w:val="center"/>
          </w:tcPr>
          <w:p>
            <w:pPr>
              <w:pStyle w:val="TableContents"/>
              <w:spacing w:before="0" w:after="0"/>
              <w:jc w:val="left"/>
              <w:rPr/>
            </w:pPr>
            <w:hyperlink w:anchor="Exhibits">
              <w:r>
                <w:rPr>
                  <w:rStyle w:val="InternetLink"/>
                  <w:rFonts w:ascii="Times New Roman" w:hAnsi="Times New Roman"/>
                  <w:b w:val="false"/>
                  <w:i w:val="false"/>
                  <w:caps w:val="false"/>
                  <w:smallCaps w:val="false"/>
                  <w:color w:val="000000"/>
                  <w:sz w:val="20"/>
                </w:rPr>
                <w:t>Exhibits</w:t>
              </w:r>
            </w:hyperlink>
          </w:p>
        </w:tc>
        <w:tc>
          <w:tcPr>
            <w:tcW w:w="455" w:type="dxa"/>
            <w:tcBorders/>
            <w:shd w:fill="FFFFFF" w:val="clear"/>
            <w:vAlign w:val="center"/>
          </w:tcPr>
          <w:p>
            <w:pPr>
              <w:pStyle w:val="TableContents"/>
              <w:spacing w:before="0" w:after="0"/>
              <w:jc w:val="center"/>
              <w:rPr>
                <w:rFonts w:ascii="Times New Roman" w:hAnsi="Times New Roman"/>
                <w:sz w:val="20"/>
              </w:rPr>
            </w:pPr>
            <w:r>
              <w:rPr>
                <w:rFonts w:ascii="Times New Roman" w:hAnsi="Times New Roman"/>
                <w:sz w:val="20"/>
              </w:rPr>
              <w:t>53</w:t>
            </w:r>
          </w:p>
        </w:tc>
      </w:tr>
      <w:tr>
        <w:trPr/>
        <w:tc>
          <w:tcPr>
            <w:tcW w:w="8080" w:type="dxa"/>
            <w:gridSpan w:val="2"/>
            <w:tcBorders/>
            <w:shd w:fill="CCEEFF" w:val="clear"/>
            <w:vAlign w:val="center"/>
          </w:tcPr>
          <w:p>
            <w:pPr>
              <w:pStyle w:val="TableContents"/>
              <w:spacing w:before="0" w:after="0"/>
              <w:jc w:val="left"/>
              <w:rPr/>
            </w:pPr>
            <w:hyperlink w:anchor="SIGNATURES">
              <w:r>
                <w:rPr>
                  <w:rStyle w:val="InternetLink"/>
                  <w:rFonts w:ascii="Times New Roman" w:hAnsi="Times New Roman"/>
                  <w:sz w:val="20"/>
                </w:rPr>
                <w:t>Signatures</w:t>
              </w:r>
            </w:hyperlink>
          </w:p>
        </w:tc>
        <w:tc>
          <w:tcPr>
            <w:tcW w:w="455" w:type="dxa"/>
            <w:tcBorders/>
            <w:shd w:fill="CCEEFF" w:val="clear"/>
            <w:vAlign w:val="center"/>
          </w:tcPr>
          <w:p>
            <w:pPr>
              <w:pStyle w:val="TableContents"/>
              <w:spacing w:before="0" w:after="0"/>
              <w:jc w:val="center"/>
              <w:rPr>
                <w:rFonts w:ascii="Times New Roman" w:hAnsi="Times New Roman"/>
                <w:sz w:val="20"/>
              </w:rPr>
            </w:pPr>
            <w:r>
              <w:rPr>
                <w:rFonts w:ascii="Times New Roman" w:hAnsi="Times New Roman"/>
                <w:sz w:val="20"/>
              </w:rPr>
              <w:t>54</w:t>
            </w:r>
          </w:p>
        </w:tc>
      </w:tr>
    </w:tbl>
    <w:p>
      <w:pPr>
        <w:pStyle w:val="TextBody"/>
        <w:spacing w:before="0" w:after="0"/>
        <w:jc w:val="left"/>
        <w:rPr/>
      </w:pPr>
      <w:r>
        <w:rPr/>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b w:val="false"/>
            <w:i/>
            <w:color w:val="000000"/>
            <w:sz w:val="16"/>
          </w:rPr>
          <w:t>Table of Contents</w:t>
        </w:r>
      </w:hyperlink>
    </w:p>
    <w:p>
      <w:pPr>
        <w:pStyle w:val="TextBody"/>
        <w:spacing w:before="0" w:after="0"/>
        <w:jc w:val="left"/>
        <w:rPr>
          <w:rFonts w:ascii="Times New Roman" w:hAnsi="Times New Roman"/>
          <w:b/>
          <w:color w:val="000000"/>
          <w:sz w:val="20"/>
        </w:rPr>
      </w:pPr>
      <w:bookmarkStart w:id="1" w:name="PARTI.FINANCIALINFORMATIO"/>
      <w:bookmarkEnd w:id="1"/>
      <w:r>
        <w:rPr>
          <w:rFonts w:ascii="Times New Roman" w:hAnsi="Times New Roman"/>
          <w:b/>
          <w:color w:val="000000"/>
          <w:sz w:val="20"/>
        </w:rPr>
        <w:t>PART I. FINANCIAL INFORMATION</w:t>
      </w:r>
    </w:p>
    <w:p>
      <w:pPr>
        <w:pStyle w:val="Normal"/>
        <w:spacing w:before="0" w:after="0"/>
        <w:jc w:val="left"/>
        <w:rPr>
          <w:sz w:val="4"/>
          <w:szCs w:val="4"/>
        </w:rPr>
      </w:pPr>
      <w:r>
        <w:rPr>
          <w:sz w:val="4"/>
          <w:szCs w:val="4"/>
        </w:rPr>
      </w:r>
      <w:bookmarkStart w:id="2" w:name="ConsolidatedFinancialStat"/>
      <w:bookmarkStart w:id="3" w:name="ConsolidatedFinancialStat"/>
      <w:bookmarkEnd w:id="3"/>
    </w:p>
    <w:tbl>
      <w:tblPr>
        <w:tblW w:w="3580" w:type="dxa"/>
        <w:jc w:val="left"/>
        <w:tblInd w:w="0" w:type="dxa"/>
        <w:tblCellMar>
          <w:top w:w="0" w:type="dxa"/>
          <w:left w:w="0" w:type="dxa"/>
          <w:bottom w:w="0" w:type="dxa"/>
          <w:right w:w="0" w:type="dxa"/>
        </w:tblCellMar>
      </w:tblPr>
      <w:tblGrid>
        <w:gridCol w:w="620"/>
        <w:gridCol w:w="2960"/>
      </w:tblGrid>
      <w:tr>
        <w:trPr/>
        <w:tc>
          <w:tcPr>
            <w:tcW w:w="620" w:type="dxa"/>
            <w:tcBorders/>
            <w:shd w:fill="auto" w:val="clear"/>
            <w:vAlign w:val="center"/>
          </w:tcPr>
          <w:p>
            <w:pPr>
              <w:pStyle w:val="TableContents"/>
              <w:spacing w:before="0" w:after="283"/>
              <w:rPr>
                <w:rFonts w:ascii="Times New Roman" w:hAnsi="Times New Roman"/>
                <w:b/>
                <w:sz w:val="20"/>
              </w:rPr>
            </w:pPr>
            <w:r>
              <w:rPr>
                <w:rFonts w:ascii="Times New Roman" w:hAnsi="Times New Roman"/>
                <w:b/>
                <w:sz w:val="20"/>
              </w:rPr>
              <w:t>Item 1.</w:t>
            </w:r>
          </w:p>
        </w:tc>
        <w:tc>
          <w:tcPr>
            <w:tcW w:w="2960"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Consolidated Financial Statements</w:t>
            </w:r>
          </w:p>
        </w:tc>
      </w:tr>
    </w:tbl>
    <w:p>
      <w:pPr>
        <w:pStyle w:val="TextBody"/>
        <w:spacing w:before="0" w:after="0"/>
        <w:jc w:val="left"/>
        <w:rPr/>
      </w:pPr>
      <w:r>
        <w:rPr/>
      </w:r>
    </w:p>
    <w:p>
      <w:pPr>
        <w:pStyle w:val="TextBody"/>
        <w:spacing w:before="0" w:after="0"/>
        <w:jc w:val="center"/>
        <w:rPr>
          <w:rFonts w:ascii="Times New Roman" w:hAnsi="Times New Roman"/>
          <w:b/>
          <w:color w:val="000000"/>
          <w:sz w:val="20"/>
        </w:rPr>
      </w:pPr>
      <w:r>
        <w:rPr>
          <w:rFonts w:ascii="Times New Roman" w:hAnsi="Times New Roman"/>
          <w:b/>
          <w:color w:val="000000"/>
          <w:sz w:val="20"/>
        </w:rPr>
        <w:t>SOUTH PLAINS FINANCIAL, INC. AND SUBSIDIARIES</w:t>
      </w:r>
    </w:p>
    <w:p>
      <w:pPr>
        <w:pStyle w:val="TextBody"/>
        <w:spacing w:before="0" w:after="0"/>
        <w:jc w:val="center"/>
        <w:rPr>
          <w:rFonts w:ascii="Times New Roman" w:hAnsi="Times New Roman"/>
          <w:b/>
          <w:color w:val="000000"/>
          <w:sz w:val="20"/>
        </w:rPr>
      </w:pPr>
      <w:bookmarkStart w:id="4" w:name="CONSOLIDATEDBALANCESHEETS"/>
      <w:bookmarkEnd w:id="4"/>
      <w:r>
        <w:rPr>
          <w:rFonts w:ascii="Times New Roman" w:hAnsi="Times New Roman"/>
          <w:b/>
          <w:color w:val="000000"/>
          <w:sz w:val="20"/>
        </w:rPr>
        <w:t>CONSOLIDATED BALANCE SHEETS</w:t>
      </w:r>
    </w:p>
    <w:p>
      <w:pPr>
        <w:pStyle w:val="TextBody"/>
        <w:spacing w:before="0" w:after="0"/>
        <w:jc w:val="center"/>
        <w:rPr>
          <w:rFonts w:ascii="Times New Roman" w:hAnsi="Times New Roman"/>
          <w:b/>
          <w:color w:val="000000"/>
          <w:sz w:val="20"/>
        </w:rPr>
      </w:pPr>
      <w:r>
        <w:rPr>
          <w:rFonts w:ascii="Times New Roman" w:hAnsi="Times New Roman"/>
          <w:b/>
          <w:color w:val="000000"/>
          <w:sz w:val="20"/>
        </w:rPr>
        <w:t>(Dollars in thousands, except per share data)</w:t>
      </w:r>
    </w:p>
    <w:p>
      <w:pPr>
        <w:pStyle w:val="TextBody"/>
        <w:spacing w:before="0" w:after="0"/>
        <w:jc w:val="left"/>
        <w:rPr/>
      </w:pPr>
      <w:r>
        <w:rPr/>
      </w:r>
    </w:p>
    <w:tbl>
      <w:tblPr>
        <w:tblW w:w="10205" w:type="dxa"/>
        <w:jc w:val="left"/>
        <w:tblInd w:w="0" w:type="dxa"/>
        <w:tblCellMar>
          <w:top w:w="0" w:type="dxa"/>
          <w:left w:w="0" w:type="dxa"/>
          <w:bottom w:w="0" w:type="dxa"/>
          <w:right w:w="0" w:type="dxa"/>
        </w:tblCellMar>
      </w:tblPr>
      <w:tblGrid>
        <w:gridCol w:w="7667"/>
        <w:gridCol w:w="60"/>
        <w:gridCol w:w="125"/>
        <w:gridCol w:w="980"/>
        <w:gridCol w:w="80"/>
        <w:gridCol w:w="60"/>
        <w:gridCol w:w="128"/>
        <w:gridCol w:w="1008"/>
        <w:gridCol w:w="97"/>
      </w:tblGrid>
      <w:tr>
        <w:trPr/>
        <w:tc>
          <w:tcPr>
            <w:tcW w:w="766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10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March 31,</w:t>
            </w:r>
          </w:p>
          <w:p>
            <w:pPr>
              <w:pStyle w:val="TableContents"/>
              <w:spacing w:before="0" w:after="0"/>
              <w:jc w:val="center"/>
              <w:rPr>
                <w:rFonts w:ascii="Times New Roman" w:hAnsi="Times New Roman"/>
                <w:b/>
                <w:sz w:val="20"/>
              </w:rPr>
            </w:pPr>
            <w:r>
              <w:rPr>
                <w:rFonts w:ascii="Times New Roman" w:hAnsi="Times New Roman"/>
                <w:b/>
                <w:sz w:val="20"/>
              </w:rPr>
              <w:t>2023</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36"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December 31,</w:t>
            </w:r>
          </w:p>
          <w:p>
            <w:pPr>
              <w:pStyle w:val="TableContents"/>
              <w:spacing w:before="0" w:after="0"/>
              <w:jc w:val="center"/>
              <w:rPr>
                <w:rFonts w:ascii="Times New Roman" w:hAnsi="Times New Roman"/>
                <w:b/>
                <w:sz w:val="20"/>
              </w:rPr>
            </w:pPr>
            <w:r>
              <w:rPr>
                <w:rFonts w:ascii="Times New Roman" w:hAnsi="Times New Roman"/>
                <w:b/>
                <w:sz w:val="20"/>
              </w:rPr>
              <w:t>2022</w:t>
            </w:r>
          </w:p>
        </w:tc>
        <w:tc>
          <w:tcPr>
            <w:tcW w:w="97" w:type="dxa"/>
            <w:tcBorders/>
            <w:shd w:fill="auto" w:val="clear"/>
            <w:vAlign w:val="bottom"/>
          </w:tcPr>
          <w:p>
            <w:pPr>
              <w:pStyle w:val="TableContents"/>
              <w:spacing w:before="0" w:after="283"/>
              <w:jc w:val="left"/>
              <w:rPr/>
            </w:pPr>
            <w:r>
              <w:rPr/>
              <w:t> </w:t>
            </w:r>
          </w:p>
        </w:tc>
      </w:tr>
      <w:tr>
        <w:trPr/>
        <w:tc>
          <w:tcPr>
            <w:tcW w:w="76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05" w:type="dxa"/>
            <w:gridSpan w:val="2"/>
            <w:tcBorders/>
            <w:shd w:fill="auto" w:val="clear"/>
            <w:vAlign w:val="bottom"/>
          </w:tcPr>
          <w:p>
            <w:pPr>
              <w:pStyle w:val="TableContents"/>
              <w:spacing w:before="0" w:after="0"/>
              <w:jc w:val="center"/>
              <w:rPr>
                <w:rFonts w:ascii="Times New Roman" w:hAnsi="Times New Roman"/>
                <w:b/>
                <w:sz w:val="20"/>
              </w:rPr>
            </w:pPr>
            <w:r>
              <w:rPr>
                <w:rFonts w:ascii="Times New Roman" w:hAnsi="Times New Roman"/>
                <w:b/>
                <w:sz w:val="20"/>
              </w:rPr>
              <w:t>(Unaudited)</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36" w:type="dxa"/>
            <w:gridSpan w:val="2"/>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jc w:val="left"/>
              <w:rPr/>
            </w:pPr>
            <w:r>
              <w:rPr/>
              <w:t> </w:t>
            </w:r>
          </w:p>
        </w:tc>
      </w:tr>
      <w:tr>
        <w:trPr/>
        <w:tc>
          <w:tcPr>
            <w:tcW w:w="7667" w:type="dxa"/>
            <w:tcBorders/>
            <w:shd w:fill="auto" w:val="clear"/>
            <w:vAlign w:val="bottom"/>
          </w:tcPr>
          <w:p>
            <w:pPr>
              <w:pStyle w:val="TableContents"/>
              <w:spacing w:before="0" w:after="0"/>
              <w:ind w:left="180" w:right="0" w:hanging="180"/>
              <w:jc w:val="left"/>
              <w:rPr>
                <w:rFonts w:ascii="Times New Roman" w:hAnsi="Times New Roman"/>
                <w:sz w:val="20"/>
                <w:u w:val="single"/>
              </w:rPr>
            </w:pPr>
            <w:r>
              <w:rPr>
                <w:rFonts w:ascii="Times New Roman" w:hAnsi="Times New Roman"/>
                <w:sz w:val="20"/>
                <w:u w:val="single"/>
              </w:rPr>
              <w:t>ASSETS</w:t>
            </w:r>
          </w:p>
        </w:tc>
        <w:tc>
          <w:tcPr>
            <w:tcW w:w="60" w:type="dxa"/>
            <w:tcBorders/>
            <w:shd w:fill="auto" w:val="clear"/>
            <w:vAlign w:val="bottom"/>
          </w:tcPr>
          <w:p>
            <w:pPr>
              <w:pStyle w:val="TableContents"/>
              <w:spacing w:before="0" w:after="283"/>
              <w:rPr/>
            </w:pPr>
            <w:r>
              <w:rPr/>
              <w:t> </w:t>
            </w:r>
          </w:p>
        </w:tc>
        <w:tc>
          <w:tcPr>
            <w:tcW w:w="1105" w:type="dxa"/>
            <w:gridSpan w:val="2"/>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36" w:type="dxa"/>
            <w:gridSpan w:val="2"/>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jc w:val="left"/>
              <w:rPr/>
            </w:pPr>
            <w:r>
              <w:rPr/>
              <w:t> </w:t>
            </w:r>
          </w:p>
        </w:tc>
      </w:tr>
      <w:tr>
        <w:trPr/>
        <w:tc>
          <w:tcPr>
            <w:tcW w:w="7667" w:type="dxa"/>
            <w:tcBorders/>
            <w:shd w:fill="CCEE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Cash and due from banks</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980"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51,186</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8"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1008"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61,613</w:t>
            </w:r>
          </w:p>
        </w:tc>
        <w:tc>
          <w:tcPr>
            <w:tcW w:w="97" w:type="dxa"/>
            <w:tcBorders/>
            <w:shd w:fill="CCEEFF" w:val="clear"/>
            <w:vAlign w:val="bottom"/>
          </w:tcPr>
          <w:p>
            <w:pPr>
              <w:pStyle w:val="TableContents"/>
              <w:spacing w:before="0" w:after="283"/>
              <w:jc w:val="left"/>
              <w:rPr/>
            </w:pPr>
            <w:r>
              <w:rPr/>
              <w:t> </w:t>
            </w:r>
          </w:p>
        </w:tc>
      </w:tr>
      <w:tr>
        <w:trPr/>
        <w:tc>
          <w:tcPr>
            <w:tcW w:w="7667" w:type="dxa"/>
            <w:tcBorders/>
            <w:shd w:fill="auto"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Interest-bearing deposits in banks</w:t>
            </w:r>
          </w:p>
        </w:tc>
        <w:tc>
          <w:tcPr>
            <w:tcW w:w="60" w:type="dxa"/>
            <w:tcBorders/>
            <w:shd w:fill="auto" w:val="clear"/>
            <w:vAlign w:val="bottom"/>
          </w:tcPr>
          <w:p>
            <w:pPr>
              <w:pStyle w:val="TableContents"/>
              <w:spacing w:before="0" w:after="283"/>
              <w:jc w:val="right"/>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98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276,816</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8"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008"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173,270</w:t>
            </w:r>
          </w:p>
        </w:tc>
        <w:tc>
          <w:tcPr>
            <w:tcW w:w="97" w:type="dxa"/>
            <w:tcBorders/>
            <w:shd w:fill="auto" w:val="clear"/>
            <w:vAlign w:val="bottom"/>
          </w:tcPr>
          <w:p>
            <w:pPr>
              <w:pStyle w:val="TableContents"/>
              <w:spacing w:before="0" w:after="283"/>
              <w:jc w:val="left"/>
              <w:rPr/>
            </w:pPr>
            <w:r>
              <w:rPr/>
              <w:t> </w:t>
            </w:r>
          </w:p>
        </w:tc>
      </w:tr>
      <w:tr>
        <w:trPr/>
        <w:tc>
          <w:tcPr>
            <w:tcW w:w="7667" w:type="dxa"/>
            <w:tcBorders/>
            <w:shd w:fill="CCEEFF" w:val="clear"/>
            <w:vAlign w:val="bottom"/>
          </w:tcPr>
          <w:p>
            <w:pPr>
              <w:pStyle w:val="TableContents"/>
              <w:spacing w:before="0" w:after="0"/>
              <w:ind w:left="288" w:right="0" w:hanging="144"/>
              <w:jc w:val="left"/>
              <w:rPr>
                <w:rFonts w:ascii="Times New Roman" w:hAnsi="Times New Roman"/>
                <w:sz w:val="20"/>
              </w:rPr>
            </w:pPr>
            <w:r>
              <w:rPr>
                <w:rFonts w:ascii="Times New Roman" w:hAnsi="Times New Roman"/>
                <w:sz w:val="20"/>
              </w:rPr>
              <w:t>Cash and cash equivalents</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80"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328,002</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8" w:type="dxa"/>
            <w:tcBorders/>
            <w:shd w:fill="CCEEFF" w:val="clear"/>
            <w:vAlign w:val="bottom"/>
          </w:tcPr>
          <w:p>
            <w:pPr>
              <w:pStyle w:val="TableContents"/>
              <w:spacing w:before="0" w:after="283"/>
              <w:jc w:val="left"/>
              <w:rPr/>
            </w:pPr>
            <w:r>
              <w:rPr/>
              <w:t> </w:t>
            </w:r>
          </w:p>
        </w:tc>
        <w:tc>
          <w:tcPr>
            <w:tcW w:w="1008"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234,883</w:t>
            </w:r>
          </w:p>
        </w:tc>
        <w:tc>
          <w:tcPr>
            <w:tcW w:w="97" w:type="dxa"/>
            <w:tcBorders/>
            <w:shd w:fill="CCEEFF" w:val="clear"/>
            <w:vAlign w:val="bottom"/>
          </w:tcPr>
          <w:p>
            <w:pPr>
              <w:pStyle w:val="TableContents"/>
              <w:spacing w:before="0" w:after="283"/>
              <w:jc w:val="left"/>
              <w:rPr/>
            </w:pPr>
            <w:r>
              <w:rPr/>
              <w:t> </w:t>
            </w:r>
          </w:p>
        </w:tc>
      </w:tr>
      <w:tr>
        <w:trPr/>
        <w:tc>
          <w:tcPr>
            <w:tcW w:w="7667" w:type="dxa"/>
            <w:tcBorders/>
            <w:shd w:fill="auto"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Securities available for sale</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980"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698,579</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8" w:type="dxa"/>
            <w:tcBorders/>
            <w:shd w:fill="auto" w:val="clear"/>
            <w:vAlign w:val="bottom"/>
          </w:tcPr>
          <w:p>
            <w:pPr>
              <w:pStyle w:val="TableContents"/>
              <w:spacing w:before="0" w:after="283"/>
              <w:jc w:val="left"/>
              <w:rPr/>
            </w:pPr>
            <w:r>
              <w:rPr/>
              <w:t> </w:t>
            </w:r>
          </w:p>
        </w:tc>
        <w:tc>
          <w:tcPr>
            <w:tcW w:w="1008"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701,711</w:t>
            </w:r>
          </w:p>
        </w:tc>
        <w:tc>
          <w:tcPr>
            <w:tcW w:w="97" w:type="dxa"/>
            <w:tcBorders/>
            <w:shd w:fill="auto" w:val="clear"/>
            <w:vAlign w:val="bottom"/>
          </w:tcPr>
          <w:p>
            <w:pPr>
              <w:pStyle w:val="TableContents"/>
              <w:spacing w:before="0" w:after="283"/>
              <w:jc w:val="left"/>
              <w:rPr/>
            </w:pPr>
            <w:r>
              <w:rPr/>
              <w:t> </w:t>
            </w:r>
          </w:p>
        </w:tc>
      </w:tr>
      <w:tr>
        <w:trPr/>
        <w:tc>
          <w:tcPr>
            <w:tcW w:w="7667" w:type="dxa"/>
            <w:tcBorders/>
            <w:shd w:fill="CCEEFF" w:val="clear"/>
            <w:vAlign w:val="bottom"/>
          </w:tcPr>
          <w:p>
            <w:pPr>
              <w:pStyle w:val="TableContents"/>
              <w:spacing w:before="0" w:after="0"/>
              <w:ind w:left="18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Loans held for sale ($11,576 and $10,038 at fair value at March 31, 2023 and December 31, 2022, respectively)</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80"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20,448</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8" w:type="dxa"/>
            <w:tcBorders/>
            <w:shd w:fill="CCEEFF" w:val="clear"/>
            <w:vAlign w:val="bottom"/>
          </w:tcPr>
          <w:p>
            <w:pPr>
              <w:pStyle w:val="TableContents"/>
              <w:spacing w:before="0" w:after="283"/>
              <w:jc w:val="left"/>
              <w:rPr/>
            </w:pPr>
            <w:r>
              <w:rPr/>
              <w:t> </w:t>
            </w:r>
          </w:p>
        </w:tc>
        <w:tc>
          <w:tcPr>
            <w:tcW w:w="1008"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30,403</w:t>
            </w:r>
          </w:p>
        </w:tc>
        <w:tc>
          <w:tcPr>
            <w:tcW w:w="97" w:type="dxa"/>
            <w:tcBorders/>
            <w:shd w:fill="CCEEFF" w:val="clear"/>
            <w:vAlign w:val="bottom"/>
          </w:tcPr>
          <w:p>
            <w:pPr>
              <w:pStyle w:val="TableContents"/>
              <w:spacing w:before="0" w:after="283"/>
              <w:jc w:val="left"/>
              <w:rPr/>
            </w:pPr>
            <w:r>
              <w:rPr/>
              <w:t> </w:t>
            </w:r>
          </w:p>
        </w:tc>
      </w:tr>
      <w:tr>
        <w:trPr/>
        <w:tc>
          <w:tcPr>
            <w:tcW w:w="7667" w:type="dxa"/>
            <w:tcBorders/>
            <w:shd w:fill="auto"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Loans held for investment</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980"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2,788,640</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8" w:type="dxa"/>
            <w:tcBorders/>
            <w:shd w:fill="auto" w:val="clear"/>
            <w:vAlign w:val="bottom"/>
          </w:tcPr>
          <w:p>
            <w:pPr>
              <w:pStyle w:val="TableContents"/>
              <w:spacing w:before="0" w:after="283"/>
              <w:jc w:val="left"/>
              <w:rPr/>
            </w:pPr>
            <w:r>
              <w:rPr/>
              <w:t> </w:t>
            </w:r>
          </w:p>
        </w:tc>
        <w:tc>
          <w:tcPr>
            <w:tcW w:w="1008"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2,748,081</w:t>
            </w:r>
          </w:p>
        </w:tc>
        <w:tc>
          <w:tcPr>
            <w:tcW w:w="97" w:type="dxa"/>
            <w:tcBorders/>
            <w:shd w:fill="auto" w:val="clear"/>
            <w:vAlign w:val="bottom"/>
          </w:tcPr>
          <w:p>
            <w:pPr>
              <w:pStyle w:val="TableContents"/>
              <w:spacing w:before="0" w:after="283"/>
              <w:jc w:val="left"/>
              <w:rPr/>
            </w:pPr>
            <w:r>
              <w:rPr/>
              <w:t> </w:t>
            </w:r>
          </w:p>
        </w:tc>
      </w:tr>
      <w:tr>
        <w:trPr/>
        <w:tc>
          <w:tcPr>
            <w:tcW w:w="7667" w:type="dxa"/>
            <w:tcBorders/>
            <w:shd w:fill="CCEEFF" w:val="clear"/>
            <w:vAlign w:val="bottom"/>
          </w:tcPr>
          <w:p>
            <w:pPr>
              <w:pStyle w:val="TableContents"/>
              <w:spacing w:before="0" w:after="0"/>
              <w:ind w:left="360" w:right="0" w:hanging="180"/>
              <w:jc w:val="left"/>
              <w:rPr>
                <w:rFonts w:ascii="Times New Roman" w:hAnsi="Times New Roman"/>
                <w:sz w:val="20"/>
              </w:rPr>
            </w:pPr>
            <w:r>
              <w:rPr>
                <w:rFonts w:ascii="Times New Roman" w:hAnsi="Times New Roman"/>
                <w:sz w:val="20"/>
              </w:rPr>
              <w:t>Allowance for credit losses on loans</w:t>
            </w:r>
          </w:p>
        </w:tc>
        <w:tc>
          <w:tcPr>
            <w:tcW w:w="6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(39,560</w:t>
            </w:r>
          </w:p>
        </w:tc>
        <w:tc>
          <w:tcPr>
            <w:tcW w:w="80"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right"/>
              <w:rPr/>
            </w:pPr>
            <w:r>
              <w:rPr/>
              <w:t> </w:t>
            </w:r>
          </w:p>
        </w:tc>
        <w:tc>
          <w:tcPr>
            <w:tcW w:w="128"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08"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(39,288</w:t>
            </w:r>
          </w:p>
        </w:tc>
        <w:tc>
          <w:tcPr>
            <w:tcW w:w="97"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r>
      <w:tr>
        <w:trPr/>
        <w:tc>
          <w:tcPr>
            <w:tcW w:w="7667" w:type="dxa"/>
            <w:tcBorders/>
            <w:shd w:fill="auto" w:val="clear"/>
            <w:vAlign w:val="bottom"/>
          </w:tcPr>
          <w:p>
            <w:pPr>
              <w:pStyle w:val="TableContents"/>
              <w:spacing w:before="0" w:after="0"/>
              <w:ind w:left="180" w:right="0" w:hanging="0"/>
              <w:rPr/>
            </w:pPr>
            <w:r>
              <w:rPr/>
              <w:t>Loans held for investment, net</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980" w:type="dxa"/>
            <w:tcBorders/>
            <w:shd w:fill="auto" w:val="clear"/>
            <w:vAlign w:val="bottom"/>
          </w:tcPr>
          <w:p>
            <w:pPr>
              <w:pStyle w:val="TableContents"/>
              <w:spacing w:before="0" w:after="283"/>
              <w:jc w:val="right"/>
              <w:rPr/>
            </w:pPr>
            <w:r>
              <w:rPr/>
              <w:t>2,749,080</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8" w:type="dxa"/>
            <w:tcBorders/>
            <w:shd w:fill="auto" w:val="clear"/>
            <w:vAlign w:val="bottom"/>
          </w:tcPr>
          <w:p>
            <w:pPr>
              <w:pStyle w:val="TableContents"/>
              <w:spacing w:before="0" w:after="283"/>
              <w:jc w:val="left"/>
              <w:rPr/>
            </w:pPr>
            <w:r>
              <w:rPr/>
              <w:t> </w:t>
            </w:r>
          </w:p>
        </w:tc>
        <w:tc>
          <w:tcPr>
            <w:tcW w:w="1008" w:type="dxa"/>
            <w:tcBorders/>
            <w:shd w:fill="auto" w:val="clear"/>
            <w:vAlign w:val="bottom"/>
          </w:tcPr>
          <w:p>
            <w:pPr>
              <w:pStyle w:val="TableContents"/>
              <w:spacing w:before="0" w:after="283"/>
              <w:jc w:val="right"/>
              <w:rPr/>
            </w:pPr>
            <w:r>
              <w:rPr/>
              <w:t>2,708,793</w:t>
            </w:r>
          </w:p>
        </w:tc>
        <w:tc>
          <w:tcPr>
            <w:tcW w:w="97" w:type="dxa"/>
            <w:tcBorders/>
            <w:shd w:fill="auto" w:val="clear"/>
            <w:vAlign w:val="bottom"/>
          </w:tcPr>
          <w:p>
            <w:pPr>
              <w:pStyle w:val="TableContents"/>
              <w:spacing w:before="0" w:after="283"/>
              <w:jc w:val="left"/>
              <w:rPr/>
            </w:pPr>
            <w:r>
              <w:rPr/>
              <w:t> </w:t>
            </w:r>
          </w:p>
        </w:tc>
      </w:tr>
      <w:tr>
        <w:trPr/>
        <w:tc>
          <w:tcPr>
            <w:tcW w:w="7667" w:type="dxa"/>
            <w:tcBorders/>
            <w:shd w:fill="CCEE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Accrued interest receivable</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80"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14,421</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8" w:type="dxa"/>
            <w:tcBorders/>
            <w:shd w:fill="CCEEFF" w:val="clear"/>
            <w:vAlign w:val="bottom"/>
          </w:tcPr>
          <w:p>
            <w:pPr>
              <w:pStyle w:val="TableContents"/>
              <w:spacing w:before="0" w:after="283"/>
              <w:jc w:val="left"/>
              <w:rPr/>
            </w:pPr>
            <w:r>
              <w:rPr/>
              <w:t> </w:t>
            </w:r>
          </w:p>
        </w:tc>
        <w:tc>
          <w:tcPr>
            <w:tcW w:w="1008"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16,432</w:t>
            </w:r>
          </w:p>
        </w:tc>
        <w:tc>
          <w:tcPr>
            <w:tcW w:w="97" w:type="dxa"/>
            <w:tcBorders/>
            <w:shd w:fill="CCEEFF" w:val="clear"/>
            <w:vAlign w:val="bottom"/>
          </w:tcPr>
          <w:p>
            <w:pPr>
              <w:pStyle w:val="TableContents"/>
              <w:spacing w:before="0" w:after="283"/>
              <w:jc w:val="left"/>
              <w:rPr/>
            </w:pPr>
            <w:r>
              <w:rPr/>
              <w:t> </w:t>
            </w:r>
          </w:p>
        </w:tc>
      </w:tr>
      <w:tr>
        <w:trPr/>
        <w:tc>
          <w:tcPr>
            <w:tcW w:w="7667" w:type="dxa"/>
            <w:tcBorders/>
            <w:shd w:fill="auto"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Premises and equipment, net</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980"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56,079</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8" w:type="dxa"/>
            <w:tcBorders/>
            <w:shd w:fill="auto" w:val="clear"/>
            <w:vAlign w:val="bottom"/>
          </w:tcPr>
          <w:p>
            <w:pPr>
              <w:pStyle w:val="TableContents"/>
              <w:spacing w:before="0" w:after="283"/>
              <w:jc w:val="left"/>
              <w:rPr/>
            </w:pPr>
            <w:r>
              <w:rPr/>
              <w:t> </w:t>
            </w:r>
          </w:p>
        </w:tc>
        <w:tc>
          <w:tcPr>
            <w:tcW w:w="1008"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56,337</w:t>
            </w:r>
          </w:p>
        </w:tc>
        <w:tc>
          <w:tcPr>
            <w:tcW w:w="97" w:type="dxa"/>
            <w:tcBorders/>
            <w:shd w:fill="auto" w:val="clear"/>
            <w:vAlign w:val="bottom"/>
          </w:tcPr>
          <w:p>
            <w:pPr>
              <w:pStyle w:val="TableContents"/>
              <w:spacing w:before="0" w:after="283"/>
              <w:jc w:val="left"/>
              <w:rPr/>
            </w:pPr>
            <w:r>
              <w:rPr/>
              <w:t> </w:t>
            </w:r>
          </w:p>
        </w:tc>
      </w:tr>
      <w:tr>
        <w:trPr/>
        <w:tc>
          <w:tcPr>
            <w:tcW w:w="7667" w:type="dxa"/>
            <w:tcBorders/>
            <w:shd w:fill="CCEE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Bank-owned life insurance</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80"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73,474</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8" w:type="dxa"/>
            <w:tcBorders/>
            <w:shd w:fill="CCEEFF" w:val="clear"/>
            <w:vAlign w:val="bottom"/>
          </w:tcPr>
          <w:p>
            <w:pPr>
              <w:pStyle w:val="TableContents"/>
              <w:spacing w:before="0" w:after="283"/>
              <w:jc w:val="left"/>
              <w:rPr/>
            </w:pPr>
            <w:r>
              <w:rPr/>
              <w:t> </w:t>
            </w:r>
          </w:p>
        </w:tc>
        <w:tc>
          <w:tcPr>
            <w:tcW w:w="1008"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73,174</w:t>
            </w:r>
          </w:p>
        </w:tc>
        <w:tc>
          <w:tcPr>
            <w:tcW w:w="97" w:type="dxa"/>
            <w:tcBorders/>
            <w:shd w:fill="CCEEFF" w:val="clear"/>
            <w:vAlign w:val="bottom"/>
          </w:tcPr>
          <w:p>
            <w:pPr>
              <w:pStyle w:val="TableContents"/>
              <w:spacing w:before="0" w:after="283"/>
              <w:jc w:val="left"/>
              <w:rPr/>
            </w:pPr>
            <w:r>
              <w:rPr/>
              <w:t> </w:t>
            </w:r>
          </w:p>
        </w:tc>
      </w:tr>
      <w:tr>
        <w:trPr/>
        <w:tc>
          <w:tcPr>
            <w:tcW w:w="7667" w:type="dxa"/>
            <w:tcBorders/>
            <w:shd w:fill="auto"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Goodwill</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980"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19,508</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8" w:type="dxa"/>
            <w:tcBorders/>
            <w:shd w:fill="auto" w:val="clear"/>
            <w:vAlign w:val="bottom"/>
          </w:tcPr>
          <w:p>
            <w:pPr>
              <w:pStyle w:val="TableContents"/>
              <w:spacing w:before="0" w:after="283"/>
              <w:jc w:val="left"/>
              <w:rPr/>
            </w:pPr>
            <w:r>
              <w:rPr/>
              <w:t> </w:t>
            </w:r>
          </w:p>
        </w:tc>
        <w:tc>
          <w:tcPr>
            <w:tcW w:w="1008"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19,508</w:t>
            </w:r>
          </w:p>
        </w:tc>
        <w:tc>
          <w:tcPr>
            <w:tcW w:w="97" w:type="dxa"/>
            <w:tcBorders/>
            <w:shd w:fill="auto" w:val="clear"/>
            <w:vAlign w:val="bottom"/>
          </w:tcPr>
          <w:p>
            <w:pPr>
              <w:pStyle w:val="TableContents"/>
              <w:spacing w:before="0" w:after="283"/>
              <w:jc w:val="left"/>
              <w:rPr/>
            </w:pPr>
            <w:r>
              <w:rPr/>
              <w:t> </w:t>
            </w:r>
          </w:p>
        </w:tc>
      </w:tr>
      <w:tr>
        <w:trPr/>
        <w:tc>
          <w:tcPr>
            <w:tcW w:w="7667" w:type="dxa"/>
            <w:tcBorders/>
            <w:shd w:fill="CCEE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Intangible assets, net</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80"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3,988</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8" w:type="dxa"/>
            <w:tcBorders/>
            <w:shd w:fill="CCEEFF" w:val="clear"/>
            <w:vAlign w:val="bottom"/>
          </w:tcPr>
          <w:p>
            <w:pPr>
              <w:pStyle w:val="TableContents"/>
              <w:spacing w:before="0" w:after="283"/>
              <w:jc w:val="left"/>
              <w:rPr/>
            </w:pPr>
            <w:r>
              <w:rPr/>
              <w:t> </w:t>
            </w:r>
          </w:p>
        </w:tc>
        <w:tc>
          <w:tcPr>
            <w:tcW w:w="1008"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4,349</w:t>
            </w:r>
          </w:p>
        </w:tc>
        <w:tc>
          <w:tcPr>
            <w:tcW w:w="97" w:type="dxa"/>
            <w:tcBorders/>
            <w:shd w:fill="CCEEFF" w:val="clear"/>
            <w:vAlign w:val="bottom"/>
          </w:tcPr>
          <w:p>
            <w:pPr>
              <w:pStyle w:val="TableContents"/>
              <w:spacing w:before="0" w:after="283"/>
              <w:jc w:val="left"/>
              <w:rPr/>
            </w:pPr>
            <w:r>
              <w:rPr/>
              <w:t> </w:t>
            </w:r>
          </w:p>
        </w:tc>
      </w:tr>
      <w:tr>
        <w:trPr/>
        <w:tc>
          <w:tcPr>
            <w:tcW w:w="7667" w:type="dxa"/>
            <w:tcBorders/>
            <w:shd w:fill="auto"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Mortgage servicing rights</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980"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25,795</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8" w:type="dxa"/>
            <w:tcBorders/>
            <w:shd w:fill="auto" w:val="clear"/>
            <w:vAlign w:val="bottom"/>
          </w:tcPr>
          <w:p>
            <w:pPr>
              <w:pStyle w:val="TableContents"/>
              <w:spacing w:before="0" w:after="283"/>
              <w:jc w:val="left"/>
              <w:rPr/>
            </w:pPr>
            <w:r>
              <w:rPr/>
              <w:t> </w:t>
            </w:r>
          </w:p>
        </w:tc>
        <w:tc>
          <w:tcPr>
            <w:tcW w:w="1008"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27,474</w:t>
            </w:r>
          </w:p>
        </w:tc>
        <w:tc>
          <w:tcPr>
            <w:tcW w:w="97" w:type="dxa"/>
            <w:tcBorders/>
            <w:shd w:fill="auto" w:val="clear"/>
            <w:vAlign w:val="bottom"/>
          </w:tcPr>
          <w:p>
            <w:pPr>
              <w:pStyle w:val="TableContents"/>
              <w:spacing w:before="0" w:after="283"/>
              <w:jc w:val="left"/>
              <w:rPr/>
            </w:pPr>
            <w:r>
              <w:rPr/>
              <w:t> </w:t>
            </w:r>
          </w:p>
        </w:tc>
      </w:tr>
      <w:tr>
        <w:trPr/>
        <w:tc>
          <w:tcPr>
            <w:tcW w:w="7667" w:type="dxa"/>
            <w:tcBorders/>
            <w:shd w:fill="CCEE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Deferred tax asset, net</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80"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21,779</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8" w:type="dxa"/>
            <w:tcBorders/>
            <w:shd w:fill="CCEEFF" w:val="clear"/>
            <w:vAlign w:val="bottom"/>
          </w:tcPr>
          <w:p>
            <w:pPr>
              <w:pStyle w:val="TableContents"/>
              <w:spacing w:before="0" w:after="283"/>
              <w:jc w:val="left"/>
              <w:rPr/>
            </w:pPr>
            <w:r>
              <w:rPr/>
              <w:t> </w:t>
            </w:r>
          </w:p>
        </w:tc>
        <w:tc>
          <w:tcPr>
            <w:tcW w:w="1008"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22,818</w:t>
            </w:r>
          </w:p>
        </w:tc>
        <w:tc>
          <w:tcPr>
            <w:tcW w:w="97" w:type="dxa"/>
            <w:tcBorders/>
            <w:shd w:fill="CCEEFF" w:val="clear"/>
            <w:vAlign w:val="bottom"/>
          </w:tcPr>
          <w:p>
            <w:pPr>
              <w:pStyle w:val="TableContents"/>
              <w:spacing w:before="0" w:after="283"/>
              <w:jc w:val="left"/>
              <w:rPr/>
            </w:pPr>
            <w:r>
              <w:rPr/>
              <w:t> </w:t>
            </w:r>
          </w:p>
        </w:tc>
      </w:tr>
      <w:tr>
        <w:trPr/>
        <w:tc>
          <w:tcPr>
            <w:tcW w:w="7667" w:type="dxa"/>
            <w:tcBorders/>
            <w:shd w:fill="auto"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Other assets</w:t>
            </w:r>
          </w:p>
        </w:tc>
        <w:tc>
          <w:tcPr>
            <w:tcW w:w="60" w:type="dxa"/>
            <w:tcBorders/>
            <w:shd w:fill="auto" w:val="clear"/>
            <w:vAlign w:val="bottom"/>
          </w:tcPr>
          <w:p>
            <w:pPr>
              <w:pStyle w:val="TableContents"/>
              <w:spacing w:before="0" w:after="283"/>
              <w:jc w:val="right"/>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98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46,896</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8"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008"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48,181</w:t>
            </w:r>
          </w:p>
        </w:tc>
        <w:tc>
          <w:tcPr>
            <w:tcW w:w="97" w:type="dxa"/>
            <w:tcBorders/>
            <w:shd w:fill="auto" w:val="clear"/>
            <w:vAlign w:val="bottom"/>
          </w:tcPr>
          <w:p>
            <w:pPr>
              <w:pStyle w:val="TableContents"/>
              <w:spacing w:before="0" w:after="283"/>
              <w:jc w:val="left"/>
              <w:rPr/>
            </w:pPr>
            <w:r>
              <w:rPr/>
              <w:t> </w:t>
            </w:r>
          </w:p>
        </w:tc>
      </w:tr>
      <w:tr>
        <w:trPr/>
        <w:tc>
          <w:tcPr>
            <w:tcW w:w="7667" w:type="dxa"/>
            <w:tcBorders/>
            <w:shd w:fill="CCEEFF" w:val="clear"/>
            <w:vAlign w:val="bottom"/>
          </w:tcPr>
          <w:p>
            <w:pPr>
              <w:pStyle w:val="TableContents"/>
              <w:spacing w:before="0" w:after="0"/>
              <w:ind w:left="0" w:right="0" w:firstLine="360"/>
              <w:jc w:val="left"/>
              <w:rPr>
                <w:rFonts w:ascii="Times New Roman" w:hAnsi="Times New Roman"/>
                <w:sz w:val="20"/>
              </w:rPr>
            </w:pPr>
            <w:r>
              <w:rPr>
                <w:rFonts w:ascii="Times New Roman" w:hAnsi="Times New Roman"/>
                <w:sz w:val="20"/>
              </w:rPr>
              <w:t>Total assets</w:t>
            </w:r>
          </w:p>
        </w:tc>
        <w:tc>
          <w:tcPr>
            <w:tcW w:w="60"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980"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4,058,049</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8"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1008"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3,944,063</w:t>
            </w:r>
          </w:p>
        </w:tc>
        <w:tc>
          <w:tcPr>
            <w:tcW w:w="97" w:type="dxa"/>
            <w:tcBorders/>
            <w:shd w:fill="CCEEFF" w:val="clear"/>
            <w:vAlign w:val="bottom"/>
          </w:tcPr>
          <w:p>
            <w:pPr>
              <w:pStyle w:val="TableContents"/>
              <w:spacing w:before="0" w:after="283"/>
              <w:jc w:val="left"/>
              <w:rPr/>
            </w:pPr>
            <w:r>
              <w:rPr/>
              <w:t> </w:t>
            </w:r>
          </w:p>
        </w:tc>
      </w:tr>
      <w:tr>
        <w:trPr/>
        <w:tc>
          <w:tcPr>
            <w:tcW w:w="76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980"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8" w:type="dxa"/>
            <w:tcBorders/>
            <w:shd w:fill="auto" w:val="clear"/>
            <w:vAlign w:val="bottom"/>
          </w:tcPr>
          <w:p>
            <w:pPr>
              <w:pStyle w:val="TableContents"/>
              <w:spacing w:before="0" w:after="283"/>
              <w:jc w:val="left"/>
              <w:rPr/>
            </w:pPr>
            <w:r>
              <w:rPr/>
              <w:t> </w:t>
            </w:r>
          </w:p>
        </w:tc>
        <w:tc>
          <w:tcPr>
            <w:tcW w:w="1008" w:type="dxa"/>
            <w:tcBorders/>
            <w:shd w:fill="auto" w:val="clear"/>
            <w:vAlign w:val="bottom"/>
          </w:tcPr>
          <w:p>
            <w:pPr>
              <w:pStyle w:val="TableContents"/>
              <w:spacing w:before="0" w:after="283"/>
              <w:jc w:val="right"/>
              <w:rPr/>
            </w:pPr>
            <w:r>
              <w:rPr/>
              <w:t> </w:t>
            </w:r>
          </w:p>
        </w:tc>
        <w:tc>
          <w:tcPr>
            <w:tcW w:w="97" w:type="dxa"/>
            <w:tcBorders/>
            <w:shd w:fill="auto" w:val="clear"/>
            <w:vAlign w:val="bottom"/>
          </w:tcPr>
          <w:p>
            <w:pPr>
              <w:pStyle w:val="TableContents"/>
              <w:spacing w:before="0" w:after="283"/>
              <w:jc w:val="left"/>
              <w:rPr/>
            </w:pPr>
            <w:r>
              <w:rPr/>
              <w:t> </w:t>
            </w:r>
          </w:p>
        </w:tc>
      </w:tr>
      <w:tr>
        <w:trPr/>
        <w:tc>
          <w:tcPr>
            <w:tcW w:w="7667" w:type="dxa"/>
            <w:tcBorders/>
            <w:shd w:fill="CCEEFF" w:val="clear"/>
            <w:vAlign w:val="bottom"/>
          </w:tcPr>
          <w:p>
            <w:pPr>
              <w:pStyle w:val="TableContents"/>
              <w:spacing w:before="0" w:after="0"/>
              <w:ind w:left="180" w:right="0" w:hanging="180"/>
              <w:jc w:val="left"/>
              <w:rPr>
                <w:rFonts w:ascii="Times New Roman" w:hAnsi="Times New Roman"/>
                <w:sz w:val="20"/>
                <w:u w:val="single"/>
              </w:rPr>
            </w:pPr>
            <w:r>
              <w:rPr>
                <w:rFonts w:ascii="Times New Roman" w:hAnsi="Times New Roman"/>
                <w:sz w:val="20"/>
                <w:u w:val="single"/>
              </w:rPr>
              <w:t>LIABILITIES AND STOCKHOLDERS’ EQUITY</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80"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8" w:type="dxa"/>
            <w:tcBorders/>
            <w:shd w:fill="CCEEFF" w:val="clear"/>
            <w:vAlign w:val="bottom"/>
          </w:tcPr>
          <w:p>
            <w:pPr>
              <w:pStyle w:val="TableContents"/>
              <w:spacing w:before="0" w:after="283"/>
              <w:jc w:val="left"/>
              <w:rPr/>
            </w:pPr>
            <w:r>
              <w:rPr/>
              <w:t> </w:t>
            </w:r>
          </w:p>
        </w:tc>
        <w:tc>
          <w:tcPr>
            <w:tcW w:w="1008" w:type="dxa"/>
            <w:tcBorders/>
            <w:shd w:fill="CCEEFF" w:val="clear"/>
            <w:vAlign w:val="bottom"/>
          </w:tcPr>
          <w:p>
            <w:pPr>
              <w:pStyle w:val="TableContents"/>
              <w:spacing w:before="0" w:after="283"/>
              <w:jc w:val="right"/>
              <w:rPr/>
            </w:pPr>
            <w:r>
              <w:rPr/>
              <w:t> </w:t>
            </w:r>
          </w:p>
        </w:tc>
        <w:tc>
          <w:tcPr>
            <w:tcW w:w="97" w:type="dxa"/>
            <w:tcBorders/>
            <w:shd w:fill="CCEEFF" w:val="clear"/>
            <w:vAlign w:val="bottom"/>
          </w:tcPr>
          <w:p>
            <w:pPr>
              <w:pStyle w:val="TableContents"/>
              <w:spacing w:before="0" w:after="283"/>
              <w:jc w:val="left"/>
              <w:rPr/>
            </w:pPr>
            <w:r>
              <w:rPr/>
              <w:t> </w:t>
            </w:r>
          </w:p>
        </w:tc>
      </w:tr>
      <w:tr>
        <w:trPr/>
        <w:tc>
          <w:tcPr>
            <w:tcW w:w="76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980"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8" w:type="dxa"/>
            <w:tcBorders/>
            <w:shd w:fill="auto" w:val="clear"/>
            <w:vAlign w:val="bottom"/>
          </w:tcPr>
          <w:p>
            <w:pPr>
              <w:pStyle w:val="TableContents"/>
              <w:spacing w:before="0" w:after="283"/>
              <w:jc w:val="left"/>
              <w:rPr/>
            </w:pPr>
            <w:r>
              <w:rPr/>
              <w:t> </w:t>
            </w:r>
          </w:p>
        </w:tc>
        <w:tc>
          <w:tcPr>
            <w:tcW w:w="1008" w:type="dxa"/>
            <w:tcBorders/>
            <w:shd w:fill="auto" w:val="clear"/>
            <w:vAlign w:val="bottom"/>
          </w:tcPr>
          <w:p>
            <w:pPr>
              <w:pStyle w:val="TableContents"/>
              <w:spacing w:before="0" w:after="283"/>
              <w:jc w:val="right"/>
              <w:rPr/>
            </w:pPr>
            <w:r>
              <w:rPr/>
              <w:t> </w:t>
            </w:r>
          </w:p>
        </w:tc>
        <w:tc>
          <w:tcPr>
            <w:tcW w:w="97" w:type="dxa"/>
            <w:tcBorders/>
            <w:shd w:fill="auto" w:val="clear"/>
            <w:vAlign w:val="bottom"/>
          </w:tcPr>
          <w:p>
            <w:pPr>
              <w:pStyle w:val="TableContents"/>
              <w:spacing w:before="0" w:after="283"/>
              <w:jc w:val="left"/>
              <w:rPr/>
            </w:pPr>
            <w:r>
              <w:rPr/>
              <w:t> </w:t>
            </w:r>
          </w:p>
        </w:tc>
      </w:tr>
      <w:tr>
        <w:trPr/>
        <w:tc>
          <w:tcPr>
            <w:tcW w:w="7667" w:type="dxa"/>
            <w:tcBorders/>
            <w:shd w:fill="CCEE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Deposits:</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80"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8" w:type="dxa"/>
            <w:tcBorders/>
            <w:shd w:fill="CCEEFF" w:val="clear"/>
            <w:vAlign w:val="bottom"/>
          </w:tcPr>
          <w:p>
            <w:pPr>
              <w:pStyle w:val="TableContents"/>
              <w:spacing w:before="0" w:after="283"/>
              <w:jc w:val="left"/>
              <w:rPr/>
            </w:pPr>
            <w:r>
              <w:rPr/>
              <w:t> </w:t>
            </w:r>
          </w:p>
        </w:tc>
        <w:tc>
          <w:tcPr>
            <w:tcW w:w="1008" w:type="dxa"/>
            <w:tcBorders/>
            <w:shd w:fill="CCEEFF" w:val="clear"/>
            <w:vAlign w:val="bottom"/>
          </w:tcPr>
          <w:p>
            <w:pPr>
              <w:pStyle w:val="TableContents"/>
              <w:spacing w:before="0" w:after="283"/>
              <w:jc w:val="right"/>
              <w:rPr/>
            </w:pPr>
            <w:r>
              <w:rPr/>
              <w:t> </w:t>
            </w:r>
          </w:p>
        </w:tc>
        <w:tc>
          <w:tcPr>
            <w:tcW w:w="97" w:type="dxa"/>
            <w:tcBorders/>
            <w:shd w:fill="CCEEFF" w:val="clear"/>
            <w:vAlign w:val="bottom"/>
          </w:tcPr>
          <w:p>
            <w:pPr>
              <w:pStyle w:val="TableContents"/>
              <w:spacing w:before="0" w:after="283"/>
              <w:jc w:val="left"/>
              <w:rPr/>
            </w:pPr>
            <w:r>
              <w:rPr/>
              <w:t> </w:t>
            </w:r>
          </w:p>
        </w:tc>
      </w:tr>
      <w:tr>
        <w:trPr/>
        <w:tc>
          <w:tcPr>
            <w:tcW w:w="7667" w:type="dxa"/>
            <w:tcBorders/>
            <w:shd w:fill="auto" w:val="clear"/>
            <w:vAlign w:val="bottom"/>
          </w:tcPr>
          <w:p>
            <w:pPr>
              <w:pStyle w:val="TableContents"/>
              <w:spacing w:before="0" w:after="0"/>
              <w:ind w:left="288" w:right="0" w:hanging="144"/>
              <w:jc w:val="left"/>
              <w:rPr>
                <w:rFonts w:ascii="Times New Roman" w:hAnsi="Times New Roman"/>
                <w:sz w:val="20"/>
              </w:rPr>
            </w:pPr>
            <w:r>
              <w:rPr>
                <w:rFonts w:ascii="Times New Roman" w:hAnsi="Times New Roman"/>
                <w:sz w:val="20"/>
              </w:rPr>
              <w:t>Noninterest-bearing</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980"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1,110,939</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8"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1008"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1,150,488</w:t>
            </w:r>
          </w:p>
        </w:tc>
        <w:tc>
          <w:tcPr>
            <w:tcW w:w="97" w:type="dxa"/>
            <w:tcBorders/>
            <w:shd w:fill="auto" w:val="clear"/>
            <w:vAlign w:val="bottom"/>
          </w:tcPr>
          <w:p>
            <w:pPr>
              <w:pStyle w:val="TableContents"/>
              <w:spacing w:before="0" w:after="283"/>
              <w:jc w:val="left"/>
              <w:rPr/>
            </w:pPr>
            <w:r>
              <w:rPr/>
              <w:t> </w:t>
            </w:r>
          </w:p>
        </w:tc>
      </w:tr>
      <w:tr>
        <w:trPr/>
        <w:tc>
          <w:tcPr>
            <w:tcW w:w="7667" w:type="dxa"/>
            <w:tcBorders/>
            <w:shd w:fill="CCEEFF" w:val="clear"/>
            <w:vAlign w:val="bottom"/>
          </w:tcPr>
          <w:p>
            <w:pPr>
              <w:pStyle w:val="TableContents"/>
              <w:spacing w:before="0" w:after="0"/>
              <w:ind w:left="288" w:right="0" w:hanging="144"/>
              <w:jc w:val="left"/>
              <w:rPr>
                <w:rFonts w:ascii="Times New Roman" w:hAnsi="Times New Roman"/>
                <w:sz w:val="20"/>
              </w:rPr>
            </w:pPr>
            <w:r>
              <w:rPr>
                <w:rFonts w:ascii="Times New Roman" w:hAnsi="Times New Roman"/>
                <w:sz w:val="20"/>
              </w:rPr>
              <w:t>Interest-bearing</w:t>
            </w:r>
          </w:p>
        </w:tc>
        <w:tc>
          <w:tcPr>
            <w:tcW w:w="6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2,397,115</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8"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08"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2,255,942</w:t>
            </w:r>
          </w:p>
        </w:tc>
        <w:tc>
          <w:tcPr>
            <w:tcW w:w="97" w:type="dxa"/>
            <w:tcBorders/>
            <w:shd w:fill="CCEEFF" w:val="clear"/>
            <w:vAlign w:val="bottom"/>
          </w:tcPr>
          <w:p>
            <w:pPr>
              <w:pStyle w:val="TableContents"/>
              <w:spacing w:before="0" w:after="283"/>
              <w:jc w:val="left"/>
              <w:rPr/>
            </w:pPr>
            <w:r>
              <w:rPr/>
              <w:t> </w:t>
            </w:r>
          </w:p>
        </w:tc>
      </w:tr>
      <w:tr>
        <w:trPr/>
        <w:tc>
          <w:tcPr>
            <w:tcW w:w="7667" w:type="dxa"/>
            <w:tcBorders/>
            <w:shd w:fill="auto" w:val="clear"/>
            <w:vAlign w:val="bottom"/>
          </w:tcPr>
          <w:p>
            <w:pPr>
              <w:pStyle w:val="TableContents"/>
              <w:spacing w:before="0" w:after="0"/>
              <w:ind w:left="504" w:right="0" w:hanging="144"/>
              <w:jc w:val="left"/>
              <w:rPr>
                <w:rFonts w:ascii="Times New Roman" w:hAnsi="Times New Roman"/>
                <w:sz w:val="20"/>
              </w:rPr>
            </w:pPr>
            <w:r>
              <w:rPr>
                <w:rFonts w:ascii="Times New Roman" w:hAnsi="Times New Roman"/>
                <w:sz w:val="20"/>
              </w:rPr>
              <w:t>Total deposits</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980"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3,508,054</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8" w:type="dxa"/>
            <w:tcBorders/>
            <w:shd w:fill="auto" w:val="clear"/>
            <w:vAlign w:val="bottom"/>
          </w:tcPr>
          <w:p>
            <w:pPr>
              <w:pStyle w:val="TableContents"/>
              <w:spacing w:before="0" w:after="283"/>
              <w:jc w:val="left"/>
              <w:rPr/>
            </w:pPr>
            <w:r>
              <w:rPr/>
              <w:t> </w:t>
            </w:r>
          </w:p>
        </w:tc>
        <w:tc>
          <w:tcPr>
            <w:tcW w:w="1008"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3,406,430</w:t>
            </w:r>
          </w:p>
        </w:tc>
        <w:tc>
          <w:tcPr>
            <w:tcW w:w="97" w:type="dxa"/>
            <w:tcBorders/>
            <w:shd w:fill="auto" w:val="clear"/>
            <w:vAlign w:val="bottom"/>
          </w:tcPr>
          <w:p>
            <w:pPr>
              <w:pStyle w:val="TableContents"/>
              <w:spacing w:before="0" w:after="283"/>
              <w:jc w:val="left"/>
              <w:rPr/>
            </w:pPr>
            <w:r>
              <w:rPr/>
              <w:t> </w:t>
            </w:r>
          </w:p>
        </w:tc>
      </w:tr>
      <w:tr>
        <w:trPr/>
        <w:tc>
          <w:tcPr>
            <w:tcW w:w="7667" w:type="dxa"/>
            <w:tcBorders/>
            <w:shd w:fill="CCEE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Accrued expenses and other liabilities</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80"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59,631</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8" w:type="dxa"/>
            <w:tcBorders/>
            <w:shd w:fill="CCEEFF" w:val="clear"/>
            <w:vAlign w:val="bottom"/>
          </w:tcPr>
          <w:p>
            <w:pPr>
              <w:pStyle w:val="TableContents"/>
              <w:spacing w:before="0" w:after="283"/>
              <w:jc w:val="left"/>
              <w:rPr/>
            </w:pPr>
            <w:r>
              <w:rPr/>
              <w:t> </w:t>
            </w:r>
          </w:p>
        </w:tc>
        <w:tc>
          <w:tcPr>
            <w:tcW w:w="1008"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58,265</w:t>
            </w:r>
          </w:p>
        </w:tc>
        <w:tc>
          <w:tcPr>
            <w:tcW w:w="97" w:type="dxa"/>
            <w:tcBorders/>
            <w:shd w:fill="CCEEFF" w:val="clear"/>
            <w:vAlign w:val="bottom"/>
          </w:tcPr>
          <w:p>
            <w:pPr>
              <w:pStyle w:val="TableContents"/>
              <w:spacing w:before="0" w:after="283"/>
              <w:jc w:val="left"/>
              <w:rPr/>
            </w:pPr>
            <w:r>
              <w:rPr/>
              <w:t> </w:t>
            </w:r>
          </w:p>
        </w:tc>
      </w:tr>
      <w:tr>
        <w:trPr/>
        <w:tc>
          <w:tcPr>
            <w:tcW w:w="7667" w:type="dxa"/>
            <w:tcBorders/>
            <w:shd w:fill="auto"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Subordinated debt</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980"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76,007</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8" w:type="dxa"/>
            <w:tcBorders/>
            <w:shd w:fill="auto" w:val="clear"/>
            <w:vAlign w:val="bottom"/>
          </w:tcPr>
          <w:p>
            <w:pPr>
              <w:pStyle w:val="TableContents"/>
              <w:spacing w:before="0" w:after="283"/>
              <w:jc w:val="left"/>
              <w:rPr/>
            </w:pPr>
            <w:r>
              <w:rPr/>
              <w:t> </w:t>
            </w:r>
          </w:p>
        </w:tc>
        <w:tc>
          <w:tcPr>
            <w:tcW w:w="1008"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75,961</w:t>
            </w:r>
          </w:p>
        </w:tc>
        <w:tc>
          <w:tcPr>
            <w:tcW w:w="97" w:type="dxa"/>
            <w:tcBorders/>
            <w:shd w:fill="auto" w:val="clear"/>
            <w:vAlign w:val="bottom"/>
          </w:tcPr>
          <w:p>
            <w:pPr>
              <w:pStyle w:val="TableContents"/>
              <w:spacing w:before="0" w:after="283"/>
              <w:jc w:val="left"/>
              <w:rPr/>
            </w:pPr>
            <w:r>
              <w:rPr/>
              <w:t> </w:t>
            </w:r>
          </w:p>
        </w:tc>
      </w:tr>
      <w:tr>
        <w:trPr/>
        <w:tc>
          <w:tcPr>
            <w:tcW w:w="7667" w:type="dxa"/>
            <w:tcBorders/>
            <w:shd w:fill="CCEE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Junior subordinated deferrable interest debentures</w:t>
            </w:r>
          </w:p>
        </w:tc>
        <w:tc>
          <w:tcPr>
            <w:tcW w:w="6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46,393</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8"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08"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46,393</w:t>
            </w:r>
          </w:p>
        </w:tc>
        <w:tc>
          <w:tcPr>
            <w:tcW w:w="97" w:type="dxa"/>
            <w:tcBorders/>
            <w:shd w:fill="CCEEFF" w:val="clear"/>
            <w:vAlign w:val="bottom"/>
          </w:tcPr>
          <w:p>
            <w:pPr>
              <w:pStyle w:val="TableContents"/>
              <w:spacing w:before="0" w:after="283"/>
              <w:jc w:val="left"/>
              <w:rPr/>
            </w:pPr>
            <w:r>
              <w:rPr/>
              <w:t> </w:t>
            </w:r>
          </w:p>
        </w:tc>
      </w:tr>
      <w:tr>
        <w:trPr/>
        <w:tc>
          <w:tcPr>
            <w:tcW w:w="7667" w:type="dxa"/>
            <w:tcBorders/>
            <w:shd w:fill="auto" w:val="clear"/>
            <w:vAlign w:val="bottom"/>
          </w:tcPr>
          <w:p>
            <w:pPr>
              <w:pStyle w:val="TableContents"/>
              <w:spacing w:before="0" w:after="0"/>
              <w:ind w:left="504" w:right="0" w:hanging="144"/>
              <w:jc w:val="left"/>
              <w:rPr>
                <w:rFonts w:ascii="Times New Roman" w:hAnsi="Times New Roman"/>
                <w:sz w:val="20"/>
              </w:rPr>
            </w:pPr>
            <w:r>
              <w:rPr>
                <w:rFonts w:ascii="Times New Roman" w:hAnsi="Times New Roman"/>
                <w:sz w:val="20"/>
              </w:rPr>
              <w:t>Total liabilities</w:t>
            </w:r>
          </w:p>
        </w:tc>
        <w:tc>
          <w:tcPr>
            <w:tcW w:w="60" w:type="dxa"/>
            <w:tcBorders/>
            <w:shd w:fill="auto" w:val="clear"/>
            <w:vAlign w:val="bottom"/>
          </w:tcPr>
          <w:p>
            <w:pPr>
              <w:pStyle w:val="TableContents"/>
              <w:spacing w:before="0" w:after="283"/>
              <w:jc w:val="right"/>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98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3,690,085</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8"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008"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3,587,049</w:t>
            </w:r>
          </w:p>
        </w:tc>
        <w:tc>
          <w:tcPr>
            <w:tcW w:w="97" w:type="dxa"/>
            <w:tcBorders/>
            <w:shd w:fill="auto" w:val="clear"/>
            <w:vAlign w:val="bottom"/>
          </w:tcPr>
          <w:p>
            <w:pPr>
              <w:pStyle w:val="TableContents"/>
              <w:spacing w:before="0" w:after="283"/>
              <w:jc w:val="left"/>
              <w:rPr/>
            </w:pPr>
            <w:r>
              <w:rPr/>
              <w:t> </w:t>
            </w:r>
          </w:p>
        </w:tc>
      </w:tr>
      <w:tr>
        <w:trPr/>
        <w:tc>
          <w:tcPr>
            <w:tcW w:w="766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80"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8" w:type="dxa"/>
            <w:tcBorders/>
            <w:shd w:fill="CCEEFF" w:val="clear"/>
            <w:vAlign w:val="bottom"/>
          </w:tcPr>
          <w:p>
            <w:pPr>
              <w:pStyle w:val="TableContents"/>
              <w:spacing w:before="0" w:after="283"/>
              <w:jc w:val="left"/>
              <w:rPr/>
            </w:pPr>
            <w:r>
              <w:rPr/>
              <w:t> </w:t>
            </w:r>
          </w:p>
        </w:tc>
        <w:tc>
          <w:tcPr>
            <w:tcW w:w="1008" w:type="dxa"/>
            <w:tcBorders/>
            <w:shd w:fill="CCEEFF" w:val="clear"/>
            <w:vAlign w:val="bottom"/>
          </w:tcPr>
          <w:p>
            <w:pPr>
              <w:pStyle w:val="TableContents"/>
              <w:spacing w:before="0" w:after="283"/>
              <w:jc w:val="right"/>
              <w:rPr/>
            </w:pPr>
            <w:r>
              <w:rPr/>
              <w:t> </w:t>
            </w:r>
          </w:p>
        </w:tc>
        <w:tc>
          <w:tcPr>
            <w:tcW w:w="97" w:type="dxa"/>
            <w:tcBorders/>
            <w:shd w:fill="CCEEFF" w:val="clear"/>
            <w:vAlign w:val="bottom"/>
          </w:tcPr>
          <w:p>
            <w:pPr>
              <w:pStyle w:val="TableContents"/>
              <w:spacing w:before="0" w:after="283"/>
              <w:jc w:val="left"/>
              <w:rPr/>
            </w:pPr>
            <w:r>
              <w:rPr/>
              <w:t> </w:t>
            </w:r>
          </w:p>
        </w:tc>
      </w:tr>
      <w:tr>
        <w:trPr/>
        <w:tc>
          <w:tcPr>
            <w:tcW w:w="7667" w:type="dxa"/>
            <w:tcBorders/>
            <w:shd w:fill="auto"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Stockholders’ equity:</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980"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8" w:type="dxa"/>
            <w:tcBorders/>
            <w:shd w:fill="auto" w:val="clear"/>
            <w:vAlign w:val="bottom"/>
          </w:tcPr>
          <w:p>
            <w:pPr>
              <w:pStyle w:val="TableContents"/>
              <w:spacing w:before="0" w:after="283"/>
              <w:jc w:val="left"/>
              <w:rPr/>
            </w:pPr>
            <w:r>
              <w:rPr/>
              <w:t> </w:t>
            </w:r>
          </w:p>
        </w:tc>
        <w:tc>
          <w:tcPr>
            <w:tcW w:w="1008" w:type="dxa"/>
            <w:tcBorders/>
            <w:shd w:fill="auto" w:val="clear"/>
            <w:vAlign w:val="bottom"/>
          </w:tcPr>
          <w:p>
            <w:pPr>
              <w:pStyle w:val="TableContents"/>
              <w:spacing w:before="0" w:after="283"/>
              <w:jc w:val="right"/>
              <w:rPr/>
            </w:pPr>
            <w:r>
              <w:rPr/>
              <w:t> </w:t>
            </w:r>
          </w:p>
        </w:tc>
        <w:tc>
          <w:tcPr>
            <w:tcW w:w="97" w:type="dxa"/>
            <w:tcBorders/>
            <w:shd w:fill="auto" w:val="clear"/>
            <w:vAlign w:val="bottom"/>
          </w:tcPr>
          <w:p>
            <w:pPr>
              <w:pStyle w:val="TableContents"/>
              <w:spacing w:before="0" w:after="283"/>
              <w:jc w:val="left"/>
              <w:rPr/>
            </w:pPr>
            <w:r>
              <w:rPr/>
              <w:t> </w:t>
            </w:r>
          </w:p>
        </w:tc>
      </w:tr>
      <w:tr>
        <w:trPr/>
        <w:tc>
          <w:tcPr>
            <w:tcW w:w="7667" w:type="dxa"/>
            <w:tcBorders/>
            <w:shd w:fill="CCEEFF" w:val="clear"/>
            <w:vAlign w:val="bottom"/>
          </w:tcPr>
          <w:p>
            <w:pPr>
              <w:pStyle w:val="TableContents"/>
              <w:spacing w:before="0" w:after="0"/>
              <w:ind w:left="288" w:right="0" w:hanging="0"/>
              <w:jc w:val="left"/>
              <w:rPr>
                <w:rFonts w:ascii="Times New Roman" w:hAnsi="Times New Roman"/>
                <w:sz w:val="20"/>
              </w:rPr>
            </w:pPr>
            <w:r>
              <w:rPr>
                <w:rFonts w:ascii="Times New Roman" w:hAnsi="Times New Roman"/>
                <w:sz w:val="20"/>
              </w:rPr>
              <w:t>Common stock, $1.00 par value per share, 30,000,000 shares authorized; 17,062,572 and 17,027,197 issued and outstanding at March 31, 2023 and December 31, 2022, respectively</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80"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17,062</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8" w:type="dxa"/>
            <w:tcBorders/>
            <w:shd w:fill="CCEEFF" w:val="clear"/>
            <w:vAlign w:val="bottom"/>
          </w:tcPr>
          <w:p>
            <w:pPr>
              <w:pStyle w:val="TableContents"/>
              <w:spacing w:before="0" w:after="283"/>
              <w:jc w:val="left"/>
              <w:rPr/>
            </w:pPr>
            <w:r>
              <w:rPr/>
              <w:t> </w:t>
            </w:r>
          </w:p>
        </w:tc>
        <w:tc>
          <w:tcPr>
            <w:tcW w:w="1008"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17,027</w:t>
            </w:r>
          </w:p>
        </w:tc>
        <w:tc>
          <w:tcPr>
            <w:tcW w:w="97" w:type="dxa"/>
            <w:tcBorders/>
            <w:shd w:fill="CCEEFF" w:val="clear"/>
            <w:vAlign w:val="bottom"/>
          </w:tcPr>
          <w:p>
            <w:pPr>
              <w:pStyle w:val="TableContents"/>
              <w:spacing w:before="0" w:after="283"/>
              <w:jc w:val="left"/>
              <w:rPr/>
            </w:pPr>
            <w:r>
              <w:rPr/>
              <w:t> </w:t>
            </w:r>
          </w:p>
        </w:tc>
      </w:tr>
      <w:tr>
        <w:trPr/>
        <w:tc>
          <w:tcPr>
            <w:tcW w:w="7667" w:type="dxa"/>
            <w:tcBorders/>
            <w:shd w:fill="auto" w:val="clear"/>
            <w:vAlign w:val="bottom"/>
          </w:tcPr>
          <w:p>
            <w:pPr>
              <w:pStyle w:val="TableContents"/>
              <w:spacing w:before="0" w:after="0"/>
              <w:ind w:left="288" w:right="0" w:hanging="144"/>
              <w:jc w:val="left"/>
              <w:rPr>
                <w:rFonts w:ascii="Times New Roman" w:hAnsi="Times New Roman"/>
                <w:sz w:val="20"/>
              </w:rPr>
            </w:pPr>
            <w:r>
              <w:rPr>
                <w:rFonts w:ascii="Times New Roman" w:hAnsi="Times New Roman"/>
                <w:sz w:val="20"/>
              </w:rPr>
              <w:t>Additional paid-in capital</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980"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112,981</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8" w:type="dxa"/>
            <w:tcBorders/>
            <w:shd w:fill="auto" w:val="clear"/>
            <w:vAlign w:val="bottom"/>
          </w:tcPr>
          <w:p>
            <w:pPr>
              <w:pStyle w:val="TableContents"/>
              <w:spacing w:before="0" w:after="283"/>
              <w:jc w:val="left"/>
              <w:rPr/>
            </w:pPr>
            <w:r>
              <w:rPr/>
              <w:t> </w:t>
            </w:r>
          </w:p>
        </w:tc>
        <w:tc>
          <w:tcPr>
            <w:tcW w:w="1008"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112,834</w:t>
            </w:r>
          </w:p>
        </w:tc>
        <w:tc>
          <w:tcPr>
            <w:tcW w:w="97" w:type="dxa"/>
            <w:tcBorders/>
            <w:shd w:fill="auto" w:val="clear"/>
            <w:vAlign w:val="bottom"/>
          </w:tcPr>
          <w:p>
            <w:pPr>
              <w:pStyle w:val="TableContents"/>
              <w:spacing w:before="0" w:after="283"/>
              <w:jc w:val="left"/>
              <w:rPr/>
            </w:pPr>
            <w:r>
              <w:rPr/>
              <w:t> </w:t>
            </w:r>
          </w:p>
        </w:tc>
      </w:tr>
      <w:tr>
        <w:trPr/>
        <w:tc>
          <w:tcPr>
            <w:tcW w:w="7667" w:type="dxa"/>
            <w:tcBorders/>
            <w:shd w:fill="CCEEFF" w:val="clear"/>
            <w:vAlign w:val="bottom"/>
          </w:tcPr>
          <w:p>
            <w:pPr>
              <w:pStyle w:val="TableContents"/>
              <w:spacing w:before="0" w:after="0"/>
              <w:ind w:left="288" w:right="0" w:hanging="144"/>
              <w:jc w:val="left"/>
              <w:rPr>
                <w:rFonts w:ascii="Times New Roman" w:hAnsi="Times New Roman"/>
                <w:sz w:val="20"/>
              </w:rPr>
            </w:pPr>
            <w:r>
              <w:rPr>
                <w:rFonts w:ascii="Times New Roman" w:hAnsi="Times New Roman"/>
                <w:sz w:val="20"/>
              </w:rPr>
              <w:t>Retained earnings</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80"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298,300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8" w:type="dxa"/>
            <w:tcBorders/>
            <w:shd w:fill="CCEEFF" w:val="clear"/>
            <w:vAlign w:val="bottom"/>
          </w:tcPr>
          <w:p>
            <w:pPr>
              <w:pStyle w:val="TableContents"/>
              <w:spacing w:before="0" w:after="283"/>
              <w:jc w:val="left"/>
              <w:rPr/>
            </w:pPr>
            <w:r>
              <w:rPr/>
              <w:t> </w:t>
            </w:r>
          </w:p>
        </w:tc>
        <w:tc>
          <w:tcPr>
            <w:tcW w:w="1008"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292,261</w:t>
            </w:r>
          </w:p>
        </w:tc>
        <w:tc>
          <w:tcPr>
            <w:tcW w:w="97" w:type="dxa"/>
            <w:tcBorders/>
            <w:shd w:fill="CCEEFF" w:val="clear"/>
            <w:vAlign w:val="bottom"/>
          </w:tcPr>
          <w:p>
            <w:pPr>
              <w:pStyle w:val="TableContents"/>
              <w:spacing w:before="0" w:after="283"/>
              <w:jc w:val="left"/>
              <w:rPr/>
            </w:pPr>
            <w:r>
              <w:rPr/>
              <w:t> </w:t>
            </w:r>
          </w:p>
        </w:tc>
      </w:tr>
      <w:tr>
        <w:trPr/>
        <w:tc>
          <w:tcPr>
            <w:tcW w:w="7667" w:type="dxa"/>
            <w:tcBorders/>
            <w:shd w:fill="auto" w:val="clear"/>
            <w:vAlign w:val="bottom"/>
          </w:tcPr>
          <w:p>
            <w:pPr>
              <w:pStyle w:val="TableContents"/>
              <w:spacing w:before="0" w:after="0"/>
              <w:ind w:left="288" w:right="0" w:hanging="144"/>
              <w:jc w:val="left"/>
              <w:rPr>
                <w:rFonts w:ascii="Times New Roman" w:hAnsi="Times New Roman"/>
                <w:sz w:val="20"/>
              </w:rPr>
            </w:pPr>
            <w:r>
              <w:rPr>
                <w:rFonts w:ascii="Times New Roman" w:hAnsi="Times New Roman"/>
                <w:sz w:val="20"/>
              </w:rPr>
              <w:t>Accumulated other comprehensive loss</w:t>
            </w:r>
          </w:p>
        </w:tc>
        <w:tc>
          <w:tcPr>
            <w:tcW w:w="60" w:type="dxa"/>
            <w:tcBorders/>
            <w:shd w:fill="auto" w:val="clear"/>
            <w:vAlign w:val="bottom"/>
          </w:tcPr>
          <w:p>
            <w:pPr>
              <w:pStyle w:val="TableContents"/>
              <w:spacing w:before="0" w:after="283"/>
              <w:jc w:val="right"/>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98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(60,379</w:t>
            </w:r>
          </w:p>
        </w:tc>
        <w:tc>
          <w:tcPr>
            <w:tcW w:w="80"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auto" w:val="clear"/>
            <w:vAlign w:val="bottom"/>
          </w:tcPr>
          <w:p>
            <w:pPr>
              <w:pStyle w:val="TableContents"/>
              <w:spacing w:before="0" w:after="283"/>
              <w:jc w:val="right"/>
              <w:rPr/>
            </w:pPr>
            <w:r>
              <w:rPr/>
              <w:t> </w:t>
            </w:r>
          </w:p>
        </w:tc>
        <w:tc>
          <w:tcPr>
            <w:tcW w:w="128"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008"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(65,108</w:t>
            </w:r>
          </w:p>
        </w:tc>
        <w:tc>
          <w:tcPr>
            <w:tcW w:w="97"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r>
      <w:tr>
        <w:trPr/>
        <w:tc>
          <w:tcPr>
            <w:tcW w:w="7667" w:type="dxa"/>
            <w:tcBorders/>
            <w:shd w:fill="CCEEFF" w:val="clear"/>
            <w:vAlign w:val="bottom"/>
          </w:tcPr>
          <w:p>
            <w:pPr>
              <w:pStyle w:val="TableContents"/>
              <w:spacing w:before="0" w:after="0"/>
              <w:ind w:left="504" w:right="0" w:hanging="144"/>
              <w:jc w:val="left"/>
              <w:rPr>
                <w:rFonts w:ascii="Times New Roman" w:hAnsi="Times New Roman"/>
                <w:sz w:val="20"/>
              </w:rPr>
            </w:pPr>
            <w:r>
              <w:rPr>
                <w:rFonts w:ascii="Times New Roman" w:hAnsi="Times New Roman"/>
                <w:sz w:val="20"/>
              </w:rPr>
              <w:t>Total stockholders’ equity</w:t>
            </w:r>
          </w:p>
        </w:tc>
        <w:tc>
          <w:tcPr>
            <w:tcW w:w="6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367,964</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8"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08"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357,014</w:t>
            </w:r>
          </w:p>
        </w:tc>
        <w:tc>
          <w:tcPr>
            <w:tcW w:w="97" w:type="dxa"/>
            <w:tcBorders/>
            <w:shd w:fill="CCEEFF" w:val="clear"/>
            <w:vAlign w:val="bottom"/>
          </w:tcPr>
          <w:p>
            <w:pPr>
              <w:pStyle w:val="TableContents"/>
              <w:spacing w:before="0" w:after="283"/>
              <w:jc w:val="left"/>
              <w:rPr/>
            </w:pPr>
            <w:r>
              <w:rPr/>
              <w:t> </w:t>
            </w:r>
          </w:p>
        </w:tc>
      </w:tr>
      <w:tr>
        <w:trPr/>
        <w:tc>
          <w:tcPr>
            <w:tcW w:w="7667" w:type="dxa"/>
            <w:tcBorders/>
            <w:shd w:fill="auto" w:val="clear"/>
            <w:vAlign w:val="bottom"/>
          </w:tcPr>
          <w:p>
            <w:pPr>
              <w:pStyle w:val="TableContents"/>
              <w:spacing w:before="0" w:after="0"/>
              <w:ind w:left="504" w:right="0" w:hanging="144"/>
              <w:jc w:val="left"/>
              <w:rPr>
                <w:rFonts w:ascii="Times New Roman" w:hAnsi="Times New Roman"/>
                <w:sz w:val="20"/>
              </w:rPr>
            </w:pPr>
            <w:r>
              <w:rPr>
                <w:rFonts w:ascii="Times New Roman" w:hAnsi="Times New Roman"/>
                <w:sz w:val="20"/>
              </w:rPr>
              <w:t>Total liabilities and stockholders’ equity</w:t>
            </w:r>
          </w:p>
        </w:tc>
        <w:tc>
          <w:tcPr>
            <w:tcW w:w="60" w:type="dxa"/>
            <w:tcBorders/>
            <w:shd w:fill="auto" w:val="clear"/>
            <w:vAlign w:val="bottom"/>
          </w:tcPr>
          <w:p>
            <w:pPr>
              <w:pStyle w:val="TableContents"/>
              <w:spacing w:before="0" w:after="283"/>
              <w:jc w:val="right"/>
              <w:rPr/>
            </w:pPr>
            <w:r>
              <w:rPr/>
              <w:t> </w:t>
            </w:r>
          </w:p>
        </w:tc>
        <w:tc>
          <w:tcPr>
            <w:tcW w:w="125"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980"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4,058,049</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8"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1008"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3,944,063</w:t>
            </w:r>
          </w:p>
        </w:tc>
        <w:tc>
          <w:tcPr>
            <w:tcW w:w="97" w:type="dxa"/>
            <w:tcBorders/>
            <w:shd w:fill="auto" w:val="clear"/>
            <w:vAlign w:val="bottom"/>
          </w:tcPr>
          <w:p>
            <w:pPr>
              <w:pStyle w:val="TableContents"/>
              <w:spacing w:before="0" w:after="283"/>
              <w:jc w:val="left"/>
              <w:rPr/>
            </w:pPr>
            <w:r>
              <w:rPr/>
              <w:t> </w:t>
            </w:r>
          </w:p>
        </w:tc>
      </w:tr>
    </w:tbl>
    <w:p>
      <w:pPr>
        <w:pStyle w:val="TextBody"/>
        <w:spacing w:before="0" w:after="0"/>
        <w:jc w:val="left"/>
        <w:rPr/>
      </w:pPr>
      <w:r>
        <w:rPr/>
      </w:r>
    </w:p>
    <w:p>
      <w:pPr>
        <w:pStyle w:val="TextBody"/>
        <w:spacing w:before="0" w:after="0"/>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b w:val="false"/>
            <w:i/>
            <w:color w:val="000000"/>
            <w:sz w:val="16"/>
          </w:rPr>
          <w:t>Table of Contents</w:t>
        </w:r>
      </w:hyperlink>
    </w:p>
    <w:p>
      <w:pPr>
        <w:pStyle w:val="TextBody"/>
        <w:spacing w:before="0" w:after="0"/>
        <w:jc w:val="center"/>
        <w:rPr>
          <w:rFonts w:ascii="Times New Roman" w:hAnsi="Times New Roman"/>
          <w:b/>
          <w:color w:val="000000"/>
          <w:sz w:val="20"/>
        </w:rPr>
      </w:pPr>
      <w:r>
        <w:rPr>
          <w:rFonts w:ascii="Times New Roman" w:hAnsi="Times New Roman"/>
          <w:b/>
          <w:color w:val="000000"/>
          <w:sz w:val="20"/>
        </w:rPr>
        <w:t>SOUTH PLAINS FINANCIAL, INC. AND SUBSIDIARIES</w:t>
      </w:r>
    </w:p>
    <w:p>
      <w:pPr>
        <w:pStyle w:val="TextBody"/>
        <w:spacing w:before="0" w:after="0"/>
        <w:jc w:val="center"/>
        <w:rPr>
          <w:rFonts w:ascii="Times New Roman" w:hAnsi="Times New Roman"/>
          <w:b/>
          <w:color w:val="000000"/>
          <w:sz w:val="20"/>
        </w:rPr>
      </w:pPr>
      <w:r>
        <w:rPr>
          <w:rFonts w:ascii="Times New Roman" w:hAnsi="Times New Roman"/>
          <w:b/>
          <w:color w:val="000000"/>
          <w:sz w:val="20"/>
        </w:rPr>
        <w:t xml:space="preserve">CONSOLIDATED </w:t>
      </w:r>
      <w:bookmarkStart w:id="5" w:name="STATEMENTSOFCOMPREHENSIVE"/>
      <w:bookmarkEnd w:id="5"/>
      <w:r>
        <w:rPr>
          <w:rFonts w:ascii="Times New Roman" w:hAnsi="Times New Roman"/>
          <w:b/>
          <w:color w:val="000000"/>
          <w:sz w:val="20"/>
        </w:rPr>
        <w:t>STATEMENTS OF COMPREHENSIVE INCOME (LOSS)</w:t>
      </w:r>
    </w:p>
    <w:p>
      <w:pPr>
        <w:pStyle w:val="TextBody"/>
        <w:spacing w:before="0" w:after="0"/>
        <w:jc w:val="center"/>
        <w:rPr>
          <w:rFonts w:ascii="Times New Roman" w:hAnsi="Times New Roman"/>
          <w:b/>
          <w:color w:val="000000"/>
          <w:sz w:val="20"/>
        </w:rPr>
      </w:pPr>
      <w:r>
        <w:rPr>
          <w:rFonts w:ascii="Times New Roman" w:hAnsi="Times New Roman"/>
          <w:b/>
          <w:color w:val="000000"/>
          <w:sz w:val="20"/>
        </w:rPr>
        <w:t>(Unaudited)</w:t>
      </w:r>
    </w:p>
    <w:p>
      <w:pPr>
        <w:pStyle w:val="TextBody"/>
        <w:spacing w:before="0" w:after="0"/>
        <w:jc w:val="center"/>
        <w:rPr>
          <w:rFonts w:ascii="Times New Roman" w:hAnsi="Times New Roman"/>
          <w:b/>
          <w:color w:val="000000"/>
          <w:sz w:val="20"/>
        </w:rPr>
      </w:pPr>
      <w:r>
        <w:rPr>
          <w:rFonts w:ascii="Times New Roman" w:hAnsi="Times New Roman"/>
          <w:b/>
          <w:color w:val="000000"/>
          <w:sz w:val="20"/>
        </w:rPr>
        <w:t>(Dollars in thousands, except per share data)</w:t>
      </w:r>
    </w:p>
    <w:p>
      <w:pPr>
        <w:pStyle w:val="TextBody"/>
        <w:spacing w:before="0" w:after="0"/>
        <w:jc w:val="left"/>
        <w:rPr/>
      </w:pPr>
      <w:r>
        <w:rPr/>
      </w:r>
    </w:p>
    <w:tbl>
      <w:tblPr>
        <w:tblW w:w="6583" w:type="dxa"/>
        <w:jc w:val="left"/>
        <w:tblInd w:w="0" w:type="dxa"/>
        <w:tblCellMar>
          <w:top w:w="0" w:type="dxa"/>
          <w:left w:w="0" w:type="dxa"/>
          <w:bottom w:w="0" w:type="dxa"/>
          <w:right w:w="0" w:type="dxa"/>
        </w:tblCellMar>
      </w:tblPr>
      <w:tblGrid>
        <w:gridCol w:w="4640"/>
        <w:gridCol w:w="60"/>
        <w:gridCol w:w="141"/>
        <w:gridCol w:w="666"/>
        <w:gridCol w:w="107"/>
        <w:gridCol w:w="67"/>
        <w:gridCol w:w="141"/>
        <w:gridCol w:w="666"/>
        <w:gridCol w:w="95"/>
      </w:tblGrid>
      <w:tr>
        <w:trPr/>
        <w:tc>
          <w:tcPr>
            <w:tcW w:w="464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788" w:type="dxa"/>
            <w:gridSpan w:val="6"/>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Three Months Ended</w:t>
            </w:r>
          </w:p>
          <w:p>
            <w:pPr>
              <w:pStyle w:val="TableContents"/>
              <w:spacing w:before="0" w:after="0"/>
              <w:jc w:val="center"/>
              <w:rPr>
                <w:rFonts w:ascii="Times New Roman" w:hAnsi="Times New Roman"/>
                <w:b/>
                <w:sz w:val="20"/>
              </w:rPr>
            </w:pPr>
            <w:r>
              <w:rPr>
                <w:rFonts w:ascii="Times New Roman" w:hAnsi="Times New Roman"/>
                <w:b/>
                <w:sz w:val="20"/>
              </w:rPr>
              <w:t>March 31,</w:t>
            </w:r>
          </w:p>
        </w:tc>
        <w:tc>
          <w:tcPr>
            <w:tcW w:w="95" w:type="dxa"/>
            <w:tcBorders/>
            <w:shd w:fill="auto" w:val="clear"/>
            <w:vAlign w:val="bottom"/>
          </w:tcPr>
          <w:p>
            <w:pPr>
              <w:pStyle w:val="TableContents"/>
              <w:spacing w:before="0" w:after="283"/>
              <w:jc w:val="left"/>
              <w:rPr/>
            </w:pPr>
            <w:r>
              <w:rPr/>
              <w:t> </w:t>
            </w:r>
          </w:p>
        </w:tc>
      </w:tr>
      <w:tr>
        <w:trPr/>
        <w:tc>
          <w:tcPr>
            <w:tcW w:w="46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7"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2023</w:t>
            </w:r>
          </w:p>
        </w:tc>
        <w:tc>
          <w:tcPr>
            <w:tcW w:w="107" w:type="dxa"/>
            <w:tcBorders/>
            <w:shd w:fill="auto" w:val="clear"/>
            <w:vAlign w:val="bottom"/>
          </w:tcPr>
          <w:p>
            <w:pPr>
              <w:pStyle w:val="TableContents"/>
              <w:spacing w:before="0" w:after="283"/>
              <w:jc w:val="left"/>
              <w:rPr/>
            </w:pPr>
            <w:r>
              <w:rPr/>
              <w:t> </w:t>
            </w:r>
          </w:p>
        </w:tc>
        <w:tc>
          <w:tcPr>
            <w:tcW w:w="67" w:type="dxa"/>
            <w:tcBorders/>
            <w:shd w:fill="auto" w:val="clear"/>
            <w:vAlign w:val="bottom"/>
          </w:tcPr>
          <w:p>
            <w:pPr>
              <w:pStyle w:val="TableContents"/>
              <w:spacing w:before="0" w:after="283"/>
              <w:rPr/>
            </w:pPr>
            <w:r>
              <w:rPr/>
              <w:t> </w:t>
            </w:r>
          </w:p>
        </w:tc>
        <w:tc>
          <w:tcPr>
            <w:tcW w:w="807"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2022</w:t>
            </w:r>
          </w:p>
        </w:tc>
        <w:tc>
          <w:tcPr>
            <w:tcW w:w="95" w:type="dxa"/>
            <w:tcBorders/>
            <w:shd w:fill="auto" w:val="clear"/>
            <w:vAlign w:val="bottom"/>
          </w:tcPr>
          <w:p>
            <w:pPr>
              <w:pStyle w:val="TableContents"/>
              <w:spacing w:before="0" w:after="283"/>
              <w:jc w:val="left"/>
              <w:rPr/>
            </w:pPr>
            <w:r>
              <w:rPr/>
              <w:t> </w:t>
            </w:r>
          </w:p>
        </w:tc>
      </w:tr>
      <w:tr>
        <w:trPr/>
        <w:tc>
          <w:tcPr>
            <w:tcW w:w="4640" w:type="dxa"/>
            <w:tcBorders/>
            <w:shd w:fill="auto"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Interest income:</w:t>
            </w:r>
          </w:p>
        </w:tc>
        <w:tc>
          <w:tcPr>
            <w:tcW w:w="60" w:type="dxa"/>
            <w:tcBorders/>
            <w:shd w:fill="auto" w:val="clear"/>
            <w:vAlign w:val="bottom"/>
          </w:tcPr>
          <w:p>
            <w:pPr>
              <w:pStyle w:val="TableContents"/>
              <w:spacing w:before="0" w:after="283"/>
              <w:rPr/>
            </w:pPr>
            <w:r>
              <w:rPr/>
              <w:t> </w:t>
            </w:r>
          </w:p>
        </w:tc>
        <w:tc>
          <w:tcPr>
            <w:tcW w:w="807" w:type="dxa"/>
            <w:gridSpan w:val="2"/>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jc w:val="left"/>
              <w:rPr/>
            </w:pPr>
            <w:r>
              <w:rPr/>
              <w:t> </w:t>
            </w:r>
          </w:p>
        </w:tc>
        <w:tc>
          <w:tcPr>
            <w:tcW w:w="67" w:type="dxa"/>
            <w:tcBorders/>
            <w:shd w:fill="auto" w:val="clear"/>
            <w:vAlign w:val="bottom"/>
          </w:tcPr>
          <w:p>
            <w:pPr>
              <w:pStyle w:val="TableContents"/>
              <w:spacing w:before="0" w:after="283"/>
              <w:rPr/>
            </w:pPr>
            <w:r>
              <w:rPr/>
              <w:t> </w:t>
            </w:r>
          </w:p>
        </w:tc>
        <w:tc>
          <w:tcPr>
            <w:tcW w:w="807" w:type="dxa"/>
            <w:gridSpan w:val="2"/>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left"/>
              <w:rPr/>
            </w:pPr>
            <w:r>
              <w:rPr/>
              <w:t> </w:t>
            </w:r>
          </w:p>
        </w:tc>
      </w:tr>
      <w:tr>
        <w:trPr/>
        <w:tc>
          <w:tcPr>
            <w:tcW w:w="4640" w:type="dxa"/>
            <w:tcBorders/>
            <w:shd w:fill="CCEEFF" w:val="clear"/>
            <w:vAlign w:val="bottom"/>
          </w:tcPr>
          <w:p>
            <w:pPr>
              <w:pStyle w:val="TableContents"/>
              <w:spacing w:before="0" w:after="0"/>
              <w:ind w:left="288" w:right="0" w:hanging="144"/>
              <w:jc w:val="left"/>
              <w:rPr>
                <w:rFonts w:ascii="Times New Roman" w:hAnsi="Times New Roman"/>
                <w:sz w:val="20"/>
              </w:rPr>
            </w:pPr>
            <w:r>
              <w:rPr>
                <w:rFonts w:ascii="Times New Roman" w:hAnsi="Times New Roman"/>
                <w:sz w:val="20"/>
              </w:rPr>
              <w:t>Loans, including fees</w:t>
            </w:r>
          </w:p>
        </w:tc>
        <w:tc>
          <w:tcPr>
            <w:tcW w:w="60" w:type="dxa"/>
            <w:tcBorders/>
            <w:shd w:fill="CCEEFF" w:val="clear"/>
            <w:vAlign w:val="bottom"/>
          </w:tcPr>
          <w:p>
            <w:pPr>
              <w:pStyle w:val="TableContents"/>
              <w:spacing w:before="0" w:after="283"/>
              <w:jc w:val="right"/>
              <w:rPr/>
            </w:pPr>
            <w:r>
              <w:rPr/>
              <w:t> </w:t>
            </w:r>
          </w:p>
        </w:tc>
        <w:tc>
          <w:tcPr>
            <w:tcW w:w="141"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66"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39,597</w:t>
            </w:r>
          </w:p>
        </w:tc>
        <w:tc>
          <w:tcPr>
            <w:tcW w:w="107" w:type="dxa"/>
            <w:tcBorders/>
            <w:shd w:fill="CCEEFF" w:val="clear"/>
            <w:vAlign w:val="bottom"/>
          </w:tcPr>
          <w:p>
            <w:pPr>
              <w:pStyle w:val="TableContents"/>
              <w:spacing w:before="0" w:after="283"/>
              <w:jc w:val="left"/>
              <w:rPr/>
            </w:pPr>
            <w:r>
              <w:rPr/>
              <w:t> </w:t>
            </w:r>
          </w:p>
        </w:tc>
        <w:tc>
          <w:tcPr>
            <w:tcW w:w="67" w:type="dxa"/>
            <w:tcBorders/>
            <w:shd w:fill="CCEEFF" w:val="clear"/>
            <w:vAlign w:val="bottom"/>
          </w:tcPr>
          <w:p>
            <w:pPr>
              <w:pStyle w:val="TableContents"/>
              <w:spacing w:before="0" w:after="283"/>
              <w:jc w:val="right"/>
              <w:rPr/>
            </w:pPr>
            <w:r>
              <w:rPr/>
              <w:t> </w:t>
            </w:r>
          </w:p>
        </w:tc>
        <w:tc>
          <w:tcPr>
            <w:tcW w:w="141"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66"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29,378</w:t>
            </w:r>
          </w:p>
        </w:tc>
        <w:tc>
          <w:tcPr>
            <w:tcW w:w="95" w:type="dxa"/>
            <w:tcBorders/>
            <w:shd w:fill="CCEEFF" w:val="clear"/>
            <w:vAlign w:val="bottom"/>
          </w:tcPr>
          <w:p>
            <w:pPr>
              <w:pStyle w:val="TableContents"/>
              <w:spacing w:before="0" w:after="283"/>
              <w:jc w:val="left"/>
              <w:rPr/>
            </w:pPr>
            <w:r>
              <w:rPr/>
              <w:t> </w:t>
            </w:r>
          </w:p>
        </w:tc>
      </w:tr>
      <w:tr>
        <w:trPr/>
        <w:tc>
          <w:tcPr>
            <w:tcW w:w="4640" w:type="dxa"/>
            <w:tcBorders/>
            <w:shd w:fill="auto" w:val="clear"/>
            <w:vAlign w:val="bottom"/>
          </w:tcPr>
          <w:p>
            <w:pPr>
              <w:pStyle w:val="TableContents"/>
              <w:spacing w:before="0" w:after="0"/>
              <w:ind w:left="288" w:right="0" w:hanging="144"/>
              <w:jc w:val="left"/>
              <w:rPr>
                <w:rFonts w:ascii="Times New Roman" w:hAnsi="Times New Roman"/>
                <w:sz w:val="20"/>
              </w:rPr>
            </w:pPr>
            <w:r>
              <w:rPr>
                <w:rFonts w:ascii="Times New Roman" w:hAnsi="Times New Roman"/>
                <w:sz w:val="20"/>
              </w:rPr>
              <w:t>Securities:</w:t>
            </w:r>
          </w:p>
        </w:tc>
        <w:tc>
          <w:tcPr>
            <w:tcW w:w="60" w:type="dxa"/>
            <w:tcBorders/>
            <w:shd w:fill="auto" w:val="clear"/>
            <w:vAlign w:val="bottom"/>
          </w:tcPr>
          <w:p>
            <w:pPr>
              <w:pStyle w:val="TableContents"/>
              <w:spacing w:before="0" w:after="283"/>
              <w:jc w:val="right"/>
              <w:rPr/>
            </w:pPr>
            <w:r>
              <w:rPr/>
              <w:t> </w:t>
            </w:r>
          </w:p>
        </w:tc>
        <w:tc>
          <w:tcPr>
            <w:tcW w:w="141" w:type="dxa"/>
            <w:tcBorders/>
            <w:shd w:fill="auto" w:val="clear"/>
            <w:vAlign w:val="bottom"/>
          </w:tcPr>
          <w:p>
            <w:pPr>
              <w:pStyle w:val="TableContents"/>
              <w:spacing w:before="0" w:after="283"/>
              <w:jc w:val="left"/>
              <w:rPr/>
            </w:pPr>
            <w:r>
              <w:rPr/>
              <w:t> </w:t>
            </w:r>
          </w:p>
        </w:tc>
        <w:tc>
          <w:tcPr>
            <w:tcW w:w="666" w:type="dxa"/>
            <w:tcBorders/>
            <w:shd w:fill="auto" w:val="clear"/>
            <w:vAlign w:val="bottom"/>
          </w:tcPr>
          <w:p>
            <w:pPr>
              <w:pStyle w:val="TableContents"/>
              <w:spacing w:before="0" w:after="283"/>
              <w:jc w:val="right"/>
              <w:rPr/>
            </w:pPr>
            <w:r>
              <w:rPr/>
              <w:t> </w:t>
            </w:r>
          </w:p>
        </w:tc>
        <w:tc>
          <w:tcPr>
            <w:tcW w:w="107" w:type="dxa"/>
            <w:tcBorders/>
            <w:shd w:fill="auto" w:val="clear"/>
            <w:vAlign w:val="bottom"/>
          </w:tcPr>
          <w:p>
            <w:pPr>
              <w:pStyle w:val="TableContents"/>
              <w:spacing w:before="0" w:after="283"/>
              <w:jc w:val="left"/>
              <w:rPr/>
            </w:pPr>
            <w:r>
              <w:rPr/>
              <w:t> </w:t>
            </w:r>
          </w:p>
        </w:tc>
        <w:tc>
          <w:tcPr>
            <w:tcW w:w="67" w:type="dxa"/>
            <w:tcBorders/>
            <w:shd w:fill="auto" w:val="clear"/>
            <w:vAlign w:val="bottom"/>
          </w:tcPr>
          <w:p>
            <w:pPr>
              <w:pStyle w:val="TableContents"/>
              <w:spacing w:before="0" w:after="283"/>
              <w:jc w:val="right"/>
              <w:rPr/>
            </w:pPr>
            <w:r>
              <w:rPr/>
              <w:t> </w:t>
            </w:r>
          </w:p>
        </w:tc>
        <w:tc>
          <w:tcPr>
            <w:tcW w:w="141" w:type="dxa"/>
            <w:tcBorders/>
            <w:shd w:fill="auto" w:val="clear"/>
            <w:vAlign w:val="bottom"/>
          </w:tcPr>
          <w:p>
            <w:pPr>
              <w:pStyle w:val="TableContents"/>
              <w:spacing w:before="0" w:after="283"/>
              <w:jc w:val="left"/>
              <w:rPr/>
            </w:pPr>
            <w:r>
              <w:rPr/>
              <w:t> </w:t>
            </w:r>
          </w:p>
        </w:tc>
        <w:tc>
          <w:tcPr>
            <w:tcW w:w="666"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r>
      <w:tr>
        <w:trPr/>
        <w:tc>
          <w:tcPr>
            <w:tcW w:w="4640" w:type="dxa"/>
            <w:tcBorders/>
            <w:shd w:fill="CCEEFF" w:val="clear"/>
            <w:vAlign w:val="bottom"/>
          </w:tcPr>
          <w:p>
            <w:pPr>
              <w:pStyle w:val="TableContents"/>
              <w:spacing w:before="0" w:after="0"/>
              <w:ind w:left="504" w:right="0" w:hanging="144"/>
              <w:jc w:val="left"/>
              <w:rPr>
                <w:rFonts w:ascii="Times New Roman" w:hAnsi="Times New Roman"/>
                <w:sz w:val="20"/>
              </w:rPr>
            </w:pPr>
            <w:r>
              <w:rPr>
                <w:rFonts w:ascii="Times New Roman" w:hAnsi="Times New Roman"/>
                <w:sz w:val="20"/>
              </w:rPr>
              <w:t>Taxable</w:t>
            </w:r>
          </w:p>
        </w:tc>
        <w:tc>
          <w:tcPr>
            <w:tcW w:w="60" w:type="dxa"/>
            <w:tcBorders/>
            <w:shd w:fill="CCEEFF" w:val="clear"/>
            <w:vAlign w:val="bottom"/>
          </w:tcPr>
          <w:p>
            <w:pPr>
              <w:pStyle w:val="TableContents"/>
              <w:spacing w:before="0" w:after="283"/>
              <w:jc w:val="right"/>
              <w:rPr/>
            </w:pPr>
            <w:r>
              <w:rPr/>
              <w:t> </w:t>
            </w:r>
          </w:p>
        </w:tc>
        <w:tc>
          <w:tcPr>
            <w:tcW w:w="141" w:type="dxa"/>
            <w:tcBorders/>
            <w:shd w:fill="CCEEFF" w:val="clear"/>
            <w:vAlign w:val="bottom"/>
          </w:tcPr>
          <w:p>
            <w:pPr>
              <w:pStyle w:val="TableContents"/>
              <w:spacing w:before="0" w:after="283"/>
              <w:jc w:val="left"/>
              <w:rPr/>
            </w:pPr>
            <w:r>
              <w:rPr/>
              <w:t> </w:t>
            </w:r>
          </w:p>
        </w:tc>
        <w:tc>
          <w:tcPr>
            <w:tcW w:w="666"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5,240</w:t>
            </w:r>
          </w:p>
        </w:tc>
        <w:tc>
          <w:tcPr>
            <w:tcW w:w="107" w:type="dxa"/>
            <w:tcBorders/>
            <w:shd w:fill="CCEEFF" w:val="clear"/>
            <w:vAlign w:val="bottom"/>
          </w:tcPr>
          <w:p>
            <w:pPr>
              <w:pStyle w:val="TableContents"/>
              <w:spacing w:before="0" w:after="283"/>
              <w:jc w:val="left"/>
              <w:rPr/>
            </w:pPr>
            <w:r>
              <w:rPr/>
              <w:t> </w:t>
            </w:r>
          </w:p>
        </w:tc>
        <w:tc>
          <w:tcPr>
            <w:tcW w:w="67" w:type="dxa"/>
            <w:tcBorders/>
            <w:shd w:fill="CCEEFF" w:val="clear"/>
            <w:vAlign w:val="bottom"/>
          </w:tcPr>
          <w:p>
            <w:pPr>
              <w:pStyle w:val="TableContents"/>
              <w:spacing w:before="0" w:after="283"/>
              <w:jc w:val="right"/>
              <w:rPr/>
            </w:pPr>
            <w:r>
              <w:rPr/>
              <w:t> </w:t>
            </w:r>
          </w:p>
        </w:tc>
        <w:tc>
          <w:tcPr>
            <w:tcW w:w="141" w:type="dxa"/>
            <w:tcBorders/>
            <w:shd w:fill="CCEEFF" w:val="clear"/>
            <w:vAlign w:val="bottom"/>
          </w:tcPr>
          <w:p>
            <w:pPr>
              <w:pStyle w:val="TableContents"/>
              <w:spacing w:before="0" w:after="283"/>
              <w:jc w:val="left"/>
              <w:rPr/>
            </w:pPr>
            <w:r>
              <w:rPr/>
              <w:t> </w:t>
            </w:r>
          </w:p>
        </w:tc>
        <w:tc>
          <w:tcPr>
            <w:tcW w:w="666"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2,376</w:t>
            </w:r>
          </w:p>
        </w:tc>
        <w:tc>
          <w:tcPr>
            <w:tcW w:w="95" w:type="dxa"/>
            <w:tcBorders/>
            <w:shd w:fill="CCEEFF" w:val="clear"/>
            <w:vAlign w:val="bottom"/>
          </w:tcPr>
          <w:p>
            <w:pPr>
              <w:pStyle w:val="TableContents"/>
              <w:spacing w:before="0" w:after="283"/>
              <w:jc w:val="left"/>
              <w:rPr/>
            </w:pPr>
            <w:r>
              <w:rPr/>
              <w:t> </w:t>
            </w:r>
          </w:p>
        </w:tc>
      </w:tr>
      <w:tr>
        <w:trPr/>
        <w:tc>
          <w:tcPr>
            <w:tcW w:w="4640" w:type="dxa"/>
            <w:tcBorders/>
            <w:shd w:fill="auto" w:val="clear"/>
            <w:vAlign w:val="bottom"/>
          </w:tcPr>
          <w:p>
            <w:pPr>
              <w:pStyle w:val="TableContents"/>
              <w:spacing w:before="0" w:after="0"/>
              <w:ind w:left="504" w:right="0" w:hanging="144"/>
              <w:jc w:val="left"/>
              <w:rPr>
                <w:rFonts w:ascii="Times New Roman" w:hAnsi="Times New Roman"/>
                <w:sz w:val="20"/>
              </w:rPr>
            </w:pPr>
            <w:r>
              <w:rPr>
                <w:rFonts w:ascii="Times New Roman" w:hAnsi="Times New Roman"/>
                <w:sz w:val="20"/>
              </w:rPr>
              <w:t>Non-taxable</w:t>
            </w:r>
          </w:p>
        </w:tc>
        <w:tc>
          <w:tcPr>
            <w:tcW w:w="60" w:type="dxa"/>
            <w:tcBorders/>
            <w:shd w:fill="auto" w:val="clear"/>
            <w:vAlign w:val="bottom"/>
          </w:tcPr>
          <w:p>
            <w:pPr>
              <w:pStyle w:val="TableContents"/>
              <w:spacing w:before="0" w:after="283"/>
              <w:jc w:val="right"/>
              <w:rPr/>
            </w:pPr>
            <w:r>
              <w:rPr/>
              <w:t> </w:t>
            </w:r>
          </w:p>
        </w:tc>
        <w:tc>
          <w:tcPr>
            <w:tcW w:w="141" w:type="dxa"/>
            <w:tcBorders/>
            <w:shd w:fill="auto" w:val="clear"/>
            <w:vAlign w:val="bottom"/>
          </w:tcPr>
          <w:p>
            <w:pPr>
              <w:pStyle w:val="TableContents"/>
              <w:spacing w:before="0" w:after="283"/>
              <w:jc w:val="left"/>
              <w:rPr/>
            </w:pPr>
            <w:r>
              <w:rPr/>
              <w:t> </w:t>
            </w:r>
          </w:p>
        </w:tc>
        <w:tc>
          <w:tcPr>
            <w:tcW w:w="666"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1,116</w:t>
            </w:r>
          </w:p>
        </w:tc>
        <w:tc>
          <w:tcPr>
            <w:tcW w:w="107" w:type="dxa"/>
            <w:tcBorders/>
            <w:shd w:fill="auto" w:val="clear"/>
            <w:vAlign w:val="bottom"/>
          </w:tcPr>
          <w:p>
            <w:pPr>
              <w:pStyle w:val="TableContents"/>
              <w:spacing w:before="0" w:after="283"/>
              <w:jc w:val="left"/>
              <w:rPr/>
            </w:pPr>
            <w:r>
              <w:rPr/>
              <w:t> </w:t>
            </w:r>
          </w:p>
        </w:tc>
        <w:tc>
          <w:tcPr>
            <w:tcW w:w="67" w:type="dxa"/>
            <w:tcBorders/>
            <w:shd w:fill="auto" w:val="clear"/>
            <w:vAlign w:val="bottom"/>
          </w:tcPr>
          <w:p>
            <w:pPr>
              <w:pStyle w:val="TableContents"/>
              <w:spacing w:before="0" w:after="283"/>
              <w:jc w:val="right"/>
              <w:rPr/>
            </w:pPr>
            <w:r>
              <w:rPr/>
              <w:t> </w:t>
            </w:r>
          </w:p>
        </w:tc>
        <w:tc>
          <w:tcPr>
            <w:tcW w:w="141" w:type="dxa"/>
            <w:tcBorders/>
            <w:shd w:fill="auto" w:val="clear"/>
            <w:vAlign w:val="bottom"/>
          </w:tcPr>
          <w:p>
            <w:pPr>
              <w:pStyle w:val="TableContents"/>
              <w:spacing w:before="0" w:after="283"/>
              <w:jc w:val="left"/>
              <w:rPr/>
            </w:pPr>
            <w:r>
              <w:rPr/>
              <w:t> </w:t>
            </w:r>
          </w:p>
        </w:tc>
        <w:tc>
          <w:tcPr>
            <w:tcW w:w="666"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1,144</w:t>
            </w:r>
          </w:p>
        </w:tc>
        <w:tc>
          <w:tcPr>
            <w:tcW w:w="95" w:type="dxa"/>
            <w:tcBorders/>
            <w:shd w:fill="auto" w:val="clear"/>
            <w:vAlign w:val="bottom"/>
          </w:tcPr>
          <w:p>
            <w:pPr>
              <w:pStyle w:val="TableContents"/>
              <w:spacing w:before="0" w:after="283"/>
              <w:jc w:val="left"/>
              <w:rPr/>
            </w:pPr>
            <w:r>
              <w:rPr/>
              <w:t> </w:t>
            </w:r>
          </w:p>
        </w:tc>
      </w:tr>
      <w:tr>
        <w:trPr/>
        <w:tc>
          <w:tcPr>
            <w:tcW w:w="4640" w:type="dxa"/>
            <w:tcBorders/>
            <w:shd w:fill="CCEEFF" w:val="clear"/>
            <w:vAlign w:val="bottom"/>
          </w:tcPr>
          <w:p>
            <w:pPr>
              <w:pStyle w:val="TableContents"/>
              <w:spacing w:before="0" w:after="0"/>
              <w:ind w:left="288" w:right="0" w:hanging="144"/>
              <w:jc w:val="left"/>
              <w:rPr>
                <w:rFonts w:ascii="Times New Roman" w:hAnsi="Times New Roman"/>
                <w:sz w:val="20"/>
              </w:rPr>
            </w:pPr>
            <w:r>
              <w:rPr>
                <w:rFonts w:ascii="Times New Roman" w:hAnsi="Times New Roman"/>
                <w:sz w:val="20"/>
              </w:rPr>
              <w:t>Federal funds sold and interest-bearing deposits in banks</w:t>
            </w:r>
          </w:p>
        </w:tc>
        <w:tc>
          <w:tcPr>
            <w:tcW w:w="60" w:type="dxa"/>
            <w:tcBorders/>
            <w:shd w:fill="CCEEFF" w:val="clear"/>
            <w:vAlign w:val="bottom"/>
          </w:tcPr>
          <w:p>
            <w:pPr>
              <w:pStyle w:val="TableContents"/>
              <w:spacing w:before="0" w:after="283"/>
              <w:jc w:val="right"/>
              <w:rPr/>
            </w:pPr>
            <w:r>
              <w:rPr/>
              <w:t> </w:t>
            </w:r>
          </w:p>
        </w:tc>
        <w:tc>
          <w:tcPr>
            <w:tcW w:w="14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66"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1,495</w:t>
            </w:r>
          </w:p>
        </w:tc>
        <w:tc>
          <w:tcPr>
            <w:tcW w:w="107" w:type="dxa"/>
            <w:tcBorders/>
            <w:shd w:fill="CCEEFF" w:val="clear"/>
            <w:vAlign w:val="bottom"/>
          </w:tcPr>
          <w:p>
            <w:pPr>
              <w:pStyle w:val="TableContents"/>
              <w:spacing w:before="0" w:after="283"/>
              <w:jc w:val="left"/>
              <w:rPr/>
            </w:pPr>
            <w:r>
              <w:rPr/>
              <w:t> </w:t>
            </w:r>
          </w:p>
        </w:tc>
        <w:tc>
          <w:tcPr>
            <w:tcW w:w="67" w:type="dxa"/>
            <w:tcBorders/>
            <w:shd w:fill="CCEEFF" w:val="clear"/>
            <w:vAlign w:val="bottom"/>
          </w:tcPr>
          <w:p>
            <w:pPr>
              <w:pStyle w:val="TableContents"/>
              <w:spacing w:before="0" w:after="283"/>
              <w:jc w:val="right"/>
              <w:rPr/>
            </w:pPr>
            <w:r>
              <w:rPr/>
              <w:t> </w:t>
            </w:r>
          </w:p>
        </w:tc>
        <w:tc>
          <w:tcPr>
            <w:tcW w:w="14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66"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182</w:t>
            </w:r>
          </w:p>
        </w:tc>
        <w:tc>
          <w:tcPr>
            <w:tcW w:w="95" w:type="dxa"/>
            <w:tcBorders/>
            <w:shd w:fill="CCEEFF" w:val="clear"/>
            <w:vAlign w:val="bottom"/>
          </w:tcPr>
          <w:p>
            <w:pPr>
              <w:pStyle w:val="TableContents"/>
              <w:spacing w:before="0" w:after="283"/>
              <w:jc w:val="left"/>
              <w:rPr/>
            </w:pPr>
            <w:r>
              <w:rPr/>
              <w:t> </w:t>
            </w:r>
          </w:p>
        </w:tc>
      </w:tr>
      <w:tr>
        <w:trPr/>
        <w:tc>
          <w:tcPr>
            <w:tcW w:w="4640" w:type="dxa"/>
            <w:tcBorders/>
            <w:shd w:fill="auto" w:val="clear"/>
            <w:vAlign w:val="bottom"/>
          </w:tcPr>
          <w:p>
            <w:pPr>
              <w:pStyle w:val="TableContents"/>
              <w:spacing w:before="0" w:after="0"/>
              <w:ind w:left="677" w:right="0" w:hanging="144"/>
              <w:jc w:val="left"/>
              <w:rPr>
                <w:rFonts w:ascii="Times New Roman" w:hAnsi="Times New Roman"/>
                <w:sz w:val="20"/>
              </w:rPr>
            </w:pPr>
            <w:r>
              <w:rPr>
                <w:rFonts w:ascii="Times New Roman" w:hAnsi="Times New Roman"/>
                <w:sz w:val="20"/>
              </w:rPr>
              <w:t>Total interest income</w:t>
            </w:r>
          </w:p>
        </w:tc>
        <w:tc>
          <w:tcPr>
            <w:tcW w:w="60" w:type="dxa"/>
            <w:tcBorders/>
            <w:shd w:fill="auto" w:val="clear"/>
            <w:vAlign w:val="bottom"/>
          </w:tcPr>
          <w:p>
            <w:pPr>
              <w:pStyle w:val="TableContents"/>
              <w:spacing w:before="0" w:after="283"/>
              <w:jc w:val="right"/>
              <w:rPr/>
            </w:pPr>
            <w:r>
              <w:rPr/>
              <w:t> </w:t>
            </w:r>
          </w:p>
        </w:tc>
        <w:tc>
          <w:tcPr>
            <w:tcW w:w="141"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66"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47,448</w:t>
            </w:r>
          </w:p>
        </w:tc>
        <w:tc>
          <w:tcPr>
            <w:tcW w:w="107" w:type="dxa"/>
            <w:tcBorders/>
            <w:shd w:fill="auto" w:val="clear"/>
            <w:vAlign w:val="bottom"/>
          </w:tcPr>
          <w:p>
            <w:pPr>
              <w:pStyle w:val="TableContents"/>
              <w:spacing w:before="0" w:after="283"/>
              <w:jc w:val="left"/>
              <w:rPr/>
            </w:pPr>
            <w:r>
              <w:rPr/>
              <w:t> </w:t>
            </w:r>
          </w:p>
        </w:tc>
        <w:tc>
          <w:tcPr>
            <w:tcW w:w="67" w:type="dxa"/>
            <w:tcBorders/>
            <w:shd w:fill="auto" w:val="clear"/>
            <w:vAlign w:val="bottom"/>
          </w:tcPr>
          <w:p>
            <w:pPr>
              <w:pStyle w:val="TableContents"/>
              <w:spacing w:before="0" w:after="283"/>
              <w:jc w:val="right"/>
              <w:rPr/>
            </w:pPr>
            <w:r>
              <w:rPr/>
              <w:t> </w:t>
            </w:r>
          </w:p>
        </w:tc>
        <w:tc>
          <w:tcPr>
            <w:tcW w:w="141"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66"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33,080</w:t>
            </w:r>
          </w:p>
        </w:tc>
        <w:tc>
          <w:tcPr>
            <w:tcW w:w="95" w:type="dxa"/>
            <w:tcBorders/>
            <w:shd w:fill="auto" w:val="clear"/>
            <w:vAlign w:val="bottom"/>
          </w:tcPr>
          <w:p>
            <w:pPr>
              <w:pStyle w:val="TableContents"/>
              <w:spacing w:before="0" w:after="283"/>
              <w:jc w:val="left"/>
              <w:rPr/>
            </w:pPr>
            <w:r>
              <w:rPr/>
              <w:t> </w:t>
            </w:r>
          </w:p>
        </w:tc>
      </w:tr>
      <w:tr>
        <w:trPr/>
        <w:tc>
          <w:tcPr>
            <w:tcW w:w="4640" w:type="dxa"/>
            <w:tcBorders/>
            <w:shd w:fill="CCEE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Interest expense:</w:t>
            </w:r>
          </w:p>
        </w:tc>
        <w:tc>
          <w:tcPr>
            <w:tcW w:w="60" w:type="dxa"/>
            <w:tcBorders/>
            <w:shd w:fill="CCEEFF" w:val="clear"/>
            <w:vAlign w:val="bottom"/>
          </w:tcPr>
          <w:p>
            <w:pPr>
              <w:pStyle w:val="TableContents"/>
              <w:spacing w:before="0" w:after="283"/>
              <w:jc w:val="right"/>
              <w:rPr/>
            </w:pPr>
            <w:r>
              <w:rPr/>
              <w:t> </w:t>
            </w:r>
          </w:p>
        </w:tc>
        <w:tc>
          <w:tcPr>
            <w:tcW w:w="141" w:type="dxa"/>
            <w:tcBorders/>
            <w:shd w:fill="CCEEFF" w:val="clear"/>
            <w:vAlign w:val="bottom"/>
          </w:tcPr>
          <w:p>
            <w:pPr>
              <w:pStyle w:val="TableContents"/>
              <w:spacing w:before="0" w:after="283"/>
              <w:jc w:val="left"/>
              <w:rPr/>
            </w:pPr>
            <w:r>
              <w:rPr/>
              <w:t> </w:t>
            </w:r>
          </w:p>
        </w:tc>
        <w:tc>
          <w:tcPr>
            <w:tcW w:w="666" w:type="dxa"/>
            <w:tcBorders/>
            <w:shd w:fill="CCEEFF" w:val="clear"/>
            <w:vAlign w:val="bottom"/>
          </w:tcPr>
          <w:p>
            <w:pPr>
              <w:pStyle w:val="TableContents"/>
              <w:spacing w:before="0" w:after="283"/>
              <w:jc w:val="right"/>
              <w:rPr/>
            </w:pPr>
            <w:r>
              <w:rPr/>
              <w:t> </w:t>
            </w:r>
          </w:p>
        </w:tc>
        <w:tc>
          <w:tcPr>
            <w:tcW w:w="107" w:type="dxa"/>
            <w:tcBorders/>
            <w:shd w:fill="CCEEFF" w:val="clear"/>
            <w:vAlign w:val="bottom"/>
          </w:tcPr>
          <w:p>
            <w:pPr>
              <w:pStyle w:val="TableContents"/>
              <w:spacing w:before="0" w:after="283"/>
              <w:jc w:val="left"/>
              <w:rPr/>
            </w:pPr>
            <w:r>
              <w:rPr/>
              <w:t> </w:t>
            </w:r>
          </w:p>
        </w:tc>
        <w:tc>
          <w:tcPr>
            <w:tcW w:w="67" w:type="dxa"/>
            <w:tcBorders/>
            <w:shd w:fill="CCEEFF" w:val="clear"/>
            <w:vAlign w:val="bottom"/>
          </w:tcPr>
          <w:p>
            <w:pPr>
              <w:pStyle w:val="TableContents"/>
              <w:spacing w:before="0" w:after="283"/>
              <w:jc w:val="right"/>
              <w:rPr/>
            </w:pPr>
            <w:r>
              <w:rPr/>
              <w:t> </w:t>
            </w:r>
          </w:p>
        </w:tc>
        <w:tc>
          <w:tcPr>
            <w:tcW w:w="141" w:type="dxa"/>
            <w:tcBorders/>
            <w:shd w:fill="CCEEFF" w:val="clear"/>
            <w:vAlign w:val="bottom"/>
          </w:tcPr>
          <w:p>
            <w:pPr>
              <w:pStyle w:val="TableContents"/>
              <w:spacing w:before="0" w:after="283"/>
              <w:jc w:val="left"/>
              <w:rPr/>
            </w:pPr>
            <w:r>
              <w:rPr/>
              <w:t> </w:t>
            </w:r>
          </w:p>
        </w:tc>
        <w:tc>
          <w:tcPr>
            <w:tcW w:w="666"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r>
      <w:tr>
        <w:trPr/>
        <w:tc>
          <w:tcPr>
            <w:tcW w:w="4640" w:type="dxa"/>
            <w:tcBorders/>
            <w:shd w:fill="auto" w:val="clear"/>
            <w:vAlign w:val="bottom"/>
          </w:tcPr>
          <w:p>
            <w:pPr>
              <w:pStyle w:val="TableContents"/>
              <w:spacing w:before="0" w:after="0"/>
              <w:ind w:left="288" w:right="0" w:hanging="144"/>
              <w:jc w:val="left"/>
              <w:rPr>
                <w:rFonts w:ascii="Times New Roman" w:hAnsi="Times New Roman"/>
                <w:sz w:val="20"/>
              </w:rPr>
            </w:pPr>
            <w:r>
              <w:rPr>
                <w:rFonts w:ascii="Times New Roman" w:hAnsi="Times New Roman"/>
                <w:sz w:val="20"/>
              </w:rPr>
              <w:t>Deposits</w:t>
            </w:r>
          </w:p>
        </w:tc>
        <w:tc>
          <w:tcPr>
            <w:tcW w:w="60" w:type="dxa"/>
            <w:tcBorders/>
            <w:shd w:fill="auto" w:val="clear"/>
            <w:vAlign w:val="bottom"/>
          </w:tcPr>
          <w:p>
            <w:pPr>
              <w:pStyle w:val="TableContents"/>
              <w:spacing w:before="0" w:after="283"/>
              <w:jc w:val="right"/>
              <w:rPr/>
            </w:pPr>
            <w:r>
              <w:rPr/>
              <w:t> </w:t>
            </w:r>
          </w:p>
        </w:tc>
        <w:tc>
          <w:tcPr>
            <w:tcW w:w="141" w:type="dxa"/>
            <w:tcBorders/>
            <w:shd w:fill="auto" w:val="clear"/>
            <w:vAlign w:val="bottom"/>
          </w:tcPr>
          <w:p>
            <w:pPr>
              <w:pStyle w:val="TableContents"/>
              <w:spacing w:before="0" w:after="283"/>
              <w:jc w:val="left"/>
              <w:rPr/>
            </w:pPr>
            <w:r>
              <w:rPr/>
              <w:t> </w:t>
            </w:r>
          </w:p>
        </w:tc>
        <w:tc>
          <w:tcPr>
            <w:tcW w:w="666"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11,370</w:t>
            </w:r>
          </w:p>
        </w:tc>
        <w:tc>
          <w:tcPr>
            <w:tcW w:w="107" w:type="dxa"/>
            <w:tcBorders/>
            <w:shd w:fill="auto" w:val="clear"/>
            <w:vAlign w:val="bottom"/>
          </w:tcPr>
          <w:p>
            <w:pPr>
              <w:pStyle w:val="TableContents"/>
              <w:spacing w:before="0" w:after="283"/>
              <w:jc w:val="left"/>
              <w:rPr/>
            </w:pPr>
            <w:r>
              <w:rPr/>
              <w:t> </w:t>
            </w:r>
          </w:p>
        </w:tc>
        <w:tc>
          <w:tcPr>
            <w:tcW w:w="67" w:type="dxa"/>
            <w:tcBorders/>
            <w:shd w:fill="auto" w:val="clear"/>
            <w:vAlign w:val="bottom"/>
          </w:tcPr>
          <w:p>
            <w:pPr>
              <w:pStyle w:val="TableContents"/>
              <w:spacing w:before="0" w:after="283"/>
              <w:jc w:val="right"/>
              <w:rPr/>
            </w:pPr>
            <w:r>
              <w:rPr/>
              <w:t> </w:t>
            </w:r>
          </w:p>
        </w:tc>
        <w:tc>
          <w:tcPr>
            <w:tcW w:w="141" w:type="dxa"/>
            <w:tcBorders/>
            <w:shd w:fill="auto" w:val="clear"/>
            <w:vAlign w:val="bottom"/>
          </w:tcPr>
          <w:p>
            <w:pPr>
              <w:pStyle w:val="TableContents"/>
              <w:spacing w:before="0" w:after="283"/>
              <w:jc w:val="left"/>
              <w:rPr/>
            </w:pPr>
            <w:r>
              <w:rPr/>
              <w:t> </w:t>
            </w:r>
          </w:p>
        </w:tc>
        <w:tc>
          <w:tcPr>
            <w:tcW w:w="666"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1,890</w:t>
            </w:r>
          </w:p>
        </w:tc>
        <w:tc>
          <w:tcPr>
            <w:tcW w:w="95" w:type="dxa"/>
            <w:tcBorders/>
            <w:shd w:fill="auto" w:val="clear"/>
            <w:vAlign w:val="bottom"/>
          </w:tcPr>
          <w:p>
            <w:pPr>
              <w:pStyle w:val="TableContents"/>
              <w:spacing w:before="0" w:after="283"/>
              <w:jc w:val="left"/>
              <w:rPr/>
            </w:pPr>
            <w:r>
              <w:rPr/>
              <w:t> </w:t>
            </w:r>
          </w:p>
        </w:tc>
      </w:tr>
      <w:tr>
        <w:trPr/>
        <w:tc>
          <w:tcPr>
            <w:tcW w:w="4640" w:type="dxa"/>
            <w:tcBorders/>
            <w:shd w:fill="CCEEFF" w:val="clear"/>
            <w:vAlign w:val="bottom"/>
          </w:tcPr>
          <w:p>
            <w:pPr>
              <w:pStyle w:val="TableContents"/>
              <w:spacing w:before="0" w:after="0"/>
              <w:ind w:left="288" w:right="0" w:hanging="144"/>
              <w:jc w:val="left"/>
              <w:rPr>
                <w:rFonts w:ascii="Times New Roman" w:hAnsi="Times New Roman"/>
                <w:sz w:val="20"/>
              </w:rPr>
            </w:pPr>
            <w:r>
              <w:rPr>
                <w:rFonts w:ascii="Times New Roman" w:hAnsi="Times New Roman"/>
                <w:sz w:val="20"/>
              </w:rPr>
              <w:t>Notes payable &amp; other borrowings</w:t>
            </w:r>
          </w:p>
        </w:tc>
        <w:tc>
          <w:tcPr>
            <w:tcW w:w="60" w:type="dxa"/>
            <w:tcBorders/>
            <w:shd w:fill="CCEEFF" w:val="clear"/>
            <w:vAlign w:val="bottom"/>
          </w:tcPr>
          <w:p>
            <w:pPr>
              <w:pStyle w:val="TableContents"/>
              <w:spacing w:before="0" w:after="283"/>
              <w:jc w:val="right"/>
              <w:rPr/>
            </w:pPr>
            <w:r>
              <w:rPr/>
              <w:t> </w:t>
            </w:r>
          </w:p>
        </w:tc>
        <w:tc>
          <w:tcPr>
            <w:tcW w:w="141" w:type="dxa"/>
            <w:tcBorders/>
            <w:shd w:fill="CCEEFF" w:val="clear"/>
            <w:vAlign w:val="bottom"/>
          </w:tcPr>
          <w:p>
            <w:pPr>
              <w:pStyle w:val="TableContents"/>
              <w:spacing w:before="0" w:after="283"/>
              <w:jc w:val="left"/>
              <w:rPr/>
            </w:pPr>
            <w:r>
              <w:rPr/>
              <w:t> </w:t>
            </w:r>
          </w:p>
        </w:tc>
        <w:tc>
          <w:tcPr>
            <w:tcW w:w="666" w:type="dxa"/>
            <w:tcBorders/>
            <w:shd w:fill="CCEEFF" w:val="clear"/>
            <w:vAlign w:val="bottom"/>
          </w:tcPr>
          <w:p>
            <w:pPr>
              <w:pStyle w:val="TableContents"/>
              <w:spacing w:before="0" w:after="0"/>
              <w:jc w:val="right"/>
              <w:rPr/>
            </w:pPr>
            <w:r>
              <w:rPr/>
              <w:t>—</w:t>
            </w:r>
          </w:p>
        </w:tc>
        <w:tc>
          <w:tcPr>
            <w:tcW w:w="107" w:type="dxa"/>
            <w:tcBorders/>
            <w:shd w:fill="CCEEFF" w:val="clear"/>
            <w:vAlign w:val="bottom"/>
          </w:tcPr>
          <w:p>
            <w:pPr>
              <w:pStyle w:val="TableContents"/>
              <w:spacing w:before="0" w:after="283"/>
              <w:jc w:val="left"/>
              <w:rPr/>
            </w:pPr>
            <w:r>
              <w:rPr/>
              <w:t> </w:t>
            </w:r>
          </w:p>
        </w:tc>
        <w:tc>
          <w:tcPr>
            <w:tcW w:w="67" w:type="dxa"/>
            <w:tcBorders/>
            <w:shd w:fill="CCEEFF" w:val="clear"/>
            <w:vAlign w:val="bottom"/>
          </w:tcPr>
          <w:p>
            <w:pPr>
              <w:pStyle w:val="TableContents"/>
              <w:spacing w:before="0" w:after="283"/>
              <w:jc w:val="right"/>
              <w:rPr/>
            </w:pPr>
            <w:r>
              <w:rPr/>
              <w:t> </w:t>
            </w:r>
          </w:p>
        </w:tc>
        <w:tc>
          <w:tcPr>
            <w:tcW w:w="141" w:type="dxa"/>
            <w:tcBorders/>
            <w:shd w:fill="CCEEFF" w:val="clear"/>
            <w:vAlign w:val="bottom"/>
          </w:tcPr>
          <w:p>
            <w:pPr>
              <w:pStyle w:val="TableContents"/>
              <w:spacing w:before="0" w:after="283"/>
              <w:jc w:val="left"/>
              <w:rPr/>
            </w:pPr>
            <w:r>
              <w:rPr/>
              <w:t> </w:t>
            </w:r>
          </w:p>
        </w:tc>
        <w:tc>
          <w:tcPr>
            <w:tcW w:w="666" w:type="dxa"/>
            <w:tcBorders/>
            <w:shd w:fill="CCEEFF" w:val="clear"/>
            <w:vAlign w:val="bottom"/>
          </w:tcPr>
          <w:p>
            <w:pPr>
              <w:pStyle w:val="TableContents"/>
              <w:spacing w:before="0" w:after="0"/>
              <w:jc w:val="right"/>
              <w:rPr/>
            </w:pPr>
            <w:r>
              <w:rPr/>
              <w:t>—</w:t>
            </w:r>
          </w:p>
        </w:tc>
        <w:tc>
          <w:tcPr>
            <w:tcW w:w="95" w:type="dxa"/>
            <w:tcBorders/>
            <w:shd w:fill="CCEEFF" w:val="clear"/>
            <w:vAlign w:val="bottom"/>
          </w:tcPr>
          <w:p>
            <w:pPr>
              <w:pStyle w:val="TableContents"/>
              <w:spacing w:before="0" w:after="283"/>
              <w:jc w:val="left"/>
              <w:rPr/>
            </w:pPr>
            <w:r>
              <w:rPr/>
              <w:t> </w:t>
            </w:r>
          </w:p>
        </w:tc>
      </w:tr>
      <w:tr>
        <w:trPr/>
        <w:tc>
          <w:tcPr>
            <w:tcW w:w="4640" w:type="dxa"/>
            <w:tcBorders/>
            <w:shd w:fill="auto" w:val="clear"/>
            <w:vAlign w:val="bottom"/>
          </w:tcPr>
          <w:p>
            <w:pPr>
              <w:pStyle w:val="TableContents"/>
              <w:spacing w:before="0" w:after="0"/>
              <w:ind w:left="288" w:right="0" w:hanging="144"/>
              <w:jc w:val="left"/>
              <w:rPr>
                <w:rFonts w:ascii="Times New Roman" w:hAnsi="Times New Roman"/>
                <w:sz w:val="20"/>
              </w:rPr>
            </w:pPr>
            <w:r>
              <w:rPr>
                <w:rFonts w:ascii="Times New Roman" w:hAnsi="Times New Roman"/>
                <w:sz w:val="20"/>
              </w:rPr>
              <w:t>Subordinated debt</w:t>
            </w:r>
          </w:p>
        </w:tc>
        <w:tc>
          <w:tcPr>
            <w:tcW w:w="60" w:type="dxa"/>
            <w:tcBorders/>
            <w:shd w:fill="auto" w:val="clear"/>
            <w:vAlign w:val="bottom"/>
          </w:tcPr>
          <w:p>
            <w:pPr>
              <w:pStyle w:val="TableContents"/>
              <w:spacing w:before="0" w:after="283"/>
              <w:jc w:val="right"/>
              <w:rPr/>
            </w:pPr>
            <w:r>
              <w:rPr/>
              <w:t> </w:t>
            </w:r>
          </w:p>
        </w:tc>
        <w:tc>
          <w:tcPr>
            <w:tcW w:w="141" w:type="dxa"/>
            <w:tcBorders/>
            <w:shd w:fill="auto" w:val="clear"/>
            <w:vAlign w:val="bottom"/>
          </w:tcPr>
          <w:p>
            <w:pPr>
              <w:pStyle w:val="TableContents"/>
              <w:spacing w:before="0" w:after="283"/>
              <w:jc w:val="left"/>
              <w:rPr/>
            </w:pPr>
            <w:r>
              <w:rPr/>
              <w:t> </w:t>
            </w:r>
          </w:p>
        </w:tc>
        <w:tc>
          <w:tcPr>
            <w:tcW w:w="666"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1,012</w:t>
            </w:r>
          </w:p>
        </w:tc>
        <w:tc>
          <w:tcPr>
            <w:tcW w:w="107" w:type="dxa"/>
            <w:tcBorders/>
            <w:shd w:fill="auto" w:val="clear"/>
            <w:vAlign w:val="bottom"/>
          </w:tcPr>
          <w:p>
            <w:pPr>
              <w:pStyle w:val="TableContents"/>
              <w:spacing w:before="0" w:after="283"/>
              <w:jc w:val="left"/>
              <w:rPr/>
            </w:pPr>
            <w:r>
              <w:rPr/>
              <w:t> </w:t>
            </w:r>
          </w:p>
        </w:tc>
        <w:tc>
          <w:tcPr>
            <w:tcW w:w="67" w:type="dxa"/>
            <w:tcBorders/>
            <w:shd w:fill="auto" w:val="clear"/>
            <w:vAlign w:val="bottom"/>
          </w:tcPr>
          <w:p>
            <w:pPr>
              <w:pStyle w:val="TableContents"/>
              <w:spacing w:before="0" w:after="283"/>
              <w:jc w:val="right"/>
              <w:rPr/>
            </w:pPr>
            <w:r>
              <w:rPr/>
              <w:t> </w:t>
            </w:r>
          </w:p>
        </w:tc>
        <w:tc>
          <w:tcPr>
            <w:tcW w:w="141" w:type="dxa"/>
            <w:tcBorders/>
            <w:shd w:fill="auto" w:val="clear"/>
            <w:vAlign w:val="bottom"/>
          </w:tcPr>
          <w:p>
            <w:pPr>
              <w:pStyle w:val="TableContents"/>
              <w:spacing w:before="0" w:after="283"/>
              <w:jc w:val="left"/>
              <w:rPr/>
            </w:pPr>
            <w:r>
              <w:rPr/>
              <w:t> </w:t>
            </w:r>
          </w:p>
        </w:tc>
        <w:tc>
          <w:tcPr>
            <w:tcW w:w="666"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1,012</w:t>
            </w:r>
          </w:p>
        </w:tc>
        <w:tc>
          <w:tcPr>
            <w:tcW w:w="95" w:type="dxa"/>
            <w:tcBorders/>
            <w:shd w:fill="auto" w:val="clear"/>
            <w:vAlign w:val="bottom"/>
          </w:tcPr>
          <w:p>
            <w:pPr>
              <w:pStyle w:val="TableContents"/>
              <w:spacing w:before="0" w:after="283"/>
              <w:jc w:val="left"/>
              <w:rPr/>
            </w:pPr>
            <w:r>
              <w:rPr/>
              <w:t> </w:t>
            </w:r>
          </w:p>
        </w:tc>
      </w:tr>
      <w:tr>
        <w:trPr/>
        <w:tc>
          <w:tcPr>
            <w:tcW w:w="4640" w:type="dxa"/>
            <w:tcBorders/>
            <w:shd w:fill="CCEEFF" w:val="clear"/>
            <w:vAlign w:val="bottom"/>
          </w:tcPr>
          <w:p>
            <w:pPr>
              <w:pStyle w:val="TableContents"/>
              <w:spacing w:before="0" w:after="0"/>
              <w:ind w:left="288" w:right="0" w:hanging="144"/>
              <w:jc w:val="left"/>
              <w:rPr>
                <w:rFonts w:ascii="Times New Roman" w:hAnsi="Times New Roman"/>
                <w:sz w:val="20"/>
              </w:rPr>
            </w:pPr>
            <w:r>
              <w:rPr>
                <w:rFonts w:ascii="Times New Roman" w:hAnsi="Times New Roman"/>
                <w:sz w:val="20"/>
              </w:rPr>
              <w:t>Junior subordinated deferrable interest debentures</w:t>
            </w:r>
          </w:p>
        </w:tc>
        <w:tc>
          <w:tcPr>
            <w:tcW w:w="60" w:type="dxa"/>
            <w:tcBorders/>
            <w:shd w:fill="CCEEFF" w:val="clear"/>
            <w:vAlign w:val="bottom"/>
          </w:tcPr>
          <w:p>
            <w:pPr>
              <w:pStyle w:val="TableContents"/>
              <w:spacing w:before="0" w:after="283"/>
              <w:jc w:val="right"/>
              <w:rPr/>
            </w:pPr>
            <w:r>
              <w:rPr/>
              <w:t> </w:t>
            </w:r>
          </w:p>
        </w:tc>
        <w:tc>
          <w:tcPr>
            <w:tcW w:w="14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66"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751</w:t>
            </w:r>
          </w:p>
        </w:tc>
        <w:tc>
          <w:tcPr>
            <w:tcW w:w="107" w:type="dxa"/>
            <w:tcBorders/>
            <w:shd w:fill="CCEEFF" w:val="clear"/>
            <w:vAlign w:val="bottom"/>
          </w:tcPr>
          <w:p>
            <w:pPr>
              <w:pStyle w:val="TableContents"/>
              <w:spacing w:before="0" w:after="283"/>
              <w:jc w:val="left"/>
              <w:rPr/>
            </w:pPr>
            <w:r>
              <w:rPr/>
              <w:t> </w:t>
            </w:r>
          </w:p>
        </w:tc>
        <w:tc>
          <w:tcPr>
            <w:tcW w:w="67" w:type="dxa"/>
            <w:tcBorders/>
            <w:shd w:fill="CCEEFF" w:val="clear"/>
            <w:vAlign w:val="bottom"/>
          </w:tcPr>
          <w:p>
            <w:pPr>
              <w:pStyle w:val="TableContents"/>
              <w:spacing w:before="0" w:after="283"/>
              <w:jc w:val="right"/>
              <w:rPr/>
            </w:pPr>
            <w:r>
              <w:rPr/>
              <w:t> </w:t>
            </w:r>
          </w:p>
        </w:tc>
        <w:tc>
          <w:tcPr>
            <w:tcW w:w="14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66"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231</w:t>
            </w:r>
          </w:p>
        </w:tc>
        <w:tc>
          <w:tcPr>
            <w:tcW w:w="95" w:type="dxa"/>
            <w:tcBorders/>
            <w:shd w:fill="CCEEFF" w:val="clear"/>
            <w:vAlign w:val="bottom"/>
          </w:tcPr>
          <w:p>
            <w:pPr>
              <w:pStyle w:val="TableContents"/>
              <w:spacing w:before="0" w:after="283"/>
              <w:jc w:val="left"/>
              <w:rPr/>
            </w:pPr>
            <w:r>
              <w:rPr/>
              <w:t> </w:t>
            </w:r>
          </w:p>
        </w:tc>
      </w:tr>
      <w:tr>
        <w:trPr/>
        <w:tc>
          <w:tcPr>
            <w:tcW w:w="4640" w:type="dxa"/>
            <w:tcBorders/>
            <w:shd w:fill="auto" w:val="clear"/>
            <w:vAlign w:val="bottom"/>
          </w:tcPr>
          <w:p>
            <w:pPr>
              <w:pStyle w:val="TableContents"/>
              <w:spacing w:before="0" w:after="0"/>
              <w:ind w:left="677" w:right="0" w:hanging="144"/>
              <w:jc w:val="left"/>
              <w:rPr>
                <w:rFonts w:ascii="Times New Roman" w:hAnsi="Times New Roman"/>
                <w:sz w:val="20"/>
              </w:rPr>
            </w:pPr>
            <w:r>
              <w:rPr>
                <w:rFonts w:ascii="Times New Roman" w:hAnsi="Times New Roman"/>
                <w:sz w:val="20"/>
              </w:rPr>
              <w:t>Total interest expense</w:t>
            </w:r>
          </w:p>
        </w:tc>
        <w:tc>
          <w:tcPr>
            <w:tcW w:w="60" w:type="dxa"/>
            <w:tcBorders/>
            <w:shd w:fill="auto" w:val="clear"/>
            <w:vAlign w:val="bottom"/>
          </w:tcPr>
          <w:p>
            <w:pPr>
              <w:pStyle w:val="TableContents"/>
              <w:spacing w:before="0" w:after="283"/>
              <w:jc w:val="right"/>
              <w:rPr/>
            </w:pPr>
            <w:r>
              <w:rPr/>
              <w:t> </w:t>
            </w:r>
          </w:p>
        </w:tc>
        <w:tc>
          <w:tcPr>
            <w:tcW w:w="141"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66"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13,133</w:t>
            </w:r>
          </w:p>
        </w:tc>
        <w:tc>
          <w:tcPr>
            <w:tcW w:w="107" w:type="dxa"/>
            <w:tcBorders/>
            <w:shd w:fill="auto" w:val="clear"/>
            <w:vAlign w:val="bottom"/>
          </w:tcPr>
          <w:p>
            <w:pPr>
              <w:pStyle w:val="TableContents"/>
              <w:spacing w:before="0" w:after="283"/>
              <w:jc w:val="left"/>
              <w:rPr/>
            </w:pPr>
            <w:r>
              <w:rPr/>
              <w:t> </w:t>
            </w:r>
          </w:p>
        </w:tc>
        <w:tc>
          <w:tcPr>
            <w:tcW w:w="67" w:type="dxa"/>
            <w:tcBorders/>
            <w:shd w:fill="auto" w:val="clear"/>
            <w:vAlign w:val="bottom"/>
          </w:tcPr>
          <w:p>
            <w:pPr>
              <w:pStyle w:val="TableContents"/>
              <w:spacing w:before="0" w:after="283"/>
              <w:jc w:val="right"/>
              <w:rPr/>
            </w:pPr>
            <w:r>
              <w:rPr/>
              <w:t> </w:t>
            </w:r>
          </w:p>
        </w:tc>
        <w:tc>
          <w:tcPr>
            <w:tcW w:w="141"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66"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3,133</w:t>
            </w:r>
          </w:p>
        </w:tc>
        <w:tc>
          <w:tcPr>
            <w:tcW w:w="95" w:type="dxa"/>
            <w:tcBorders/>
            <w:shd w:fill="auto" w:val="clear"/>
            <w:vAlign w:val="bottom"/>
          </w:tcPr>
          <w:p>
            <w:pPr>
              <w:pStyle w:val="TableContents"/>
              <w:spacing w:before="0" w:after="283"/>
              <w:jc w:val="left"/>
              <w:rPr/>
            </w:pPr>
            <w:r>
              <w:rPr/>
              <w:t> </w:t>
            </w:r>
          </w:p>
        </w:tc>
      </w:tr>
      <w:tr>
        <w:trPr/>
        <w:tc>
          <w:tcPr>
            <w:tcW w:w="4640" w:type="dxa"/>
            <w:tcBorders/>
            <w:shd w:fill="CCEE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Net interest income</w:t>
            </w:r>
          </w:p>
        </w:tc>
        <w:tc>
          <w:tcPr>
            <w:tcW w:w="60" w:type="dxa"/>
            <w:tcBorders/>
            <w:shd w:fill="CCEEFF" w:val="clear"/>
            <w:vAlign w:val="bottom"/>
          </w:tcPr>
          <w:p>
            <w:pPr>
              <w:pStyle w:val="TableContents"/>
              <w:spacing w:before="0" w:after="283"/>
              <w:jc w:val="right"/>
              <w:rPr/>
            </w:pPr>
            <w:r>
              <w:rPr/>
              <w:t> </w:t>
            </w:r>
          </w:p>
        </w:tc>
        <w:tc>
          <w:tcPr>
            <w:tcW w:w="141" w:type="dxa"/>
            <w:tcBorders/>
            <w:shd w:fill="CCEEFF" w:val="clear"/>
            <w:vAlign w:val="bottom"/>
          </w:tcPr>
          <w:p>
            <w:pPr>
              <w:pStyle w:val="TableContents"/>
              <w:spacing w:before="0" w:after="283"/>
              <w:jc w:val="left"/>
              <w:rPr/>
            </w:pPr>
            <w:r>
              <w:rPr/>
              <w:t> </w:t>
            </w:r>
          </w:p>
        </w:tc>
        <w:tc>
          <w:tcPr>
            <w:tcW w:w="666"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34,315</w:t>
            </w:r>
          </w:p>
        </w:tc>
        <w:tc>
          <w:tcPr>
            <w:tcW w:w="107" w:type="dxa"/>
            <w:tcBorders/>
            <w:shd w:fill="CCEEFF" w:val="clear"/>
            <w:vAlign w:val="bottom"/>
          </w:tcPr>
          <w:p>
            <w:pPr>
              <w:pStyle w:val="TableContents"/>
              <w:spacing w:before="0" w:after="283"/>
              <w:jc w:val="left"/>
              <w:rPr/>
            </w:pPr>
            <w:r>
              <w:rPr/>
              <w:t> </w:t>
            </w:r>
          </w:p>
        </w:tc>
        <w:tc>
          <w:tcPr>
            <w:tcW w:w="67" w:type="dxa"/>
            <w:tcBorders/>
            <w:shd w:fill="CCEEFF" w:val="clear"/>
            <w:vAlign w:val="bottom"/>
          </w:tcPr>
          <w:p>
            <w:pPr>
              <w:pStyle w:val="TableContents"/>
              <w:spacing w:before="0" w:after="283"/>
              <w:jc w:val="right"/>
              <w:rPr/>
            </w:pPr>
            <w:r>
              <w:rPr/>
              <w:t> </w:t>
            </w:r>
          </w:p>
        </w:tc>
        <w:tc>
          <w:tcPr>
            <w:tcW w:w="141" w:type="dxa"/>
            <w:tcBorders/>
            <w:shd w:fill="CCEEFF" w:val="clear"/>
            <w:vAlign w:val="bottom"/>
          </w:tcPr>
          <w:p>
            <w:pPr>
              <w:pStyle w:val="TableContents"/>
              <w:spacing w:before="0" w:after="283"/>
              <w:jc w:val="left"/>
              <w:rPr/>
            </w:pPr>
            <w:r>
              <w:rPr/>
              <w:t> </w:t>
            </w:r>
          </w:p>
        </w:tc>
        <w:tc>
          <w:tcPr>
            <w:tcW w:w="666"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29,947</w:t>
            </w:r>
          </w:p>
        </w:tc>
        <w:tc>
          <w:tcPr>
            <w:tcW w:w="95" w:type="dxa"/>
            <w:tcBorders/>
            <w:shd w:fill="CCEEFF" w:val="clear"/>
            <w:vAlign w:val="bottom"/>
          </w:tcPr>
          <w:p>
            <w:pPr>
              <w:pStyle w:val="TableContents"/>
              <w:spacing w:before="0" w:after="283"/>
              <w:jc w:val="left"/>
              <w:rPr/>
            </w:pPr>
            <w:r>
              <w:rPr/>
              <w:t> </w:t>
            </w:r>
          </w:p>
        </w:tc>
      </w:tr>
      <w:tr>
        <w:trPr/>
        <w:tc>
          <w:tcPr>
            <w:tcW w:w="4640" w:type="dxa"/>
            <w:tcBorders/>
            <w:shd w:fill="auto"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Provision for credit losses</w:t>
            </w:r>
          </w:p>
        </w:tc>
        <w:tc>
          <w:tcPr>
            <w:tcW w:w="60" w:type="dxa"/>
            <w:tcBorders/>
            <w:shd w:fill="auto" w:val="clear"/>
            <w:vAlign w:val="bottom"/>
          </w:tcPr>
          <w:p>
            <w:pPr>
              <w:pStyle w:val="TableContents"/>
              <w:spacing w:before="0" w:after="283"/>
              <w:jc w:val="right"/>
              <w:rPr/>
            </w:pPr>
            <w:r>
              <w:rPr/>
              <w:t> </w:t>
            </w:r>
          </w:p>
        </w:tc>
        <w:tc>
          <w:tcPr>
            <w:tcW w:w="141"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66"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1,010</w:t>
            </w:r>
          </w:p>
        </w:tc>
        <w:tc>
          <w:tcPr>
            <w:tcW w:w="107" w:type="dxa"/>
            <w:tcBorders/>
            <w:shd w:fill="auto" w:val="clear"/>
            <w:vAlign w:val="bottom"/>
          </w:tcPr>
          <w:p>
            <w:pPr>
              <w:pStyle w:val="TableContents"/>
              <w:spacing w:before="0" w:after="283"/>
              <w:jc w:val="left"/>
              <w:rPr/>
            </w:pPr>
            <w:r>
              <w:rPr/>
              <w:t> </w:t>
            </w:r>
          </w:p>
        </w:tc>
        <w:tc>
          <w:tcPr>
            <w:tcW w:w="67" w:type="dxa"/>
            <w:tcBorders/>
            <w:shd w:fill="auto" w:val="clear"/>
            <w:vAlign w:val="bottom"/>
          </w:tcPr>
          <w:p>
            <w:pPr>
              <w:pStyle w:val="TableContents"/>
              <w:spacing w:before="0" w:after="283"/>
              <w:jc w:val="right"/>
              <w:rPr/>
            </w:pPr>
            <w:r>
              <w:rPr/>
              <w:t> </w:t>
            </w:r>
          </w:p>
        </w:tc>
        <w:tc>
          <w:tcPr>
            <w:tcW w:w="141"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66"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(2,085</w:t>
            </w:r>
          </w:p>
        </w:tc>
        <w:tc>
          <w:tcPr>
            <w:tcW w:w="95"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r>
      <w:tr>
        <w:trPr/>
        <w:tc>
          <w:tcPr>
            <w:tcW w:w="4640" w:type="dxa"/>
            <w:tcBorders/>
            <w:shd w:fill="CCEEFF" w:val="clear"/>
            <w:vAlign w:val="bottom"/>
          </w:tcPr>
          <w:p>
            <w:pPr>
              <w:pStyle w:val="TableContents"/>
              <w:spacing w:before="0" w:after="0"/>
              <w:ind w:left="288" w:right="0" w:hanging="144"/>
              <w:jc w:val="left"/>
              <w:rPr>
                <w:rFonts w:ascii="Times New Roman" w:hAnsi="Times New Roman"/>
                <w:sz w:val="20"/>
              </w:rPr>
            </w:pPr>
            <w:r>
              <w:rPr>
                <w:rFonts w:ascii="Times New Roman" w:hAnsi="Times New Roman"/>
                <w:sz w:val="20"/>
              </w:rPr>
              <w:t>Net interest income, after provision for credit losses</w:t>
            </w:r>
          </w:p>
        </w:tc>
        <w:tc>
          <w:tcPr>
            <w:tcW w:w="60" w:type="dxa"/>
            <w:tcBorders/>
            <w:shd w:fill="CCEEFF" w:val="clear"/>
            <w:vAlign w:val="bottom"/>
          </w:tcPr>
          <w:p>
            <w:pPr>
              <w:pStyle w:val="TableContents"/>
              <w:spacing w:before="0" w:after="283"/>
              <w:jc w:val="right"/>
              <w:rPr/>
            </w:pPr>
            <w:r>
              <w:rPr/>
              <w:t> </w:t>
            </w:r>
          </w:p>
        </w:tc>
        <w:tc>
          <w:tcPr>
            <w:tcW w:w="14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66"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33,305</w:t>
            </w:r>
          </w:p>
        </w:tc>
        <w:tc>
          <w:tcPr>
            <w:tcW w:w="107" w:type="dxa"/>
            <w:tcBorders/>
            <w:shd w:fill="CCEEFF" w:val="clear"/>
            <w:vAlign w:val="bottom"/>
          </w:tcPr>
          <w:p>
            <w:pPr>
              <w:pStyle w:val="TableContents"/>
              <w:spacing w:before="0" w:after="283"/>
              <w:jc w:val="left"/>
              <w:rPr/>
            </w:pPr>
            <w:r>
              <w:rPr/>
              <w:t> </w:t>
            </w:r>
          </w:p>
        </w:tc>
        <w:tc>
          <w:tcPr>
            <w:tcW w:w="67" w:type="dxa"/>
            <w:tcBorders/>
            <w:shd w:fill="CCEEFF" w:val="clear"/>
            <w:vAlign w:val="bottom"/>
          </w:tcPr>
          <w:p>
            <w:pPr>
              <w:pStyle w:val="TableContents"/>
              <w:spacing w:before="0" w:after="283"/>
              <w:jc w:val="right"/>
              <w:rPr/>
            </w:pPr>
            <w:r>
              <w:rPr/>
              <w:t> </w:t>
            </w:r>
          </w:p>
        </w:tc>
        <w:tc>
          <w:tcPr>
            <w:tcW w:w="14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66"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32,032</w:t>
            </w:r>
          </w:p>
        </w:tc>
        <w:tc>
          <w:tcPr>
            <w:tcW w:w="95" w:type="dxa"/>
            <w:tcBorders/>
            <w:shd w:fill="CCEEFF" w:val="clear"/>
            <w:vAlign w:val="bottom"/>
          </w:tcPr>
          <w:p>
            <w:pPr>
              <w:pStyle w:val="TableContents"/>
              <w:spacing w:before="0" w:after="283"/>
              <w:jc w:val="left"/>
              <w:rPr/>
            </w:pPr>
            <w:r>
              <w:rPr/>
              <w:t> </w:t>
            </w:r>
          </w:p>
        </w:tc>
      </w:tr>
      <w:tr>
        <w:trPr/>
        <w:tc>
          <w:tcPr>
            <w:tcW w:w="4640" w:type="dxa"/>
            <w:tcBorders/>
            <w:shd w:fill="auto"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Noninterest income:</w:t>
            </w:r>
          </w:p>
        </w:tc>
        <w:tc>
          <w:tcPr>
            <w:tcW w:w="60" w:type="dxa"/>
            <w:tcBorders/>
            <w:shd w:fill="auto" w:val="clear"/>
            <w:vAlign w:val="bottom"/>
          </w:tcPr>
          <w:p>
            <w:pPr>
              <w:pStyle w:val="TableContents"/>
              <w:spacing w:before="0" w:after="283"/>
              <w:jc w:val="right"/>
              <w:rPr/>
            </w:pPr>
            <w:r>
              <w:rPr/>
              <w:t> </w:t>
            </w:r>
          </w:p>
        </w:tc>
        <w:tc>
          <w:tcPr>
            <w:tcW w:w="141" w:type="dxa"/>
            <w:tcBorders/>
            <w:shd w:fill="auto" w:val="clear"/>
            <w:vAlign w:val="bottom"/>
          </w:tcPr>
          <w:p>
            <w:pPr>
              <w:pStyle w:val="TableContents"/>
              <w:spacing w:before="0" w:after="283"/>
              <w:jc w:val="left"/>
              <w:rPr/>
            </w:pPr>
            <w:r>
              <w:rPr/>
              <w:t> </w:t>
            </w:r>
          </w:p>
        </w:tc>
        <w:tc>
          <w:tcPr>
            <w:tcW w:w="666" w:type="dxa"/>
            <w:tcBorders/>
            <w:shd w:fill="auto" w:val="clear"/>
            <w:vAlign w:val="bottom"/>
          </w:tcPr>
          <w:p>
            <w:pPr>
              <w:pStyle w:val="TableContents"/>
              <w:spacing w:before="0" w:after="283"/>
              <w:jc w:val="right"/>
              <w:rPr/>
            </w:pPr>
            <w:r>
              <w:rPr/>
              <w:t> </w:t>
            </w:r>
          </w:p>
        </w:tc>
        <w:tc>
          <w:tcPr>
            <w:tcW w:w="107" w:type="dxa"/>
            <w:tcBorders/>
            <w:shd w:fill="auto" w:val="clear"/>
            <w:vAlign w:val="bottom"/>
          </w:tcPr>
          <w:p>
            <w:pPr>
              <w:pStyle w:val="TableContents"/>
              <w:spacing w:before="0" w:after="283"/>
              <w:jc w:val="left"/>
              <w:rPr/>
            </w:pPr>
            <w:r>
              <w:rPr/>
              <w:t> </w:t>
            </w:r>
          </w:p>
        </w:tc>
        <w:tc>
          <w:tcPr>
            <w:tcW w:w="67" w:type="dxa"/>
            <w:tcBorders/>
            <w:shd w:fill="auto" w:val="clear"/>
            <w:vAlign w:val="bottom"/>
          </w:tcPr>
          <w:p>
            <w:pPr>
              <w:pStyle w:val="TableContents"/>
              <w:spacing w:before="0" w:after="283"/>
              <w:jc w:val="right"/>
              <w:rPr/>
            </w:pPr>
            <w:r>
              <w:rPr/>
              <w:t> </w:t>
            </w:r>
          </w:p>
        </w:tc>
        <w:tc>
          <w:tcPr>
            <w:tcW w:w="141" w:type="dxa"/>
            <w:tcBorders/>
            <w:shd w:fill="auto" w:val="clear"/>
            <w:vAlign w:val="bottom"/>
          </w:tcPr>
          <w:p>
            <w:pPr>
              <w:pStyle w:val="TableContents"/>
              <w:spacing w:before="0" w:after="283"/>
              <w:jc w:val="left"/>
              <w:rPr/>
            </w:pPr>
            <w:r>
              <w:rPr/>
              <w:t> </w:t>
            </w:r>
          </w:p>
        </w:tc>
        <w:tc>
          <w:tcPr>
            <w:tcW w:w="666"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r>
      <w:tr>
        <w:trPr/>
        <w:tc>
          <w:tcPr>
            <w:tcW w:w="4640" w:type="dxa"/>
            <w:tcBorders/>
            <w:shd w:fill="CCEEFF" w:val="clear"/>
            <w:vAlign w:val="bottom"/>
          </w:tcPr>
          <w:p>
            <w:pPr>
              <w:pStyle w:val="TableContents"/>
              <w:spacing w:before="0" w:after="0"/>
              <w:ind w:left="288" w:right="0" w:hanging="144"/>
              <w:jc w:val="left"/>
              <w:rPr>
                <w:rFonts w:ascii="Times New Roman" w:hAnsi="Times New Roman"/>
                <w:sz w:val="20"/>
              </w:rPr>
            </w:pPr>
            <w:r>
              <w:rPr>
                <w:rFonts w:ascii="Times New Roman" w:hAnsi="Times New Roman"/>
                <w:sz w:val="20"/>
              </w:rPr>
              <w:t>Service charges on deposit accounts</w:t>
            </w:r>
          </w:p>
        </w:tc>
        <w:tc>
          <w:tcPr>
            <w:tcW w:w="60" w:type="dxa"/>
            <w:tcBorders/>
            <w:shd w:fill="CCEEFF" w:val="clear"/>
            <w:vAlign w:val="bottom"/>
          </w:tcPr>
          <w:p>
            <w:pPr>
              <w:pStyle w:val="TableContents"/>
              <w:spacing w:before="0" w:after="283"/>
              <w:jc w:val="right"/>
              <w:rPr/>
            </w:pPr>
            <w:r>
              <w:rPr/>
              <w:t> </w:t>
            </w:r>
          </w:p>
        </w:tc>
        <w:tc>
          <w:tcPr>
            <w:tcW w:w="141" w:type="dxa"/>
            <w:tcBorders/>
            <w:shd w:fill="CCEEFF" w:val="clear"/>
            <w:vAlign w:val="bottom"/>
          </w:tcPr>
          <w:p>
            <w:pPr>
              <w:pStyle w:val="TableContents"/>
              <w:spacing w:before="0" w:after="283"/>
              <w:jc w:val="left"/>
              <w:rPr/>
            </w:pPr>
            <w:r>
              <w:rPr/>
              <w:t> </w:t>
            </w:r>
          </w:p>
        </w:tc>
        <w:tc>
          <w:tcPr>
            <w:tcW w:w="666"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1,701</w:t>
            </w:r>
          </w:p>
        </w:tc>
        <w:tc>
          <w:tcPr>
            <w:tcW w:w="107" w:type="dxa"/>
            <w:tcBorders/>
            <w:shd w:fill="CCEEFF" w:val="clear"/>
            <w:vAlign w:val="bottom"/>
          </w:tcPr>
          <w:p>
            <w:pPr>
              <w:pStyle w:val="TableContents"/>
              <w:spacing w:before="0" w:after="283"/>
              <w:jc w:val="left"/>
              <w:rPr/>
            </w:pPr>
            <w:r>
              <w:rPr/>
              <w:t> </w:t>
            </w:r>
          </w:p>
        </w:tc>
        <w:tc>
          <w:tcPr>
            <w:tcW w:w="67" w:type="dxa"/>
            <w:tcBorders/>
            <w:shd w:fill="CCEEFF" w:val="clear"/>
            <w:vAlign w:val="bottom"/>
          </w:tcPr>
          <w:p>
            <w:pPr>
              <w:pStyle w:val="TableContents"/>
              <w:spacing w:before="0" w:after="283"/>
              <w:jc w:val="right"/>
              <w:rPr/>
            </w:pPr>
            <w:r>
              <w:rPr/>
              <w:t> </w:t>
            </w:r>
          </w:p>
        </w:tc>
        <w:tc>
          <w:tcPr>
            <w:tcW w:w="141" w:type="dxa"/>
            <w:tcBorders/>
            <w:shd w:fill="CCEEFF" w:val="clear"/>
            <w:vAlign w:val="bottom"/>
          </w:tcPr>
          <w:p>
            <w:pPr>
              <w:pStyle w:val="TableContents"/>
              <w:spacing w:before="0" w:after="283"/>
              <w:jc w:val="left"/>
              <w:rPr/>
            </w:pPr>
            <w:r>
              <w:rPr/>
              <w:t> </w:t>
            </w:r>
          </w:p>
        </w:tc>
        <w:tc>
          <w:tcPr>
            <w:tcW w:w="666"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1,773</w:t>
            </w:r>
          </w:p>
        </w:tc>
        <w:tc>
          <w:tcPr>
            <w:tcW w:w="95" w:type="dxa"/>
            <w:tcBorders/>
            <w:shd w:fill="CCEEFF" w:val="clear"/>
            <w:vAlign w:val="bottom"/>
          </w:tcPr>
          <w:p>
            <w:pPr>
              <w:pStyle w:val="TableContents"/>
              <w:spacing w:before="0" w:after="283"/>
              <w:jc w:val="left"/>
              <w:rPr/>
            </w:pPr>
            <w:r>
              <w:rPr/>
              <w:t> </w:t>
            </w:r>
          </w:p>
        </w:tc>
      </w:tr>
      <w:tr>
        <w:trPr/>
        <w:tc>
          <w:tcPr>
            <w:tcW w:w="4640" w:type="dxa"/>
            <w:tcBorders/>
            <w:shd w:fill="auto" w:val="clear"/>
            <w:vAlign w:val="bottom"/>
          </w:tcPr>
          <w:p>
            <w:pPr>
              <w:pStyle w:val="TableContents"/>
              <w:spacing w:before="0" w:after="0"/>
              <w:ind w:left="288" w:right="0" w:hanging="144"/>
              <w:jc w:val="left"/>
              <w:rPr>
                <w:rFonts w:ascii="Times New Roman" w:hAnsi="Times New Roman"/>
                <w:sz w:val="20"/>
              </w:rPr>
            </w:pPr>
            <w:r>
              <w:rPr>
                <w:rFonts w:ascii="Times New Roman" w:hAnsi="Times New Roman"/>
                <w:sz w:val="20"/>
              </w:rPr>
              <w:t>Income from insurance activities</w:t>
            </w:r>
          </w:p>
        </w:tc>
        <w:tc>
          <w:tcPr>
            <w:tcW w:w="60" w:type="dxa"/>
            <w:tcBorders/>
            <w:shd w:fill="auto" w:val="clear"/>
            <w:vAlign w:val="bottom"/>
          </w:tcPr>
          <w:p>
            <w:pPr>
              <w:pStyle w:val="TableContents"/>
              <w:spacing w:before="0" w:after="283"/>
              <w:jc w:val="right"/>
              <w:rPr/>
            </w:pPr>
            <w:r>
              <w:rPr/>
              <w:t> </w:t>
            </w:r>
          </w:p>
        </w:tc>
        <w:tc>
          <w:tcPr>
            <w:tcW w:w="141" w:type="dxa"/>
            <w:tcBorders/>
            <w:shd w:fill="auto" w:val="clear"/>
            <w:vAlign w:val="bottom"/>
          </w:tcPr>
          <w:p>
            <w:pPr>
              <w:pStyle w:val="TableContents"/>
              <w:spacing w:before="0" w:after="283"/>
              <w:jc w:val="left"/>
              <w:rPr/>
            </w:pPr>
            <w:r>
              <w:rPr/>
              <w:t> </w:t>
            </w:r>
          </w:p>
        </w:tc>
        <w:tc>
          <w:tcPr>
            <w:tcW w:w="666"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1,411</w:t>
            </w:r>
          </w:p>
        </w:tc>
        <w:tc>
          <w:tcPr>
            <w:tcW w:w="107" w:type="dxa"/>
            <w:tcBorders/>
            <w:shd w:fill="auto" w:val="clear"/>
            <w:vAlign w:val="bottom"/>
          </w:tcPr>
          <w:p>
            <w:pPr>
              <w:pStyle w:val="TableContents"/>
              <w:spacing w:before="0" w:after="283"/>
              <w:jc w:val="left"/>
              <w:rPr/>
            </w:pPr>
            <w:r>
              <w:rPr/>
              <w:t> </w:t>
            </w:r>
          </w:p>
        </w:tc>
        <w:tc>
          <w:tcPr>
            <w:tcW w:w="67" w:type="dxa"/>
            <w:tcBorders/>
            <w:shd w:fill="auto" w:val="clear"/>
            <w:vAlign w:val="bottom"/>
          </w:tcPr>
          <w:p>
            <w:pPr>
              <w:pStyle w:val="TableContents"/>
              <w:spacing w:before="0" w:after="283"/>
              <w:jc w:val="right"/>
              <w:rPr/>
            </w:pPr>
            <w:r>
              <w:rPr/>
              <w:t> </w:t>
            </w:r>
          </w:p>
        </w:tc>
        <w:tc>
          <w:tcPr>
            <w:tcW w:w="141" w:type="dxa"/>
            <w:tcBorders/>
            <w:shd w:fill="auto" w:val="clear"/>
            <w:vAlign w:val="bottom"/>
          </w:tcPr>
          <w:p>
            <w:pPr>
              <w:pStyle w:val="TableContents"/>
              <w:spacing w:before="0" w:after="283"/>
              <w:jc w:val="left"/>
              <w:rPr/>
            </w:pPr>
            <w:r>
              <w:rPr/>
              <w:t> </w:t>
            </w:r>
          </w:p>
        </w:tc>
        <w:tc>
          <w:tcPr>
            <w:tcW w:w="666"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1,570</w:t>
            </w:r>
          </w:p>
        </w:tc>
        <w:tc>
          <w:tcPr>
            <w:tcW w:w="95" w:type="dxa"/>
            <w:tcBorders/>
            <w:shd w:fill="auto" w:val="clear"/>
            <w:vAlign w:val="bottom"/>
          </w:tcPr>
          <w:p>
            <w:pPr>
              <w:pStyle w:val="TableContents"/>
              <w:spacing w:before="0" w:after="283"/>
              <w:jc w:val="left"/>
              <w:rPr/>
            </w:pPr>
            <w:r>
              <w:rPr/>
              <w:t> </w:t>
            </w:r>
          </w:p>
        </w:tc>
      </w:tr>
      <w:tr>
        <w:trPr/>
        <w:tc>
          <w:tcPr>
            <w:tcW w:w="4640" w:type="dxa"/>
            <w:tcBorders/>
            <w:shd w:fill="CCEEFF" w:val="clear"/>
            <w:vAlign w:val="bottom"/>
          </w:tcPr>
          <w:p>
            <w:pPr>
              <w:pStyle w:val="TableContents"/>
              <w:spacing w:before="0" w:after="0"/>
              <w:ind w:left="288" w:right="0" w:hanging="144"/>
              <w:jc w:val="left"/>
              <w:rPr>
                <w:rFonts w:ascii="Times New Roman" w:hAnsi="Times New Roman"/>
                <w:sz w:val="20"/>
              </w:rPr>
            </w:pPr>
            <w:r>
              <w:rPr>
                <w:rFonts w:ascii="Times New Roman" w:hAnsi="Times New Roman"/>
                <w:sz w:val="20"/>
              </w:rPr>
              <w:t>Net gain on sales of loans</w:t>
            </w:r>
          </w:p>
        </w:tc>
        <w:tc>
          <w:tcPr>
            <w:tcW w:w="60" w:type="dxa"/>
            <w:tcBorders/>
            <w:shd w:fill="CCEEFF" w:val="clear"/>
            <w:vAlign w:val="bottom"/>
          </w:tcPr>
          <w:p>
            <w:pPr>
              <w:pStyle w:val="TableContents"/>
              <w:spacing w:before="0" w:after="283"/>
              <w:jc w:val="right"/>
              <w:rPr/>
            </w:pPr>
            <w:r>
              <w:rPr/>
              <w:t> </w:t>
            </w:r>
          </w:p>
        </w:tc>
        <w:tc>
          <w:tcPr>
            <w:tcW w:w="141" w:type="dxa"/>
            <w:tcBorders/>
            <w:shd w:fill="CCEEFF" w:val="clear"/>
            <w:vAlign w:val="bottom"/>
          </w:tcPr>
          <w:p>
            <w:pPr>
              <w:pStyle w:val="TableContents"/>
              <w:spacing w:before="0" w:after="283"/>
              <w:jc w:val="left"/>
              <w:rPr/>
            </w:pPr>
            <w:r>
              <w:rPr/>
              <w:t> </w:t>
            </w:r>
          </w:p>
        </w:tc>
        <w:tc>
          <w:tcPr>
            <w:tcW w:w="666"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2,918</w:t>
            </w:r>
          </w:p>
        </w:tc>
        <w:tc>
          <w:tcPr>
            <w:tcW w:w="107" w:type="dxa"/>
            <w:tcBorders/>
            <w:shd w:fill="CCEEFF" w:val="clear"/>
            <w:vAlign w:val="bottom"/>
          </w:tcPr>
          <w:p>
            <w:pPr>
              <w:pStyle w:val="TableContents"/>
              <w:spacing w:before="0" w:after="283"/>
              <w:jc w:val="left"/>
              <w:rPr/>
            </w:pPr>
            <w:r>
              <w:rPr/>
              <w:t> </w:t>
            </w:r>
          </w:p>
        </w:tc>
        <w:tc>
          <w:tcPr>
            <w:tcW w:w="67" w:type="dxa"/>
            <w:tcBorders/>
            <w:shd w:fill="CCEEFF" w:val="clear"/>
            <w:vAlign w:val="bottom"/>
          </w:tcPr>
          <w:p>
            <w:pPr>
              <w:pStyle w:val="TableContents"/>
              <w:spacing w:before="0" w:after="283"/>
              <w:jc w:val="right"/>
              <w:rPr/>
            </w:pPr>
            <w:r>
              <w:rPr/>
              <w:t> </w:t>
            </w:r>
          </w:p>
        </w:tc>
        <w:tc>
          <w:tcPr>
            <w:tcW w:w="141" w:type="dxa"/>
            <w:tcBorders/>
            <w:shd w:fill="CCEEFF" w:val="clear"/>
            <w:vAlign w:val="bottom"/>
          </w:tcPr>
          <w:p>
            <w:pPr>
              <w:pStyle w:val="TableContents"/>
              <w:spacing w:before="0" w:after="283"/>
              <w:jc w:val="left"/>
              <w:rPr/>
            </w:pPr>
            <w:r>
              <w:rPr/>
              <w:t> </w:t>
            </w:r>
          </w:p>
        </w:tc>
        <w:tc>
          <w:tcPr>
            <w:tcW w:w="666"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7,493</w:t>
            </w:r>
          </w:p>
        </w:tc>
        <w:tc>
          <w:tcPr>
            <w:tcW w:w="95" w:type="dxa"/>
            <w:tcBorders/>
            <w:shd w:fill="CCEEFF" w:val="clear"/>
            <w:vAlign w:val="bottom"/>
          </w:tcPr>
          <w:p>
            <w:pPr>
              <w:pStyle w:val="TableContents"/>
              <w:spacing w:before="0" w:after="283"/>
              <w:jc w:val="left"/>
              <w:rPr/>
            </w:pPr>
            <w:r>
              <w:rPr/>
              <w:t> </w:t>
            </w:r>
          </w:p>
        </w:tc>
      </w:tr>
      <w:tr>
        <w:trPr/>
        <w:tc>
          <w:tcPr>
            <w:tcW w:w="4640" w:type="dxa"/>
            <w:tcBorders/>
            <w:shd w:fill="auto" w:val="clear"/>
            <w:vAlign w:val="bottom"/>
          </w:tcPr>
          <w:p>
            <w:pPr>
              <w:pStyle w:val="TableContents"/>
              <w:spacing w:before="0" w:after="0"/>
              <w:ind w:left="288" w:right="0" w:hanging="144"/>
              <w:jc w:val="left"/>
              <w:rPr>
                <w:rFonts w:ascii="Times New Roman" w:hAnsi="Times New Roman"/>
                <w:sz w:val="20"/>
              </w:rPr>
            </w:pPr>
            <w:r>
              <w:rPr>
                <w:rFonts w:ascii="Times New Roman" w:hAnsi="Times New Roman"/>
                <w:sz w:val="20"/>
              </w:rPr>
              <w:t>Bank card services and interchange fees</w:t>
            </w:r>
          </w:p>
        </w:tc>
        <w:tc>
          <w:tcPr>
            <w:tcW w:w="60" w:type="dxa"/>
            <w:tcBorders/>
            <w:shd w:fill="auto" w:val="clear"/>
            <w:vAlign w:val="bottom"/>
          </w:tcPr>
          <w:p>
            <w:pPr>
              <w:pStyle w:val="TableContents"/>
              <w:spacing w:before="0" w:after="283"/>
              <w:jc w:val="right"/>
              <w:rPr/>
            </w:pPr>
            <w:r>
              <w:rPr/>
              <w:t> </w:t>
            </w:r>
          </w:p>
        </w:tc>
        <w:tc>
          <w:tcPr>
            <w:tcW w:w="141" w:type="dxa"/>
            <w:tcBorders/>
            <w:shd w:fill="auto" w:val="clear"/>
            <w:vAlign w:val="bottom"/>
          </w:tcPr>
          <w:p>
            <w:pPr>
              <w:pStyle w:val="TableContents"/>
              <w:spacing w:before="0" w:after="283"/>
              <w:jc w:val="left"/>
              <w:rPr/>
            </w:pPr>
            <w:r>
              <w:rPr/>
              <w:t> </w:t>
            </w:r>
          </w:p>
        </w:tc>
        <w:tc>
          <w:tcPr>
            <w:tcW w:w="666"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2,956</w:t>
            </w:r>
          </w:p>
        </w:tc>
        <w:tc>
          <w:tcPr>
            <w:tcW w:w="107" w:type="dxa"/>
            <w:tcBorders/>
            <w:shd w:fill="auto" w:val="clear"/>
            <w:vAlign w:val="bottom"/>
          </w:tcPr>
          <w:p>
            <w:pPr>
              <w:pStyle w:val="TableContents"/>
              <w:spacing w:before="0" w:after="283"/>
              <w:jc w:val="left"/>
              <w:rPr/>
            </w:pPr>
            <w:r>
              <w:rPr/>
              <w:t> </w:t>
            </w:r>
          </w:p>
        </w:tc>
        <w:tc>
          <w:tcPr>
            <w:tcW w:w="67" w:type="dxa"/>
            <w:tcBorders/>
            <w:shd w:fill="auto" w:val="clear"/>
            <w:vAlign w:val="bottom"/>
          </w:tcPr>
          <w:p>
            <w:pPr>
              <w:pStyle w:val="TableContents"/>
              <w:spacing w:before="0" w:after="283"/>
              <w:jc w:val="right"/>
              <w:rPr/>
            </w:pPr>
            <w:r>
              <w:rPr/>
              <w:t> </w:t>
            </w:r>
          </w:p>
        </w:tc>
        <w:tc>
          <w:tcPr>
            <w:tcW w:w="141" w:type="dxa"/>
            <w:tcBorders/>
            <w:shd w:fill="auto" w:val="clear"/>
            <w:vAlign w:val="bottom"/>
          </w:tcPr>
          <w:p>
            <w:pPr>
              <w:pStyle w:val="TableContents"/>
              <w:spacing w:before="0" w:after="283"/>
              <w:jc w:val="left"/>
              <w:rPr/>
            </w:pPr>
            <w:r>
              <w:rPr/>
              <w:t> </w:t>
            </w:r>
          </w:p>
        </w:tc>
        <w:tc>
          <w:tcPr>
            <w:tcW w:w="666"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3,222</w:t>
            </w:r>
          </w:p>
        </w:tc>
        <w:tc>
          <w:tcPr>
            <w:tcW w:w="95" w:type="dxa"/>
            <w:tcBorders/>
            <w:shd w:fill="auto" w:val="clear"/>
            <w:vAlign w:val="bottom"/>
          </w:tcPr>
          <w:p>
            <w:pPr>
              <w:pStyle w:val="TableContents"/>
              <w:spacing w:before="0" w:after="283"/>
              <w:jc w:val="left"/>
              <w:rPr/>
            </w:pPr>
            <w:r>
              <w:rPr/>
              <w:t> </w:t>
            </w:r>
          </w:p>
        </w:tc>
      </w:tr>
      <w:tr>
        <w:trPr/>
        <w:tc>
          <w:tcPr>
            <w:tcW w:w="4640" w:type="dxa"/>
            <w:tcBorders/>
            <w:shd w:fill="CCEEFF" w:val="clear"/>
            <w:vAlign w:val="bottom"/>
          </w:tcPr>
          <w:p>
            <w:pPr>
              <w:pStyle w:val="TableContents"/>
              <w:spacing w:before="0" w:after="0"/>
              <w:ind w:left="180" w:right="0" w:hanging="0"/>
              <w:rPr/>
            </w:pPr>
            <w:r>
              <w:rPr/>
              <w:t>Other mortgage banking income (loss)</w:t>
            </w:r>
          </w:p>
        </w:tc>
        <w:tc>
          <w:tcPr>
            <w:tcW w:w="60" w:type="dxa"/>
            <w:tcBorders/>
            <w:shd w:fill="CCEEFF" w:val="clear"/>
            <w:vAlign w:val="bottom"/>
          </w:tcPr>
          <w:p>
            <w:pPr>
              <w:pStyle w:val="TableContents"/>
              <w:spacing w:before="0" w:after="283"/>
              <w:jc w:val="right"/>
              <w:rPr/>
            </w:pPr>
            <w:r>
              <w:rPr/>
              <w:t> </w:t>
            </w:r>
          </w:p>
        </w:tc>
        <w:tc>
          <w:tcPr>
            <w:tcW w:w="141" w:type="dxa"/>
            <w:tcBorders/>
            <w:shd w:fill="CCEEFF" w:val="clear"/>
            <w:vAlign w:val="bottom"/>
          </w:tcPr>
          <w:p>
            <w:pPr>
              <w:pStyle w:val="TableContents"/>
              <w:spacing w:before="0" w:after="283"/>
              <w:jc w:val="left"/>
              <w:rPr/>
            </w:pPr>
            <w:r>
              <w:rPr/>
              <w:t> </w:t>
            </w:r>
          </w:p>
        </w:tc>
        <w:tc>
          <w:tcPr>
            <w:tcW w:w="666" w:type="dxa"/>
            <w:tcBorders/>
            <w:shd w:fill="CCEEFF" w:val="clear"/>
            <w:vAlign w:val="bottom"/>
          </w:tcPr>
          <w:p>
            <w:pPr>
              <w:pStyle w:val="TableContents"/>
              <w:spacing w:before="0" w:after="283"/>
              <w:jc w:val="right"/>
              <w:rPr/>
            </w:pPr>
            <w:r>
              <w:rPr/>
              <w:t>(633</w:t>
            </w:r>
          </w:p>
        </w:tc>
        <w:tc>
          <w:tcPr>
            <w:tcW w:w="107" w:type="dxa"/>
            <w:tcBorders/>
            <w:shd w:fill="CCEEFF" w:val="clear"/>
            <w:vAlign w:val="bottom"/>
          </w:tcPr>
          <w:p>
            <w:pPr>
              <w:pStyle w:val="TableContents"/>
              <w:spacing w:before="0" w:after="283"/>
              <w:jc w:val="left"/>
              <w:rPr/>
            </w:pPr>
            <w:r>
              <w:rPr/>
              <w:t>)</w:t>
            </w:r>
          </w:p>
        </w:tc>
        <w:tc>
          <w:tcPr>
            <w:tcW w:w="67" w:type="dxa"/>
            <w:tcBorders/>
            <w:shd w:fill="CCEEFF" w:val="clear"/>
            <w:vAlign w:val="bottom"/>
          </w:tcPr>
          <w:p>
            <w:pPr>
              <w:pStyle w:val="TableContents"/>
              <w:spacing w:before="0" w:after="283"/>
              <w:jc w:val="right"/>
              <w:rPr/>
            </w:pPr>
            <w:r>
              <w:rPr/>
              <w:t> </w:t>
            </w:r>
          </w:p>
        </w:tc>
        <w:tc>
          <w:tcPr>
            <w:tcW w:w="141" w:type="dxa"/>
            <w:tcBorders/>
            <w:shd w:fill="CCEEFF" w:val="clear"/>
            <w:vAlign w:val="bottom"/>
          </w:tcPr>
          <w:p>
            <w:pPr>
              <w:pStyle w:val="TableContents"/>
              <w:spacing w:before="0" w:after="283"/>
              <w:jc w:val="left"/>
              <w:rPr/>
            </w:pPr>
            <w:r>
              <w:rPr/>
              <w:t> </w:t>
            </w:r>
          </w:p>
        </w:tc>
        <w:tc>
          <w:tcPr>
            <w:tcW w:w="666" w:type="dxa"/>
            <w:tcBorders/>
            <w:shd w:fill="CCEEFF" w:val="clear"/>
            <w:vAlign w:val="bottom"/>
          </w:tcPr>
          <w:p>
            <w:pPr>
              <w:pStyle w:val="TableContents"/>
              <w:spacing w:before="0" w:after="283"/>
              <w:jc w:val="right"/>
              <w:rPr/>
            </w:pPr>
            <w:r>
              <w:rPr/>
              <w:t>6,144</w:t>
            </w:r>
          </w:p>
        </w:tc>
        <w:tc>
          <w:tcPr>
            <w:tcW w:w="95" w:type="dxa"/>
            <w:tcBorders/>
            <w:shd w:fill="CCEEFF" w:val="clear"/>
            <w:vAlign w:val="bottom"/>
          </w:tcPr>
          <w:p>
            <w:pPr>
              <w:pStyle w:val="TableContents"/>
              <w:spacing w:before="0" w:after="283"/>
              <w:jc w:val="left"/>
              <w:rPr/>
            </w:pPr>
            <w:r>
              <w:rPr/>
              <w:t> </w:t>
            </w:r>
          </w:p>
        </w:tc>
      </w:tr>
      <w:tr>
        <w:trPr/>
        <w:tc>
          <w:tcPr>
            <w:tcW w:w="4640" w:type="dxa"/>
            <w:tcBorders/>
            <w:shd w:fill="auto" w:val="clear"/>
            <w:vAlign w:val="bottom"/>
          </w:tcPr>
          <w:p>
            <w:pPr>
              <w:pStyle w:val="TableContents"/>
              <w:spacing w:before="0" w:after="0"/>
              <w:ind w:left="288" w:right="0" w:hanging="144"/>
              <w:jc w:val="left"/>
              <w:rPr>
                <w:rFonts w:ascii="Times New Roman" w:hAnsi="Times New Roman"/>
                <w:sz w:val="20"/>
              </w:rPr>
            </w:pPr>
            <w:r>
              <w:rPr>
                <w:rFonts w:ascii="Times New Roman" w:hAnsi="Times New Roman"/>
                <w:sz w:val="20"/>
              </w:rPr>
              <w:t>Investment commissions</w:t>
            </w:r>
          </w:p>
        </w:tc>
        <w:tc>
          <w:tcPr>
            <w:tcW w:w="60" w:type="dxa"/>
            <w:tcBorders/>
            <w:shd w:fill="auto" w:val="clear"/>
            <w:vAlign w:val="bottom"/>
          </w:tcPr>
          <w:p>
            <w:pPr>
              <w:pStyle w:val="TableContents"/>
              <w:spacing w:before="0" w:after="283"/>
              <w:jc w:val="right"/>
              <w:rPr/>
            </w:pPr>
            <w:r>
              <w:rPr/>
              <w:t> </w:t>
            </w:r>
          </w:p>
        </w:tc>
        <w:tc>
          <w:tcPr>
            <w:tcW w:w="141" w:type="dxa"/>
            <w:tcBorders/>
            <w:shd w:fill="auto" w:val="clear"/>
            <w:vAlign w:val="bottom"/>
          </w:tcPr>
          <w:p>
            <w:pPr>
              <w:pStyle w:val="TableContents"/>
              <w:spacing w:before="0" w:after="283"/>
              <w:jc w:val="left"/>
              <w:rPr/>
            </w:pPr>
            <w:r>
              <w:rPr/>
              <w:t> </w:t>
            </w:r>
          </w:p>
        </w:tc>
        <w:tc>
          <w:tcPr>
            <w:tcW w:w="666"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389</w:t>
            </w:r>
          </w:p>
        </w:tc>
        <w:tc>
          <w:tcPr>
            <w:tcW w:w="107" w:type="dxa"/>
            <w:tcBorders/>
            <w:shd w:fill="auto" w:val="clear"/>
            <w:vAlign w:val="bottom"/>
          </w:tcPr>
          <w:p>
            <w:pPr>
              <w:pStyle w:val="TableContents"/>
              <w:spacing w:before="0" w:after="283"/>
              <w:jc w:val="left"/>
              <w:rPr/>
            </w:pPr>
            <w:r>
              <w:rPr/>
              <w:t> </w:t>
            </w:r>
          </w:p>
        </w:tc>
        <w:tc>
          <w:tcPr>
            <w:tcW w:w="67" w:type="dxa"/>
            <w:tcBorders/>
            <w:shd w:fill="auto" w:val="clear"/>
            <w:vAlign w:val="bottom"/>
          </w:tcPr>
          <w:p>
            <w:pPr>
              <w:pStyle w:val="TableContents"/>
              <w:spacing w:before="0" w:after="283"/>
              <w:jc w:val="right"/>
              <w:rPr/>
            </w:pPr>
            <w:r>
              <w:rPr/>
              <w:t> </w:t>
            </w:r>
          </w:p>
        </w:tc>
        <w:tc>
          <w:tcPr>
            <w:tcW w:w="141" w:type="dxa"/>
            <w:tcBorders/>
            <w:shd w:fill="auto" w:val="clear"/>
            <w:vAlign w:val="bottom"/>
          </w:tcPr>
          <w:p>
            <w:pPr>
              <w:pStyle w:val="TableContents"/>
              <w:spacing w:before="0" w:after="283"/>
              <w:jc w:val="left"/>
              <w:rPr/>
            </w:pPr>
            <w:r>
              <w:rPr/>
              <w:t> </w:t>
            </w:r>
          </w:p>
        </w:tc>
        <w:tc>
          <w:tcPr>
            <w:tcW w:w="666"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546</w:t>
            </w:r>
          </w:p>
        </w:tc>
        <w:tc>
          <w:tcPr>
            <w:tcW w:w="95" w:type="dxa"/>
            <w:tcBorders/>
            <w:shd w:fill="auto" w:val="clear"/>
            <w:vAlign w:val="bottom"/>
          </w:tcPr>
          <w:p>
            <w:pPr>
              <w:pStyle w:val="TableContents"/>
              <w:spacing w:before="0" w:after="283"/>
              <w:jc w:val="left"/>
              <w:rPr/>
            </w:pPr>
            <w:r>
              <w:rPr/>
              <w:t> </w:t>
            </w:r>
          </w:p>
        </w:tc>
      </w:tr>
      <w:tr>
        <w:trPr/>
        <w:tc>
          <w:tcPr>
            <w:tcW w:w="4640" w:type="dxa"/>
            <w:tcBorders/>
            <w:shd w:fill="CCEEFF" w:val="clear"/>
            <w:vAlign w:val="bottom"/>
          </w:tcPr>
          <w:p>
            <w:pPr>
              <w:pStyle w:val="TableContents"/>
              <w:spacing w:before="0" w:after="0"/>
              <w:ind w:left="288" w:right="0" w:hanging="144"/>
              <w:jc w:val="left"/>
              <w:rPr>
                <w:rFonts w:ascii="Times New Roman" w:hAnsi="Times New Roman"/>
                <w:sz w:val="20"/>
              </w:rPr>
            </w:pPr>
            <w:r>
              <w:rPr>
                <w:rFonts w:ascii="Times New Roman" w:hAnsi="Times New Roman"/>
                <w:sz w:val="20"/>
              </w:rPr>
              <w:t>Fiduciary fees</w:t>
            </w:r>
          </w:p>
        </w:tc>
        <w:tc>
          <w:tcPr>
            <w:tcW w:w="60" w:type="dxa"/>
            <w:tcBorders/>
            <w:shd w:fill="CCEEFF" w:val="clear"/>
            <w:vAlign w:val="bottom"/>
          </w:tcPr>
          <w:p>
            <w:pPr>
              <w:pStyle w:val="TableContents"/>
              <w:spacing w:before="0" w:after="283"/>
              <w:jc w:val="right"/>
              <w:rPr/>
            </w:pPr>
            <w:r>
              <w:rPr/>
              <w:t> </w:t>
            </w:r>
          </w:p>
        </w:tc>
        <w:tc>
          <w:tcPr>
            <w:tcW w:w="141" w:type="dxa"/>
            <w:tcBorders/>
            <w:shd w:fill="CCEEFF" w:val="clear"/>
            <w:vAlign w:val="bottom"/>
          </w:tcPr>
          <w:p>
            <w:pPr>
              <w:pStyle w:val="TableContents"/>
              <w:spacing w:before="0" w:after="283"/>
              <w:jc w:val="left"/>
              <w:rPr/>
            </w:pPr>
            <w:r>
              <w:rPr/>
              <w:t> </w:t>
            </w:r>
          </w:p>
        </w:tc>
        <w:tc>
          <w:tcPr>
            <w:tcW w:w="666"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600</w:t>
            </w:r>
          </w:p>
        </w:tc>
        <w:tc>
          <w:tcPr>
            <w:tcW w:w="107" w:type="dxa"/>
            <w:tcBorders/>
            <w:shd w:fill="CCEEFF" w:val="clear"/>
            <w:vAlign w:val="bottom"/>
          </w:tcPr>
          <w:p>
            <w:pPr>
              <w:pStyle w:val="TableContents"/>
              <w:spacing w:before="0" w:after="283"/>
              <w:jc w:val="left"/>
              <w:rPr/>
            </w:pPr>
            <w:r>
              <w:rPr/>
              <w:t> </w:t>
            </w:r>
          </w:p>
        </w:tc>
        <w:tc>
          <w:tcPr>
            <w:tcW w:w="67" w:type="dxa"/>
            <w:tcBorders/>
            <w:shd w:fill="CCEEFF" w:val="clear"/>
            <w:vAlign w:val="bottom"/>
          </w:tcPr>
          <w:p>
            <w:pPr>
              <w:pStyle w:val="TableContents"/>
              <w:spacing w:before="0" w:after="283"/>
              <w:jc w:val="right"/>
              <w:rPr/>
            </w:pPr>
            <w:r>
              <w:rPr/>
              <w:t> </w:t>
            </w:r>
          </w:p>
        </w:tc>
        <w:tc>
          <w:tcPr>
            <w:tcW w:w="141" w:type="dxa"/>
            <w:tcBorders/>
            <w:shd w:fill="CCEEFF" w:val="clear"/>
            <w:vAlign w:val="bottom"/>
          </w:tcPr>
          <w:p>
            <w:pPr>
              <w:pStyle w:val="TableContents"/>
              <w:spacing w:before="0" w:after="283"/>
              <w:jc w:val="left"/>
              <w:rPr/>
            </w:pPr>
            <w:r>
              <w:rPr/>
              <w:t> </w:t>
            </w:r>
          </w:p>
        </w:tc>
        <w:tc>
          <w:tcPr>
            <w:tcW w:w="666"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612</w:t>
            </w:r>
          </w:p>
        </w:tc>
        <w:tc>
          <w:tcPr>
            <w:tcW w:w="95" w:type="dxa"/>
            <w:tcBorders/>
            <w:shd w:fill="CCEEFF" w:val="clear"/>
            <w:vAlign w:val="bottom"/>
          </w:tcPr>
          <w:p>
            <w:pPr>
              <w:pStyle w:val="TableContents"/>
              <w:spacing w:before="0" w:after="283"/>
              <w:jc w:val="left"/>
              <w:rPr/>
            </w:pPr>
            <w:r>
              <w:rPr/>
              <w:t> </w:t>
            </w:r>
          </w:p>
        </w:tc>
      </w:tr>
      <w:tr>
        <w:trPr/>
        <w:tc>
          <w:tcPr>
            <w:tcW w:w="4640" w:type="dxa"/>
            <w:tcBorders/>
            <w:shd w:fill="auto" w:val="clear"/>
            <w:vAlign w:val="bottom"/>
          </w:tcPr>
          <w:p>
            <w:pPr>
              <w:pStyle w:val="TableContents"/>
              <w:spacing w:before="0" w:after="0"/>
              <w:ind w:left="288" w:right="0" w:hanging="144"/>
              <w:jc w:val="left"/>
              <w:rPr>
                <w:rFonts w:ascii="Times New Roman" w:hAnsi="Times New Roman"/>
                <w:sz w:val="20"/>
              </w:rPr>
            </w:pPr>
            <w:r>
              <w:rPr>
                <w:rFonts w:ascii="Times New Roman" w:hAnsi="Times New Roman"/>
                <w:sz w:val="20"/>
              </w:rPr>
              <w:t>Other</w:t>
            </w:r>
          </w:p>
        </w:tc>
        <w:tc>
          <w:tcPr>
            <w:tcW w:w="60" w:type="dxa"/>
            <w:tcBorders/>
            <w:shd w:fill="auto" w:val="clear"/>
            <w:vAlign w:val="bottom"/>
          </w:tcPr>
          <w:p>
            <w:pPr>
              <w:pStyle w:val="TableContents"/>
              <w:spacing w:before="0" w:after="283"/>
              <w:jc w:val="right"/>
              <w:rPr/>
            </w:pPr>
            <w:r>
              <w:rPr/>
              <w:t> </w:t>
            </w:r>
          </w:p>
        </w:tc>
        <w:tc>
          <w:tcPr>
            <w:tcW w:w="141"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66"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1,349</w:t>
            </w:r>
          </w:p>
        </w:tc>
        <w:tc>
          <w:tcPr>
            <w:tcW w:w="107" w:type="dxa"/>
            <w:tcBorders/>
            <w:shd w:fill="auto" w:val="clear"/>
            <w:vAlign w:val="bottom"/>
          </w:tcPr>
          <w:p>
            <w:pPr>
              <w:pStyle w:val="TableContents"/>
              <w:spacing w:before="0" w:after="283"/>
              <w:jc w:val="left"/>
              <w:rPr/>
            </w:pPr>
            <w:r>
              <w:rPr/>
              <w:t> </w:t>
            </w:r>
          </w:p>
        </w:tc>
        <w:tc>
          <w:tcPr>
            <w:tcW w:w="67" w:type="dxa"/>
            <w:tcBorders/>
            <w:shd w:fill="auto" w:val="clear"/>
            <w:vAlign w:val="bottom"/>
          </w:tcPr>
          <w:p>
            <w:pPr>
              <w:pStyle w:val="TableContents"/>
              <w:spacing w:before="0" w:after="283"/>
              <w:jc w:val="right"/>
              <w:rPr/>
            </w:pPr>
            <w:r>
              <w:rPr/>
              <w:t> </w:t>
            </w:r>
          </w:p>
        </w:tc>
        <w:tc>
          <w:tcPr>
            <w:tcW w:w="141"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66"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2,337</w:t>
            </w:r>
          </w:p>
        </w:tc>
        <w:tc>
          <w:tcPr>
            <w:tcW w:w="95" w:type="dxa"/>
            <w:tcBorders/>
            <w:shd w:fill="auto" w:val="clear"/>
            <w:vAlign w:val="bottom"/>
          </w:tcPr>
          <w:p>
            <w:pPr>
              <w:pStyle w:val="TableContents"/>
              <w:spacing w:before="0" w:after="283"/>
              <w:jc w:val="left"/>
              <w:rPr/>
            </w:pPr>
            <w:r>
              <w:rPr/>
              <w:t> </w:t>
            </w:r>
          </w:p>
        </w:tc>
      </w:tr>
      <w:tr>
        <w:trPr/>
        <w:tc>
          <w:tcPr>
            <w:tcW w:w="4640" w:type="dxa"/>
            <w:tcBorders/>
            <w:shd w:fill="CCEEFF" w:val="clear"/>
            <w:vAlign w:val="bottom"/>
          </w:tcPr>
          <w:p>
            <w:pPr>
              <w:pStyle w:val="TableContents"/>
              <w:spacing w:before="0" w:after="0"/>
              <w:ind w:left="677" w:right="0" w:hanging="144"/>
              <w:jc w:val="left"/>
              <w:rPr>
                <w:rFonts w:ascii="Times New Roman" w:hAnsi="Times New Roman"/>
                <w:sz w:val="20"/>
              </w:rPr>
            </w:pPr>
            <w:r>
              <w:rPr>
                <w:rFonts w:ascii="Times New Roman" w:hAnsi="Times New Roman"/>
                <w:sz w:val="20"/>
              </w:rPr>
              <w:t>Total noninterest income</w:t>
            </w:r>
          </w:p>
        </w:tc>
        <w:tc>
          <w:tcPr>
            <w:tcW w:w="60" w:type="dxa"/>
            <w:tcBorders/>
            <w:shd w:fill="CCEEFF" w:val="clear"/>
            <w:vAlign w:val="bottom"/>
          </w:tcPr>
          <w:p>
            <w:pPr>
              <w:pStyle w:val="TableContents"/>
              <w:spacing w:before="0" w:after="283"/>
              <w:jc w:val="right"/>
              <w:rPr/>
            </w:pPr>
            <w:r>
              <w:rPr/>
              <w:t> </w:t>
            </w:r>
          </w:p>
        </w:tc>
        <w:tc>
          <w:tcPr>
            <w:tcW w:w="14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66"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10,691</w:t>
            </w:r>
          </w:p>
        </w:tc>
        <w:tc>
          <w:tcPr>
            <w:tcW w:w="107" w:type="dxa"/>
            <w:tcBorders/>
            <w:shd w:fill="CCEEFF" w:val="clear"/>
            <w:vAlign w:val="bottom"/>
          </w:tcPr>
          <w:p>
            <w:pPr>
              <w:pStyle w:val="TableContents"/>
              <w:spacing w:before="0" w:after="283"/>
              <w:jc w:val="left"/>
              <w:rPr/>
            </w:pPr>
            <w:r>
              <w:rPr/>
              <w:t> </w:t>
            </w:r>
          </w:p>
        </w:tc>
        <w:tc>
          <w:tcPr>
            <w:tcW w:w="67" w:type="dxa"/>
            <w:tcBorders/>
            <w:shd w:fill="CCEEFF" w:val="clear"/>
            <w:vAlign w:val="bottom"/>
          </w:tcPr>
          <w:p>
            <w:pPr>
              <w:pStyle w:val="TableContents"/>
              <w:spacing w:before="0" w:after="283"/>
              <w:jc w:val="right"/>
              <w:rPr/>
            </w:pPr>
            <w:r>
              <w:rPr/>
              <w:t> </w:t>
            </w:r>
          </w:p>
        </w:tc>
        <w:tc>
          <w:tcPr>
            <w:tcW w:w="14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66"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23,697</w:t>
            </w:r>
          </w:p>
        </w:tc>
        <w:tc>
          <w:tcPr>
            <w:tcW w:w="95" w:type="dxa"/>
            <w:tcBorders/>
            <w:shd w:fill="CCEEFF" w:val="clear"/>
            <w:vAlign w:val="bottom"/>
          </w:tcPr>
          <w:p>
            <w:pPr>
              <w:pStyle w:val="TableContents"/>
              <w:spacing w:before="0" w:after="283"/>
              <w:jc w:val="left"/>
              <w:rPr/>
            </w:pPr>
            <w:r>
              <w:rPr/>
              <w:t> </w:t>
            </w:r>
          </w:p>
        </w:tc>
      </w:tr>
      <w:tr>
        <w:trPr/>
        <w:tc>
          <w:tcPr>
            <w:tcW w:w="4640" w:type="dxa"/>
            <w:tcBorders/>
            <w:shd w:fill="auto"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Noninterest expense:</w:t>
            </w:r>
          </w:p>
        </w:tc>
        <w:tc>
          <w:tcPr>
            <w:tcW w:w="60" w:type="dxa"/>
            <w:tcBorders/>
            <w:shd w:fill="auto" w:val="clear"/>
            <w:vAlign w:val="bottom"/>
          </w:tcPr>
          <w:p>
            <w:pPr>
              <w:pStyle w:val="TableContents"/>
              <w:spacing w:before="0" w:after="283"/>
              <w:jc w:val="right"/>
              <w:rPr/>
            </w:pPr>
            <w:r>
              <w:rPr/>
              <w:t> </w:t>
            </w:r>
          </w:p>
        </w:tc>
        <w:tc>
          <w:tcPr>
            <w:tcW w:w="141" w:type="dxa"/>
            <w:tcBorders/>
            <w:shd w:fill="auto" w:val="clear"/>
            <w:vAlign w:val="bottom"/>
          </w:tcPr>
          <w:p>
            <w:pPr>
              <w:pStyle w:val="TableContents"/>
              <w:spacing w:before="0" w:after="283"/>
              <w:jc w:val="left"/>
              <w:rPr/>
            </w:pPr>
            <w:r>
              <w:rPr/>
              <w:t> </w:t>
            </w:r>
          </w:p>
        </w:tc>
        <w:tc>
          <w:tcPr>
            <w:tcW w:w="666" w:type="dxa"/>
            <w:tcBorders/>
            <w:shd w:fill="auto" w:val="clear"/>
            <w:vAlign w:val="bottom"/>
          </w:tcPr>
          <w:p>
            <w:pPr>
              <w:pStyle w:val="TableContents"/>
              <w:spacing w:before="0" w:after="283"/>
              <w:jc w:val="right"/>
              <w:rPr/>
            </w:pPr>
            <w:r>
              <w:rPr/>
              <w:t> </w:t>
            </w:r>
          </w:p>
        </w:tc>
        <w:tc>
          <w:tcPr>
            <w:tcW w:w="107" w:type="dxa"/>
            <w:tcBorders/>
            <w:shd w:fill="auto" w:val="clear"/>
            <w:vAlign w:val="bottom"/>
          </w:tcPr>
          <w:p>
            <w:pPr>
              <w:pStyle w:val="TableContents"/>
              <w:spacing w:before="0" w:after="283"/>
              <w:jc w:val="left"/>
              <w:rPr/>
            </w:pPr>
            <w:r>
              <w:rPr/>
              <w:t> </w:t>
            </w:r>
          </w:p>
        </w:tc>
        <w:tc>
          <w:tcPr>
            <w:tcW w:w="67" w:type="dxa"/>
            <w:tcBorders/>
            <w:shd w:fill="auto" w:val="clear"/>
            <w:vAlign w:val="bottom"/>
          </w:tcPr>
          <w:p>
            <w:pPr>
              <w:pStyle w:val="TableContents"/>
              <w:spacing w:before="0" w:after="283"/>
              <w:jc w:val="right"/>
              <w:rPr/>
            </w:pPr>
            <w:r>
              <w:rPr/>
              <w:t> </w:t>
            </w:r>
          </w:p>
        </w:tc>
        <w:tc>
          <w:tcPr>
            <w:tcW w:w="141" w:type="dxa"/>
            <w:tcBorders/>
            <w:shd w:fill="auto" w:val="clear"/>
            <w:vAlign w:val="bottom"/>
          </w:tcPr>
          <w:p>
            <w:pPr>
              <w:pStyle w:val="TableContents"/>
              <w:spacing w:before="0" w:after="283"/>
              <w:jc w:val="left"/>
              <w:rPr/>
            </w:pPr>
            <w:r>
              <w:rPr/>
              <w:t> </w:t>
            </w:r>
          </w:p>
        </w:tc>
        <w:tc>
          <w:tcPr>
            <w:tcW w:w="666"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r>
      <w:tr>
        <w:trPr/>
        <w:tc>
          <w:tcPr>
            <w:tcW w:w="4640" w:type="dxa"/>
            <w:tcBorders/>
            <w:shd w:fill="CCEEFF" w:val="clear"/>
            <w:vAlign w:val="bottom"/>
          </w:tcPr>
          <w:p>
            <w:pPr>
              <w:pStyle w:val="TableContents"/>
              <w:spacing w:before="0" w:after="0"/>
              <w:ind w:left="288" w:right="0" w:hanging="144"/>
              <w:jc w:val="left"/>
              <w:rPr>
                <w:rFonts w:ascii="Times New Roman" w:hAnsi="Times New Roman"/>
                <w:sz w:val="20"/>
              </w:rPr>
            </w:pPr>
            <w:r>
              <w:rPr>
                <w:rFonts w:ascii="Times New Roman" w:hAnsi="Times New Roman"/>
                <w:sz w:val="20"/>
              </w:rPr>
              <w:t>Salaries and employee benefits</w:t>
            </w:r>
          </w:p>
        </w:tc>
        <w:tc>
          <w:tcPr>
            <w:tcW w:w="60" w:type="dxa"/>
            <w:tcBorders/>
            <w:shd w:fill="CCEEFF" w:val="clear"/>
            <w:vAlign w:val="bottom"/>
          </w:tcPr>
          <w:p>
            <w:pPr>
              <w:pStyle w:val="TableContents"/>
              <w:spacing w:before="0" w:after="283"/>
              <w:jc w:val="right"/>
              <w:rPr/>
            </w:pPr>
            <w:r>
              <w:rPr/>
              <w:t> </w:t>
            </w:r>
          </w:p>
        </w:tc>
        <w:tc>
          <w:tcPr>
            <w:tcW w:w="141" w:type="dxa"/>
            <w:tcBorders/>
            <w:shd w:fill="CCEEFF" w:val="clear"/>
            <w:vAlign w:val="bottom"/>
          </w:tcPr>
          <w:p>
            <w:pPr>
              <w:pStyle w:val="TableContents"/>
              <w:spacing w:before="0" w:after="283"/>
              <w:jc w:val="left"/>
              <w:rPr/>
            </w:pPr>
            <w:r>
              <w:rPr/>
              <w:t> </w:t>
            </w:r>
          </w:p>
        </w:tc>
        <w:tc>
          <w:tcPr>
            <w:tcW w:w="666"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19,254</w:t>
            </w:r>
          </w:p>
        </w:tc>
        <w:tc>
          <w:tcPr>
            <w:tcW w:w="107" w:type="dxa"/>
            <w:tcBorders/>
            <w:shd w:fill="CCEEFF" w:val="clear"/>
            <w:vAlign w:val="bottom"/>
          </w:tcPr>
          <w:p>
            <w:pPr>
              <w:pStyle w:val="TableContents"/>
              <w:spacing w:before="0" w:after="283"/>
              <w:jc w:val="left"/>
              <w:rPr/>
            </w:pPr>
            <w:r>
              <w:rPr/>
              <w:t> </w:t>
            </w:r>
          </w:p>
        </w:tc>
        <w:tc>
          <w:tcPr>
            <w:tcW w:w="67" w:type="dxa"/>
            <w:tcBorders/>
            <w:shd w:fill="CCEEFF" w:val="clear"/>
            <w:vAlign w:val="bottom"/>
          </w:tcPr>
          <w:p>
            <w:pPr>
              <w:pStyle w:val="TableContents"/>
              <w:spacing w:before="0" w:after="283"/>
              <w:jc w:val="right"/>
              <w:rPr/>
            </w:pPr>
            <w:r>
              <w:rPr/>
              <w:t> </w:t>
            </w:r>
          </w:p>
        </w:tc>
        <w:tc>
          <w:tcPr>
            <w:tcW w:w="141" w:type="dxa"/>
            <w:tcBorders/>
            <w:shd w:fill="CCEEFF" w:val="clear"/>
            <w:vAlign w:val="bottom"/>
          </w:tcPr>
          <w:p>
            <w:pPr>
              <w:pStyle w:val="TableContents"/>
              <w:spacing w:before="0" w:after="283"/>
              <w:jc w:val="left"/>
              <w:rPr/>
            </w:pPr>
            <w:r>
              <w:rPr/>
              <w:t> </w:t>
            </w:r>
          </w:p>
        </w:tc>
        <w:tc>
          <w:tcPr>
            <w:tcW w:w="666"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22,703</w:t>
            </w:r>
          </w:p>
        </w:tc>
        <w:tc>
          <w:tcPr>
            <w:tcW w:w="95" w:type="dxa"/>
            <w:tcBorders/>
            <w:shd w:fill="CCEEFF" w:val="clear"/>
            <w:vAlign w:val="bottom"/>
          </w:tcPr>
          <w:p>
            <w:pPr>
              <w:pStyle w:val="TableContents"/>
              <w:spacing w:before="0" w:after="283"/>
              <w:jc w:val="left"/>
              <w:rPr/>
            </w:pPr>
            <w:r>
              <w:rPr/>
              <w:t> </w:t>
            </w:r>
          </w:p>
        </w:tc>
      </w:tr>
      <w:tr>
        <w:trPr/>
        <w:tc>
          <w:tcPr>
            <w:tcW w:w="4640" w:type="dxa"/>
            <w:tcBorders/>
            <w:shd w:fill="auto" w:val="clear"/>
            <w:vAlign w:val="bottom"/>
          </w:tcPr>
          <w:p>
            <w:pPr>
              <w:pStyle w:val="TableContents"/>
              <w:spacing w:before="0" w:after="0"/>
              <w:ind w:left="288" w:right="0" w:hanging="144"/>
              <w:jc w:val="left"/>
              <w:rPr>
                <w:rFonts w:ascii="Times New Roman" w:hAnsi="Times New Roman"/>
                <w:sz w:val="20"/>
              </w:rPr>
            </w:pPr>
            <w:r>
              <w:rPr>
                <w:rFonts w:ascii="Times New Roman" w:hAnsi="Times New Roman"/>
                <w:sz w:val="20"/>
              </w:rPr>
              <w:t>Occupancy and equipment, net</w:t>
            </w:r>
          </w:p>
        </w:tc>
        <w:tc>
          <w:tcPr>
            <w:tcW w:w="60" w:type="dxa"/>
            <w:tcBorders/>
            <w:shd w:fill="auto" w:val="clear"/>
            <w:vAlign w:val="bottom"/>
          </w:tcPr>
          <w:p>
            <w:pPr>
              <w:pStyle w:val="TableContents"/>
              <w:spacing w:before="0" w:after="283"/>
              <w:jc w:val="right"/>
              <w:rPr/>
            </w:pPr>
            <w:r>
              <w:rPr/>
              <w:t> </w:t>
            </w:r>
          </w:p>
        </w:tc>
        <w:tc>
          <w:tcPr>
            <w:tcW w:w="141" w:type="dxa"/>
            <w:tcBorders/>
            <w:shd w:fill="auto" w:val="clear"/>
            <w:vAlign w:val="bottom"/>
          </w:tcPr>
          <w:p>
            <w:pPr>
              <w:pStyle w:val="TableContents"/>
              <w:spacing w:before="0" w:after="283"/>
              <w:jc w:val="left"/>
              <w:rPr/>
            </w:pPr>
            <w:r>
              <w:rPr/>
              <w:t> </w:t>
            </w:r>
          </w:p>
        </w:tc>
        <w:tc>
          <w:tcPr>
            <w:tcW w:w="666"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3,832</w:t>
            </w:r>
          </w:p>
        </w:tc>
        <w:tc>
          <w:tcPr>
            <w:tcW w:w="107" w:type="dxa"/>
            <w:tcBorders/>
            <w:shd w:fill="auto" w:val="clear"/>
            <w:vAlign w:val="bottom"/>
          </w:tcPr>
          <w:p>
            <w:pPr>
              <w:pStyle w:val="TableContents"/>
              <w:spacing w:before="0" w:after="283"/>
              <w:jc w:val="left"/>
              <w:rPr/>
            </w:pPr>
            <w:r>
              <w:rPr/>
              <w:t> </w:t>
            </w:r>
          </w:p>
        </w:tc>
        <w:tc>
          <w:tcPr>
            <w:tcW w:w="67" w:type="dxa"/>
            <w:tcBorders/>
            <w:shd w:fill="auto" w:val="clear"/>
            <w:vAlign w:val="bottom"/>
          </w:tcPr>
          <w:p>
            <w:pPr>
              <w:pStyle w:val="TableContents"/>
              <w:spacing w:before="0" w:after="283"/>
              <w:jc w:val="right"/>
              <w:rPr/>
            </w:pPr>
            <w:r>
              <w:rPr/>
              <w:t> </w:t>
            </w:r>
          </w:p>
        </w:tc>
        <w:tc>
          <w:tcPr>
            <w:tcW w:w="141" w:type="dxa"/>
            <w:tcBorders/>
            <w:shd w:fill="auto" w:val="clear"/>
            <w:vAlign w:val="bottom"/>
          </w:tcPr>
          <w:p>
            <w:pPr>
              <w:pStyle w:val="TableContents"/>
              <w:spacing w:before="0" w:after="283"/>
              <w:jc w:val="left"/>
              <w:rPr/>
            </w:pPr>
            <w:r>
              <w:rPr/>
              <w:t> </w:t>
            </w:r>
          </w:p>
        </w:tc>
        <w:tc>
          <w:tcPr>
            <w:tcW w:w="666"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3,737</w:t>
            </w:r>
          </w:p>
        </w:tc>
        <w:tc>
          <w:tcPr>
            <w:tcW w:w="95" w:type="dxa"/>
            <w:tcBorders/>
            <w:shd w:fill="auto" w:val="clear"/>
            <w:vAlign w:val="bottom"/>
          </w:tcPr>
          <w:p>
            <w:pPr>
              <w:pStyle w:val="TableContents"/>
              <w:spacing w:before="0" w:after="283"/>
              <w:jc w:val="left"/>
              <w:rPr/>
            </w:pPr>
            <w:r>
              <w:rPr/>
              <w:t> </w:t>
            </w:r>
          </w:p>
        </w:tc>
      </w:tr>
      <w:tr>
        <w:trPr/>
        <w:tc>
          <w:tcPr>
            <w:tcW w:w="4640" w:type="dxa"/>
            <w:tcBorders/>
            <w:shd w:fill="CCEEFF" w:val="clear"/>
            <w:vAlign w:val="bottom"/>
          </w:tcPr>
          <w:p>
            <w:pPr>
              <w:pStyle w:val="TableContents"/>
              <w:spacing w:before="0" w:after="0"/>
              <w:ind w:left="288" w:right="0" w:hanging="144"/>
              <w:jc w:val="left"/>
              <w:rPr>
                <w:rFonts w:ascii="Times New Roman" w:hAnsi="Times New Roman"/>
                <w:sz w:val="20"/>
              </w:rPr>
            </w:pPr>
            <w:r>
              <w:rPr>
                <w:rFonts w:ascii="Times New Roman" w:hAnsi="Times New Roman"/>
                <w:sz w:val="20"/>
              </w:rPr>
              <w:t>Professional services</w:t>
            </w:r>
          </w:p>
        </w:tc>
        <w:tc>
          <w:tcPr>
            <w:tcW w:w="60" w:type="dxa"/>
            <w:tcBorders/>
            <w:shd w:fill="CCEEFF" w:val="clear"/>
            <w:vAlign w:val="bottom"/>
          </w:tcPr>
          <w:p>
            <w:pPr>
              <w:pStyle w:val="TableContents"/>
              <w:spacing w:before="0" w:after="283"/>
              <w:jc w:val="right"/>
              <w:rPr/>
            </w:pPr>
            <w:r>
              <w:rPr/>
              <w:t> </w:t>
            </w:r>
          </w:p>
        </w:tc>
        <w:tc>
          <w:tcPr>
            <w:tcW w:w="141" w:type="dxa"/>
            <w:tcBorders/>
            <w:shd w:fill="CCEEFF" w:val="clear"/>
            <w:vAlign w:val="bottom"/>
          </w:tcPr>
          <w:p>
            <w:pPr>
              <w:pStyle w:val="TableContents"/>
              <w:spacing w:before="0" w:after="283"/>
              <w:jc w:val="left"/>
              <w:rPr/>
            </w:pPr>
            <w:r>
              <w:rPr/>
              <w:t> </w:t>
            </w:r>
          </w:p>
        </w:tc>
        <w:tc>
          <w:tcPr>
            <w:tcW w:w="666"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1,648</w:t>
            </w:r>
          </w:p>
        </w:tc>
        <w:tc>
          <w:tcPr>
            <w:tcW w:w="107" w:type="dxa"/>
            <w:tcBorders/>
            <w:shd w:fill="CCEEFF" w:val="clear"/>
            <w:vAlign w:val="bottom"/>
          </w:tcPr>
          <w:p>
            <w:pPr>
              <w:pStyle w:val="TableContents"/>
              <w:spacing w:before="0" w:after="283"/>
              <w:jc w:val="left"/>
              <w:rPr/>
            </w:pPr>
            <w:r>
              <w:rPr/>
              <w:t> </w:t>
            </w:r>
          </w:p>
        </w:tc>
        <w:tc>
          <w:tcPr>
            <w:tcW w:w="67" w:type="dxa"/>
            <w:tcBorders/>
            <w:shd w:fill="CCEEFF" w:val="clear"/>
            <w:vAlign w:val="bottom"/>
          </w:tcPr>
          <w:p>
            <w:pPr>
              <w:pStyle w:val="TableContents"/>
              <w:spacing w:before="0" w:after="283"/>
              <w:jc w:val="right"/>
              <w:rPr/>
            </w:pPr>
            <w:r>
              <w:rPr/>
              <w:t> </w:t>
            </w:r>
          </w:p>
        </w:tc>
        <w:tc>
          <w:tcPr>
            <w:tcW w:w="141" w:type="dxa"/>
            <w:tcBorders/>
            <w:shd w:fill="CCEEFF" w:val="clear"/>
            <w:vAlign w:val="bottom"/>
          </w:tcPr>
          <w:p>
            <w:pPr>
              <w:pStyle w:val="TableContents"/>
              <w:spacing w:before="0" w:after="283"/>
              <w:jc w:val="left"/>
              <w:rPr/>
            </w:pPr>
            <w:r>
              <w:rPr/>
              <w:t> </w:t>
            </w:r>
          </w:p>
        </w:tc>
        <w:tc>
          <w:tcPr>
            <w:tcW w:w="666"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2,625</w:t>
            </w:r>
          </w:p>
        </w:tc>
        <w:tc>
          <w:tcPr>
            <w:tcW w:w="95" w:type="dxa"/>
            <w:tcBorders/>
            <w:shd w:fill="CCEEFF" w:val="clear"/>
            <w:vAlign w:val="bottom"/>
          </w:tcPr>
          <w:p>
            <w:pPr>
              <w:pStyle w:val="TableContents"/>
              <w:spacing w:before="0" w:after="283"/>
              <w:jc w:val="left"/>
              <w:rPr/>
            </w:pPr>
            <w:r>
              <w:rPr/>
              <w:t> </w:t>
            </w:r>
          </w:p>
        </w:tc>
      </w:tr>
      <w:tr>
        <w:trPr/>
        <w:tc>
          <w:tcPr>
            <w:tcW w:w="4640" w:type="dxa"/>
            <w:tcBorders/>
            <w:shd w:fill="auto" w:val="clear"/>
            <w:vAlign w:val="bottom"/>
          </w:tcPr>
          <w:p>
            <w:pPr>
              <w:pStyle w:val="TableContents"/>
              <w:spacing w:before="0" w:after="0"/>
              <w:ind w:left="288" w:right="0" w:hanging="144"/>
              <w:jc w:val="left"/>
              <w:rPr>
                <w:rFonts w:ascii="Times New Roman" w:hAnsi="Times New Roman"/>
                <w:sz w:val="20"/>
              </w:rPr>
            </w:pPr>
            <w:r>
              <w:rPr>
                <w:rFonts w:ascii="Times New Roman" w:hAnsi="Times New Roman"/>
                <w:sz w:val="20"/>
              </w:rPr>
              <w:t>Marketing and development</w:t>
            </w:r>
          </w:p>
        </w:tc>
        <w:tc>
          <w:tcPr>
            <w:tcW w:w="60" w:type="dxa"/>
            <w:tcBorders/>
            <w:shd w:fill="auto" w:val="clear"/>
            <w:vAlign w:val="bottom"/>
          </w:tcPr>
          <w:p>
            <w:pPr>
              <w:pStyle w:val="TableContents"/>
              <w:spacing w:before="0" w:after="283"/>
              <w:jc w:val="right"/>
              <w:rPr/>
            </w:pPr>
            <w:r>
              <w:rPr/>
              <w:t> </w:t>
            </w:r>
          </w:p>
        </w:tc>
        <w:tc>
          <w:tcPr>
            <w:tcW w:w="141" w:type="dxa"/>
            <w:tcBorders/>
            <w:shd w:fill="auto" w:val="clear"/>
            <w:vAlign w:val="bottom"/>
          </w:tcPr>
          <w:p>
            <w:pPr>
              <w:pStyle w:val="TableContents"/>
              <w:spacing w:before="0" w:after="283"/>
              <w:jc w:val="left"/>
              <w:rPr/>
            </w:pPr>
            <w:r>
              <w:rPr/>
              <w:t> </w:t>
            </w:r>
          </w:p>
        </w:tc>
        <w:tc>
          <w:tcPr>
            <w:tcW w:w="666"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936</w:t>
            </w:r>
          </w:p>
        </w:tc>
        <w:tc>
          <w:tcPr>
            <w:tcW w:w="107" w:type="dxa"/>
            <w:tcBorders/>
            <w:shd w:fill="auto" w:val="clear"/>
            <w:vAlign w:val="bottom"/>
          </w:tcPr>
          <w:p>
            <w:pPr>
              <w:pStyle w:val="TableContents"/>
              <w:spacing w:before="0" w:after="283"/>
              <w:jc w:val="left"/>
              <w:rPr/>
            </w:pPr>
            <w:r>
              <w:rPr/>
              <w:t> </w:t>
            </w:r>
          </w:p>
        </w:tc>
        <w:tc>
          <w:tcPr>
            <w:tcW w:w="67" w:type="dxa"/>
            <w:tcBorders/>
            <w:shd w:fill="auto" w:val="clear"/>
            <w:vAlign w:val="bottom"/>
          </w:tcPr>
          <w:p>
            <w:pPr>
              <w:pStyle w:val="TableContents"/>
              <w:spacing w:before="0" w:after="283"/>
              <w:jc w:val="right"/>
              <w:rPr/>
            </w:pPr>
            <w:r>
              <w:rPr/>
              <w:t> </w:t>
            </w:r>
          </w:p>
        </w:tc>
        <w:tc>
          <w:tcPr>
            <w:tcW w:w="141" w:type="dxa"/>
            <w:tcBorders/>
            <w:shd w:fill="auto" w:val="clear"/>
            <w:vAlign w:val="bottom"/>
          </w:tcPr>
          <w:p>
            <w:pPr>
              <w:pStyle w:val="TableContents"/>
              <w:spacing w:before="0" w:after="283"/>
              <w:jc w:val="left"/>
              <w:rPr/>
            </w:pPr>
            <w:r>
              <w:rPr/>
              <w:t> </w:t>
            </w:r>
          </w:p>
        </w:tc>
        <w:tc>
          <w:tcPr>
            <w:tcW w:w="666"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720</w:t>
            </w:r>
          </w:p>
        </w:tc>
        <w:tc>
          <w:tcPr>
            <w:tcW w:w="95" w:type="dxa"/>
            <w:tcBorders/>
            <w:shd w:fill="auto" w:val="clear"/>
            <w:vAlign w:val="bottom"/>
          </w:tcPr>
          <w:p>
            <w:pPr>
              <w:pStyle w:val="TableContents"/>
              <w:spacing w:before="0" w:after="283"/>
              <w:jc w:val="left"/>
              <w:rPr/>
            </w:pPr>
            <w:r>
              <w:rPr/>
              <w:t> </w:t>
            </w:r>
          </w:p>
        </w:tc>
      </w:tr>
      <w:tr>
        <w:trPr/>
        <w:tc>
          <w:tcPr>
            <w:tcW w:w="4640" w:type="dxa"/>
            <w:tcBorders/>
            <w:shd w:fill="CCEEFF" w:val="clear"/>
            <w:vAlign w:val="bottom"/>
          </w:tcPr>
          <w:p>
            <w:pPr>
              <w:pStyle w:val="TableContents"/>
              <w:spacing w:before="0" w:after="0"/>
              <w:ind w:left="288" w:right="0" w:hanging="144"/>
              <w:jc w:val="left"/>
              <w:rPr>
                <w:rFonts w:ascii="Times New Roman" w:hAnsi="Times New Roman"/>
                <w:sz w:val="20"/>
              </w:rPr>
            </w:pPr>
            <w:r>
              <w:rPr>
                <w:rFonts w:ascii="Times New Roman" w:hAnsi="Times New Roman"/>
                <w:sz w:val="20"/>
              </w:rPr>
              <w:t>IT and data services</w:t>
            </w:r>
          </w:p>
        </w:tc>
        <w:tc>
          <w:tcPr>
            <w:tcW w:w="60" w:type="dxa"/>
            <w:tcBorders/>
            <w:shd w:fill="CCEEFF" w:val="clear"/>
            <w:vAlign w:val="bottom"/>
          </w:tcPr>
          <w:p>
            <w:pPr>
              <w:pStyle w:val="TableContents"/>
              <w:spacing w:before="0" w:after="283"/>
              <w:jc w:val="right"/>
              <w:rPr/>
            </w:pPr>
            <w:r>
              <w:rPr/>
              <w:t> </w:t>
            </w:r>
          </w:p>
        </w:tc>
        <w:tc>
          <w:tcPr>
            <w:tcW w:w="141" w:type="dxa"/>
            <w:tcBorders/>
            <w:shd w:fill="CCEEFF" w:val="clear"/>
            <w:vAlign w:val="bottom"/>
          </w:tcPr>
          <w:p>
            <w:pPr>
              <w:pStyle w:val="TableContents"/>
              <w:spacing w:before="0" w:after="283"/>
              <w:jc w:val="left"/>
              <w:rPr/>
            </w:pPr>
            <w:r>
              <w:rPr/>
              <w:t> </w:t>
            </w:r>
          </w:p>
        </w:tc>
        <w:tc>
          <w:tcPr>
            <w:tcW w:w="666"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864</w:t>
            </w:r>
          </w:p>
        </w:tc>
        <w:tc>
          <w:tcPr>
            <w:tcW w:w="107" w:type="dxa"/>
            <w:tcBorders/>
            <w:shd w:fill="CCEEFF" w:val="clear"/>
            <w:vAlign w:val="bottom"/>
          </w:tcPr>
          <w:p>
            <w:pPr>
              <w:pStyle w:val="TableContents"/>
              <w:spacing w:before="0" w:after="283"/>
              <w:jc w:val="left"/>
              <w:rPr/>
            </w:pPr>
            <w:r>
              <w:rPr/>
              <w:t> </w:t>
            </w:r>
          </w:p>
        </w:tc>
        <w:tc>
          <w:tcPr>
            <w:tcW w:w="67" w:type="dxa"/>
            <w:tcBorders/>
            <w:shd w:fill="CCEEFF" w:val="clear"/>
            <w:vAlign w:val="bottom"/>
          </w:tcPr>
          <w:p>
            <w:pPr>
              <w:pStyle w:val="TableContents"/>
              <w:spacing w:before="0" w:after="283"/>
              <w:jc w:val="right"/>
              <w:rPr/>
            </w:pPr>
            <w:r>
              <w:rPr/>
              <w:t> </w:t>
            </w:r>
          </w:p>
        </w:tc>
        <w:tc>
          <w:tcPr>
            <w:tcW w:w="141" w:type="dxa"/>
            <w:tcBorders/>
            <w:shd w:fill="CCEEFF" w:val="clear"/>
            <w:vAlign w:val="bottom"/>
          </w:tcPr>
          <w:p>
            <w:pPr>
              <w:pStyle w:val="TableContents"/>
              <w:spacing w:before="0" w:after="283"/>
              <w:jc w:val="left"/>
              <w:rPr/>
            </w:pPr>
            <w:r>
              <w:rPr/>
              <w:t> </w:t>
            </w:r>
          </w:p>
        </w:tc>
        <w:tc>
          <w:tcPr>
            <w:tcW w:w="666"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1,053</w:t>
            </w:r>
          </w:p>
        </w:tc>
        <w:tc>
          <w:tcPr>
            <w:tcW w:w="95" w:type="dxa"/>
            <w:tcBorders/>
            <w:shd w:fill="CCEEFF" w:val="clear"/>
            <w:vAlign w:val="bottom"/>
          </w:tcPr>
          <w:p>
            <w:pPr>
              <w:pStyle w:val="TableContents"/>
              <w:spacing w:before="0" w:after="283"/>
              <w:jc w:val="left"/>
              <w:rPr/>
            </w:pPr>
            <w:r>
              <w:rPr/>
              <w:t> </w:t>
            </w:r>
          </w:p>
        </w:tc>
      </w:tr>
      <w:tr>
        <w:trPr/>
        <w:tc>
          <w:tcPr>
            <w:tcW w:w="4640" w:type="dxa"/>
            <w:tcBorders/>
            <w:shd w:fill="auto" w:val="clear"/>
            <w:vAlign w:val="bottom"/>
          </w:tcPr>
          <w:p>
            <w:pPr>
              <w:pStyle w:val="TableContents"/>
              <w:spacing w:before="0" w:after="0"/>
              <w:ind w:left="288" w:right="0" w:hanging="144"/>
              <w:jc w:val="left"/>
              <w:rPr>
                <w:rFonts w:ascii="Times New Roman" w:hAnsi="Times New Roman"/>
                <w:sz w:val="20"/>
              </w:rPr>
            </w:pPr>
            <w:r>
              <w:rPr>
                <w:rFonts w:ascii="Times New Roman" w:hAnsi="Times New Roman"/>
                <w:sz w:val="20"/>
              </w:rPr>
              <w:t>Bank card expenses</w:t>
            </w:r>
          </w:p>
        </w:tc>
        <w:tc>
          <w:tcPr>
            <w:tcW w:w="60" w:type="dxa"/>
            <w:tcBorders/>
            <w:shd w:fill="auto" w:val="clear"/>
            <w:vAlign w:val="bottom"/>
          </w:tcPr>
          <w:p>
            <w:pPr>
              <w:pStyle w:val="TableContents"/>
              <w:spacing w:before="0" w:after="283"/>
              <w:jc w:val="right"/>
              <w:rPr/>
            </w:pPr>
            <w:r>
              <w:rPr/>
              <w:t> </w:t>
            </w:r>
          </w:p>
        </w:tc>
        <w:tc>
          <w:tcPr>
            <w:tcW w:w="141" w:type="dxa"/>
            <w:tcBorders/>
            <w:shd w:fill="auto" w:val="clear"/>
            <w:vAlign w:val="bottom"/>
          </w:tcPr>
          <w:p>
            <w:pPr>
              <w:pStyle w:val="TableContents"/>
              <w:spacing w:before="0" w:after="283"/>
              <w:jc w:val="left"/>
              <w:rPr/>
            </w:pPr>
            <w:r>
              <w:rPr/>
              <w:t> </w:t>
            </w:r>
          </w:p>
        </w:tc>
        <w:tc>
          <w:tcPr>
            <w:tcW w:w="666"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1,352</w:t>
            </w:r>
          </w:p>
        </w:tc>
        <w:tc>
          <w:tcPr>
            <w:tcW w:w="107" w:type="dxa"/>
            <w:tcBorders/>
            <w:shd w:fill="auto" w:val="clear"/>
            <w:vAlign w:val="bottom"/>
          </w:tcPr>
          <w:p>
            <w:pPr>
              <w:pStyle w:val="TableContents"/>
              <w:spacing w:before="0" w:after="283"/>
              <w:jc w:val="left"/>
              <w:rPr/>
            </w:pPr>
            <w:r>
              <w:rPr/>
              <w:t> </w:t>
            </w:r>
          </w:p>
        </w:tc>
        <w:tc>
          <w:tcPr>
            <w:tcW w:w="67" w:type="dxa"/>
            <w:tcBorders/>
            <w:shd w:fill="auto" w:val="clear"/>
            <w:vAlign w:val="bottom"/>
          </w:tcPr>
          <w:p>
            <w:pPr>
              <w:pStyle w:val="TableContents"/>
              <w:spacing w:before="0" w:after="283"/>
              <w:jc w:val="right"/>
              <w:rPr/>
            </w:pPr>
            <w:r>
              <w:rPr/>
              <w:t> </w:t>
            </w:r>
          </w:p>
        </w:tc>
        <w:tc>
          <w:tcPr>
            <w:tcW w:w="141" w:type="dxa"/>
            <w:tcBorders/>
            <w:shd w:fill="auto" w:val="clear"/>
            <w:vAlign w:val="bottom"/>
          </w:tcPr>
          <w:p>
            <w:pPr>
              <w:pStyle w:val="TableContents"/>
              <w:spacing w:before="0" w:after="283"/>
              <w:jc w:val="left"/>
              <w:rPr/>
            </w:pPr>
            <w:r>
              <w:rPr/>
              <w:t> </w:t>
            </w:r>
          </w:p>
        </w:tc>
        <w:tc>
          <w:tcPr>
            <w:tcW w:w="666"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1,323</w:t>
            </w:r>
          </w:p>
        </w:tc>
        <w:tc>
          <w:tcPr>
            <w:tcW w:w="95" w:type="dxa"/>
            <w:tcBorders/>
            <w:shd w:fill="auto" w:val="clear"/>
            <w:vAlign w:val="bottom"/>
          </w:tcPr>
          <w:p>
            <w:pPr>
              <w:pStyle w:val="TableContents"/>
              <w:spacing w:before="0" w:after="283"/>
              <w:jc w:val="left"/>
              <w:rPr/>
            </w:pPr>
            <w:r>
              <w:rPr/>
              <w:t> </w:t>
            </w:r>
          </w:p>
        </w:tc>
      </w:tr>
      <w:tr>
        <w:trPr/>
        <w:tc>
          <w:tcPr>
            <w:tcW w:w="4640" w:type="dxa"/>
            <w:tcBorders/>
            <w:shd w:fill="CCEEFF" w:val="clear"/>
            <w:vAlign w:val="bottom"/>
          </w:tcPr>
          <w:p>
            <w:pPr>
              <w:pStyle w:val="TableContents"/>
              <w:spacing w:before="0" w:after="0"/>
              <w:ind w:left="288" w:right="0" w:hanging="144"/>
              <w:jc w:val="left"/>
              <w:rPr>
                <w:rFonts w:ascii="Times New Roman" w:hAnsi="Times New Roman"/>
                <w:sz w:val="20"/>
              </w:rPr>
            </w:pPr>
            <w:r>
              <w:rPr>
                <w:rFonts w:ascii="Times New Roman" w:hAnsi="Times New Roman"/>
                <w:sz w:val="20"/>
              </w:rPr>
              <w:t>Appraisal expenses</w:t>
            </w:r>
          </w:p>
        </w:tc>
        <w:tc>
          <w:tcPr>
            <w:tcW w:w="60" w:type="dxa"/>
            <w:tcBorders/>
            <w:shd w:fill="CCEEFF" w:val="clear"/>
            <w:vAlign w:val="bottom"/>
          </w:tcPr>
          <w:p>
            <w:pPr>
              <w:pStyle w:val="TableContents"/>
              <w:spacing w:before="0" w:after="283"/>
              <w:jc w:val="right"/>
              <w:rPr/>
            </w:pPr>
            <w:r>
              <w:rPr/>
              <w:t> </w:t>
            </w:r>
          </w:p>
        </w:tc>
        <w:tc>
          <w:tcPr>
            <w:tcW w:w="141" w:type="dxa"/>
            <w:tcBorders/>
            <w:shd w:fill="CCEEFF" w:val="clear"/>
            <w:vAlign w:val="bottom"/>
          </w:tcPr>
          <w:p>
            <w:pPr>
              <w:pStyle w:val="TableContents"/>
              <w:spacing w:before="0" w:after="283"/>
              <w:jc w:val="left"/>
              <w:rPr/>
            </w:pPr>
            <w:r>
              <w:rPr/>
              <w:t> </w:t>
            </w:r>
          </w:p>
        </w:tc>
        <w:tc>
          <w:tcPr>
            <w:tcW w:w="666"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278</w:t>
            </w:r>
          </w:p>
        </w:tc>
        <w:tc>
          <w:tcPr>
            <w:tcW w:w="107" w:type="dxa"/>
            <w:tcBorders/>
            <w:shd w:fill="CCEEFF" w:val="clear"/>
            <w:vAlign w:val="bottom"/>
          </w:tcPr>
          <w:p>
            <w:pPr>
              <w:pStyle w:val="TableContents"/>
              <w:spacing w:before="0" w:after="283"/>
              <w:jc w:val="left"/>
              <w:rPr/>
            </w:pPr>
            <w:r>
              <w:rPr/>
              <w:t> </w:t>
            </w:r>
          </w:p>
        </w:tc>
        <w:tc>
          <w:tcPr>
            <w:tcW w:w="67" w:type="dxa"/>
            <w:tcBorders/>
            <w:shd w:fill="CCEEFF" w:val="clear"/>
            <w:vAlign w:val="bottom"/>
          </w:tcPr>
          <w:p>
            <w:pPr>
              <w:pStyle w:val="TableContents"/>
              <w:spacing w:before="0" w:after="283"/>
              <w:jc w:val="right"/>
              <w:rPr/>
            </w:pPr>
            <w:r>
              <w:rPr/>
              <w:t> </w:t>
            </w:r>
          </w:p>
        </w:tc>
        <w:tc>
          <w:tcPr>
            <w:tcW w:w="141" w:type="dxa"/>
            <w:tcBorders/>
            <w:shd w:fill="CCEEFF" w:val="clear"/>
            <w:vAlign w:val="bottom"/>
          </w:tcPr>
          <w:p>
            <w:pPr>
              <w:pStyle w:val="TableContents"/>
              <w:spacing w:before="0" w:after="283"/>
              <w:jc w:val="left"/>
              <w:rPr/>
            </w:pPr>
            <w:r>
              <w:rPr/>
              <w:t> </w:t>
            </w:r>
          </w:p>
        </w:tc>
        <w:tc>
          <w:tcPr>
            <w:tcW w:w="666"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565</w:t>
            </w:r>
          </w:p>
        </w:tc>
        <w:tc>
          <w:tcPr>
            <w:tcW w:w="95" w:type="dxa"/>
            <w:tcBorders/>
            <w:shd w:fill="CCEEFF" w:val="clear"/>
            <w:vAlign w:val="bottom"/>
          </w:tcPr>
          <w:p>
            <w:pPr>
              <w:pStyle w:val="TableContents"/>
              <w:spacing w:before="0" w:after="283"/>
              <w:jc w:val="left"/>
              <w:rPr/>
            </w:pPr>
            <w:r>
              <w:rPr/>
              <w:t> </w:t>
            </w:r>
          </w:p>
        </w:tc>
      </w:tr>
      <w:tr>
        <w:trPr/>
        <w:tc>
          <w:tcPr>
            <w:tcW w:w="4640" w:type="dxa"/>
            <w:tcBorders/>
            <w:shd w:fill="auto" w:val="clear"/>
            <w:vAlign w:val="bottom"/>
          </w:tcPr>
          <w:p>
            <w:pPr>
              <w:pStyle w:val="TableContents"/>
              <w:spacing w:before="0" w:after="0"/>
              <w:ind w:left="288" w:right="0" w:hanging="144"/>
              <w:jc w:val="left"/>
              <w:rPr>
                <w:rFonts w:ascii="Times New Roman" w:hAnsi="Times New Roman"/>
                <w:sz w:val="20"/>
              </w:rPr>
            </w:pPr>
            <w:r>
              <w:rPr>
                <w:rFonts w:ascii="Times New Roman" w:hAnsi="Times New Roman"/>
                <w:sz w:val="20"/>
              </w:rPr>
              <w:t>Other</w:t>
            </w:r>
          </w:p>
        </w:tc>
        <w:tc>
          <w:tcPr>
            <w:tcW w:w="60" w:type="dxa"/>
            <w:tcBorders/>
            <w:shd w:fill="auto" w:val="clear"/>
            <w:vAlign w:val="bottom"/>
          </w:tcPr>
          <w:p>
            <w:pPr>
              <w:pStyle w:val="TableContents"/>
              <w:spacing w:before="0" w:after="283"/>
              <w:jc w:val="right"/>
              <w:rPr/>
            </w:pPr>
            <w:r>
              <w:rPr/>
              <w:t> </w:t>
            </w:r>
          </w:p>
        </w:tc>
        <w:tc>
          <w:tcPr>
            <w:tcW w:w="141"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66"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4,197</w:t>
            </w:r>
          </w:p>
        </w:tc>
        <w:tc>
          <w:tcPr>
            <w:tcW w:w="107" w:type="dxa"/>
            <w:tcBorders/>
            <w:shd w:fill="auto" w:val="clear"/>
            <w:vAlign w:val="bottom"/>
          </w:tcPr>
          <w:p>
            <w:pPr>
              <w:pStyle w:val="TableContents"/>
              <w:spacing w:before="0" w:after="283"/>
              <w:jc w:val="left"/>
              <w:rPr/>
            </w:pPr>
            <w:r>
              <w:rPr/>
              <w:t> </w:t>
            </w:r>
          </w:p>
        </w:tc>
        <w:tc>
          <w:tcPr>
            <w:tcW w:w="67" w:type="dxa"/>
            <w:tcBorders/>
            <w:shd w:fill="auto" w:val="clear"/>
            <w:vAlign w:val="bottom"/>
          </w:tcPr>
          <w:p>
            <w:pPr>
              <w:pStyle w:val="TableContents"/>
              <w:spacing w:before="0" w:after="283"/>
              <w:jc w:val="right"/>
              <w:rPr/>
            </w:pPr>
            <w:r>
              <w:rPr/>
              <w:t> </w:t>
            </w:r>
          </w:p>
        </w:tc>
        <w:tc>
          <w:tcPr>
            <w:tcW w:w="141"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66"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5,198</w:t>
            </w:r>
          </w:p>
        </w:tc>
        <w:tc>
          <w:tcPr>
            <w:tcW w:w="95" w:type="dxa"/>
            <w:tcBorders/>
            <w:shd w:fill="auto" w:val="clear"/>
            <w:vAlign w:val="bottom"/>
          </w:tcPr>
          <w:p>
            <w:pPr>
              <w:pStyle w:val="TableContents"/>
              <w:spacing w:before="0" w:after="283"/>
              <w:jc w:val="left"/>
              <w:rPr/>
            </w:pPr>
            <w:r>
              <w:rPr/>
              <w:t> </w:t>
            </w:r>
          </w:p>
        </w:tc>
      </w:tr>
      <w:tr>
        <w:trPr/>
        <w:tc>
          <w:tcPr>
            <w:tcW w:w="4640" w:type="dxa"/>
            <w:tcBorders/>
            <w:shd w:fill="CCEEFF" w:val="clear"/>
            <w:vAlign w:val="bottom"/>
          </w:tcPr>
          <w:p>
            <w:pPr>
              <w:pStyle w:val="TableContents"/>
              <w:spacing w:before="0" w:after="0"/>
              <w:ind w:left="677" w:right="0" w:hanging="144"/>
              <w:jc w:val="left"/>
              <w:rPr>
                <w:rFonts w:ascii="Times New Roman" w:hAnsi="Times New Roman"/>
                <w:sz w:val="20"/>
              </w:rPr>
            </w:pPr>
            <w:r>
              <w:rPr>
                <w:rFonts w:ascii="Times New Roman" w:hAnsi="Times New Roman"/>
                <w:sz w:val="20"/>
              </w:rPr>
              <w:t>Total noninterest expense</w:t>
            </w:r>
          </w:p>
        </w:tc>
        <w:tc>
          <w:tcPr>
            <w:tcW w:w="60" w:type="dxa"/>
            <w:tcBorders/>
            <w:shd w:fill="CCEEFF" w:val="clear"/>
            <w:vAlign w:val="bottom"/>
          </w:tcPr>
          <w:p>
            <w:pPr>
              <w:pStyle w:val="TableContents"/>
              <w:spacing w:before="0" w:after="283"/>
              <w:jc w:val="right"/>
              <w:rPr/>
            </w:pPr>
            <w:r>
              <w:rPr/>
              <w:t> </w:t>
            </w:r>
          </w:p>
        </w:tc>
        <w:tc>
          <w:tcPr>
            <w:tcW w:w="14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66"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32,361</w:t>
            </w:r>
          </w:p>
        </w:tc>
        <w:tc>
          <w:tcPr>
            <w:tcW w:w="107" w:type="dxa"/>
            <w:tcBorders/>
            <w:shd w:fill="CCEEFF" w:val="clear"/>
            <w:vAlign w:val="bottom"/>
          </w:tcPr>
          <w:p>
            <w:pPr>
              <w:pStyle w:val="TableContents"/>
              <w:spacing w:before="0" w:after="283"/>
              <w:jc w:val="left"/>
              <w:rPr/>
            </w:pPr>
            <w:r>
              <w:rPr/>
              <w:t> </w:t>
            </w:r>
          </w:p>
        </w:tc>
        <w:tc>
          <w:tcPr>
            <w:tcW w:w="67" w:type="dxa"/>
            <w:tcBorders/>
            <w:shd w:fill="CCEEFF" w:val="clear"/>
            <w:vAlign w:val="bottom"/>
          </w:tcPr>
          <w:p>
            <w:pPr>
              <w:pStyle w:val="TableContents"/>
              <w:spacing w:before="0" w:after="283"/>
              <w:jc w:val="right"/>
              <w:rPr/>
            </w:pPr>
            <w:r>
              <w:rPr/>
              <w:t> </w:t>
            </w:r>
          </w:p>
        </w:tc>
        <w:tc>
          <w:tcPr>
            <w:tcW w:w="14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66"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37,924</w:t>
            </w:r>
          </w:p>
        </w:tc>
        <w:tc>
          <w:tcPr>
            <w:tcW w:w="95" w:type="dxa"/>
            <w:tcBorders/>
            <w:shd w:fill="CCEEFF" w:val="clear"/>
            <w:vAlign w:val="bottom"/>
          </w:tcPr>
          <w:p>
            <w:pPr>
              <w:pStyle w:val="TableContents"/>
              <w:spacing w:before="0" w:after="283"/>
              <w:jc w:val="left"/>
              <w:rPr/>
            </w:pPr>
            <w:r>
              <w:rPr/>
              <w:t> </w:t>
            </w:r>
          </w:p>
        </w:tc>
      </w:tr>
      <w:tr>
        <w:trPr/>
        <w:tc>
          <w:tcPr>
            <w:tcW w:w="4640" w:type="dxa"/>
            <w:tcBorders/>
            <w:shd w:fill="auto"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Income before income taxes</w:t>
            </w:r>
          </w:p>
        </w:tc>
        <w:tc>
          <w:tcPr>
            <w:tcW w:w="60" w:type="dxa"/>
            <w:tcBorders/>
            <w:shd w:fill="auto" w:val="clear"/>
            <w:vAlign w:val="bottom"/>
          </w:tcPr>
          <w:p>
            <w:pPr>
              <w:pStyle w:val="TableContents"/>
              <w:spacing w:before="0" w:after="283"/>
              <w:jc w:val="right"/>
              <w:rPr/>
            </w:pPr>
            <w:r>
              <w:rPr/>
              <w:t> </w:t>
            </w:r>
          </w:p>
        </w:tc>
        <w:tc>
          <w:tcPr>
            <w:tcW w:w="141" w:type="dxa"/>
            <w:tcBorders/>
            <w:shd w:fill="auto" w:val="clear"/>
            <w:vAlign w:val="bottom"/>
          </w:tcPr>
          <w:p>
            <w:pPr>
              <w:pStyle w:val="TableContents"/>
              <w:spacing w:before="0" w:after="283"/>
              <w:jc w:val="left"/>
              <w:rPr/>
            </w:pPr>
            <w:r>
              <w:rPr/>
              <w:t> </w:t>
            </w:r>
          </w:p>
        </w:tc>
        <w:tc>
          <w:tcPr>
            <w:tcW w:w="666"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11,635</w:t>
            </w:r>
          </w:p>
        </w:tc>
        <w:tc>
          <w:tcPr>
            <w:tcW w:w="107" w:type="dxa"/>
            <w:tcBorders/>
            <w:shd w:fill="auto" w:val="clear"/>
            <w:vAlign w:val="bottom"/>
          </w:tcPr>
          <w:p>
            <w:pPr>
              <w:pStyle w:val="TableContents"/>
              <w:spacing w:before="0" w:after="283"/>
              <w:jc w:val="left"/>
              <w:rPr/>
            </w:pPr>
            <w:r>
              <w:rPr/>
              <w:t> </w:t>
            </w:r>
          </w:p>
        </w:tc>
        <w:tc>
          <w:tcPr>
            <w:tcW w:w="67" w:type="dxa"/>
            <w:tcBorders/>
            <w:shd w:fill="auto" w:val="clear"/>
            <w:vAlign w:val="bottom"/>
          </w:tcPr>
          <w:p>
            <w:pPr>
              <w:pStyle w:val="TableContents"/>
              <w:spacing w:before="0" w:after="283"/>
              <w:jc w:val="right"/>
              <w:rPr/>
            </w:pPr>
            <w:r>
              <w:rPr/>
              <w:t> </w:t>
            </w:r>
          </w:p>
        </w:tc>
        <w:tc>
          <w:tcPr>
            <w:tcW w:w="141" w:type="dxa"/>
            <w:tcBorders/>
            <w:shd w:fill="auto" w:val="clear"/>
            <w:vAlign w:val="bottom"/>
          </w:tcPr>
          <w:p>
            <w:pPr>
              <w:pStyle w:val="TableContents"/>
              <w:spacing w:before="0" w:after="283"/>
              <w:jc w:val="left"/>
              <w:rPr/>
            </w:pPr>
            <w:r>
              <w:rPr/>
              <w:t> </w:t>
            </w:r>
          </w:p>
        </w:tc>
        <w:tc>
          <w:tcPr>
            <w:tcW w:w="666"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17,805</w:t>
            </w:r>
          </w:p>
        </w:tc>
        <w:tc>
          <w:tcPr>
            <w:tcW w:w="95" w:type="dxa"/>
            <w:tcBorders/>
            <w:shd w:fill="auto" w:val="clear"/>
            <w:vAlign w:val="bottom"/>
          </w:tcPr>
          <w:p>
            <w:pPr>
              <w:pStyle w:val="TableContents"/>
              <w:spacing w:before="0" w:after="283"/>
              <w:jc w:val="left"/>
              <w:rPr/>
            </w:pPr>
            <w:r>
              <w:rPr/>
              <w:t> </w:t>
            </w:r>
          </w:p>
        </w:tc>
      </w:tr>
      <w:tr>
        <w:trPr/>
        <w:tc>
          <w:tcPr>
            <w:tcW w:w="4640" w:type="dxa"/>
            <w:tcBorders/>
            <w:shd w:fill="CCEE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Income tax expense</w:t>
            </w:r>
          </w:p>
        </w:tc>
        <w:tc>
          <w:tcPr>
            <w:tcW w:w="60" w:type="dxa"/>
            <w:tcBorders/>
            <w:shd w:fill="CCEEFF" w:val="clear"/>
            <w:vAlign w:val="bottom"/>
          </w:tcPr>
          <w:p>
            <w:pPr>
              <w:pStyle w:val="TableContents"/>
              <w:spacing w:before="0" w:after="283"/>
              <w:jc w:val="right"/>
              <w:rPr/>
            </w:pPr>
            <w:r>
              <w:rPr/>
              <w:t> </w:t>
            </w:r>
          </w:p>
        </w:tc>
        <w:tc>
          <w:tcPr>
            <w:tcW w:w="14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66"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2,391</w:t>
            </w:r>
          </w:p>
        </w:tc>
        <w:tc>
          <w:tcPr>
            <w:tcW w:w="107" w:type="dxa"/>
            <w:tcBorders/>
            <w:shd w:fill="CCEEFF" w:val="clear"/>
            <w:vAlign w:val="bottom"/>
          </w:tcPr>
          <w:p>
            <w:pPr>
              <w:pStyle w:val="TableContents"/>
              <w:spacing w:before="0" w:after="283"/>
              <w:jc w:val="left"/>
              <w:rPr/>
            </w:pPr>
            <w:r>
              <w:rPr/>
              <w:t> </w:t>
            </w:r>
          </w:p>
        </w:tc>
        <w:tc>
          <w:tcPr>
            <w:tcW w:w="67" w:type="dxa"/>
            <w:tcBorders/>
            <w:shd w:fill="CCEEFF" w:val="clear"/>
            <w:vAlign w:val="bottom"/>
          </w:tcPr>
          <w:p>
            <w:pPr>
              <w:pStyle w:val="TableContents"/>
              <w:spacing w:before="0" w:after="283"/>
              <w:jc w:val="right"/>
              <w:rPr/>
            </w:pPr>
            <w:r>
              <w:rPr/>
              <w:t> </w:t>
            </w:r>
          </w:p>
        </w:tc>
        <w:tc>
          <w:tcPr>
            <w:tcW w:w="14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66"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3,527</w:t>
            </w:r>
          </w:p>
        </w:tc>
        <w:tc>
          <w:tcPr>
            <w:tcW w:w="95" w:type="dxa"/>
            <w:tcBorders/>
            <w:shd w:fill="CCEEFF" w:val="clear"/>
            <w:vAlign w:val="bottom"/>
          </w:tcPr>
          <w:p>
            <w:pPr>
              <w:pStyle w:val="TableContents"/>
              <w:spacing w:before="0" w:after="283"/>
              <w:jc w:val="left"/>
              <w:rPr/>
            </w:pPr>
            <w:r>
              <w:rPr/>
              <w:t> </w:t>
            </w:r>
          </w:p>
        </w:tc>
      </w:tr>
      <w:tr>
        <w:trPr/>
        <w:tc>
          <w:tcPr>
            <w:tcW w:w="4640" w:type="dxa"/>
            <w:tcBorders/>
            <w:shd w:fill="auto" w:val="clear"/>
            <w:vAlign w:val="bottom"/>
          </w:tcPr>
          <w:p>
            <w:pPr>
              <w:pStyle w:val="TableContents"/>
              <w:spacing w:before="0" w:after="0"/>
              <w:ind w:left="677" w:right="0" w:hanging="144"/>
              <w:jc w:val="left"/>
              <w:rPr>
                <w:rFonts w:ascii="Times New Roman" w:hAnsi="Times New Roman"/>
                <w:sz w:val="20"/>
              </w:rPr>
            </w:pPr>
            <w:r>
              <w:rPr>
                <w:rFonts w:ascii="Times New Roman" w:hAnsi="Times New Roman"/>
                <w:sz w:val="20"/>
              </w:rPr>
              <w:t>Net income</w:t>
            </w:r>
          </w:p>
        </w:tc>
        <w:tc>
          <w:tcPr>
            <w:tcW w:w="60" w:type="dxa"/>
            <w:tcBorders/>
            <w:shd w:fill="auto" w:val="clear"/>
            <w:vAlign w:val="bottom"/>
          </w:tcPr>
          <w:p>
            <w:pPr>
              <w:pStyle w:val="TableContents"/>
              <w:spacing w:before="0" w:after="283"/>
              <w:jc w:val="right"/>
              <w:rPr/>
            </w:pPr>
            <w:r>
              <w:rPr/>
              <w:t> </w:t>
            </w:r>
          </w:p>
        </w:tc>
        <w:tc>
          <w:tcPr>
            <w:tcW w:w="141"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66"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9,244</w:t>
            </w:r>
          </w:p>
        </w:tc>
        <w:tc>
          <w:tcPr>
            <w:tcW w:w="107" w:type="dxa"/>
            <w:tcBorders/>
            <w:shd w:fill="auto" w:val="clear"/>
            <w:vAlign w:val="bottom"/>
          </w:tcPr>
          <w:p>
            <w:pPr>
              <w:pStyle w:val="TableContents"/>
              <w:spacing w:before="0" w:after="283"/>
              <w:jc w:val="left"/>
              <w:rPr/>
            </w:pPr>
            <w:r>
              <w:rPr/>
              <w:t> </w:t>
            </w:r>
          </w:p>
        </w:tc>
        <w:tc>
          <w:tcPr>
            <w:tcW w:w="67" w:type="dxa"/>
            <w:tcBorders/>
            <w:shd w:fill="auto" w:val="clear"/>
            <w:vAlign w:val="bottom"/>
          </w:tcPr>
          <w:p>
            <w:pPr>
              <w:pStyle w:val="TableContents"/>
              <w:spacing w:before="0" w:after="283"/>
              <w:jc w:val="right"/>
              <w:rPr/>
            </w:pPr>
            <w:r>
              <w:rPr/>
              <w:t> </w:t>
            </w:r>
          </w:p>
        </w:tc>
        <w:tc>
          <w:tcPr>
            <w:tcW w:w="141"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66"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14,278</w:t>
            </w:r>
          </w:p>
        </w:tc>
        <w:tc>
          <w:tcPr>
            <w:tcW w:w="95" w:type="dxa"/>
            <w:tcBorders/>
            <w:shd w:fill="auto" w:val="clear"/>
            <w:vAlign w:val="bottom"/>
          </w:tcPr>
          <w:p>
            <w:pPr>
              <w:pStyle w:val="TableContents"/>
              <w:spacing w:before="0" w:after="283"/>
              <w:jc w:val="left"/>
              <w:rPr/>
            </w:pPr>
            <w:r>
              <w:rPr/>
              <w:t> </w:t>
            </w:r>
          </w:p>
        </w:tc>
      </w:tr>
    </w:tbl>
    <w:p>
      <w:pPr>
        <w:pStyle w:val="TextBody"/>
        <w:spacing w:before="0" w:after="0"/>
        <w:jc w:val="left"/>
        <w:rPr/>
      </w:pPr>
      <w:r>
        <w:rPr/>
      </w:r>
    </w:p>
    <w:p>
      <w:pPr>
        <w:pStyle w:val="TextBody"/>
        <w:spacing w:before="0" w:after="0"/>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b w:val="false"/>
            <w:i/>
            <w:color w:val="000000"/>
            <w:sz w:val="16"/>
          </w:rPr>
          <w:t>Table of Contents</w:t>
        </w:r>
      </w:hyperlink>
    </w:p>
    <w:p>
      <w:pPr>
        <w:pStyle w:val="TextBody"/>
        <w:spacing w:before="0" w:after="0"/>
        <w:jc w:val="center"/>
        <w:rPr>
          <w:rFonts w:ascii="Times New Roman" w:hAnsi="Times New Roman"/>
          <w:b/>
          <w:color w:val="000000"/>
          <w:sz w:val="20"/>
        </w:rPr>
      </w:pPr>
      <w:r>
        <w:rPr>
          <w:rFonts w:ascii="Times New Roman" w:hAnsi="Times New Roman"/>
          <w:b/>
          <w:color w:val="000000"/>
          <w:sz w:val="20"/>
        </w:rPr>
        <w:t>SOUTH PLAINS FINANCIAL, INC. AND SUBSIDIARIES</w:t>
      </w:r>
    </w:p>
    <w:p>
      <w:pPr>
        <w:pStyle w:val="TextBody"/>
        <w:spacing w:before="0" w:after="0"/>
        <w:jc w:val="center"/>
        <w:rPr>
          <w:rFonts w:ascii="Times New Roman" w:hAnsi="Times New Roman"/>
          <w:b/>
          <w:color w:val="000000"/>
          <w:sz w:val="20"/>
        </w:rPr>
      </w:pPr>
      <w:r>
        <w:rPr>
          <w:rFonts w:ascii="Times New Roman" w:hAnsi="Times New Roman"/>
          <w:b/>
          <w:color w:val="000000"/>
          <w:sz w:val="20"/>
        </w:rPr>
        <w:t>CONSOLIDATED STATEMENTS OF COMPREHENSIVE INCOME (LOSS) (CONTINUED)</w:t>
      </w:r>
    </w:p>
    <w:p>
      <w:pPr>
        <w:pStyle w:val="TextBody"/>
        <w:spacing w:before="0" w:after="0"/>
        <w:jc w:val="center"/>
        <w:rPr>
          <w:rFonts w:ascii="Times New Roman" w:hAnsi="Times New Roman"/>
          <w:b/>
          <w:color w:val="000000"/>
          <w:sz w:val="20"/>
        </w:rPr>
      </w:pPr>
      <w:r>
        <w:rPr>
          <w:rFonts w:ascii="Times New Roman" w:hAnsi="Times New Roman"/>
          <w:b/>
          <w:color w:val="000000"/>
          <w:sz w:val="20"/>
        </w:rPr>
        <w:t>(Unaudited)</w:t>
      </w:r>
    </w:p>
    <w:p>
      <w:pPr>
        <w:pStyle w:val="TextBody"/>
        <w:spacing w:before="0" w:after="0"/>
        <w:jc w:val="center"/>
        <w:rPr>
          <w:rFonts w:ascii="Times New Roman" w:hAnsi="Times New Roman"/>
          <w:b/>
          <w:color w:val="000000"/>
          <w:sz w:val="20"/>
        </w:rPr>
      </w:pPr>
      <w:r>
        <w:rPr>
          <w:rFonts w:ascii="Times New Roman" w:hAnsi="Times New Roman"/>
          <w:b/>
          <w:color w:val="000000"/>
          <w:sz w:val="20"/>
        </w:rPr>
        <w:t>(Dollars in thousands, except per share data)</w:t>
      </w:r>
    </w:p>
    <w:p>
      <w:pPr>
        <w:pStyle w:val="TextBody"/>
        <w:spacing w:before="0" w:after="0"/>
        <w:jc w:val="left"/>
        <w:rPr/>
      </w:pPr>
      <w:r>
        <w:rPr/>
      </w:r>
    </w:p>
    <w:tbl>
      <w:tblPr>
        <w:tblW w:w="7436" w:type="dxa"/>
        <w:jc w:val="left"/>
        <w:tblInd w:w="0" w:type="dxa"/>
        <w:tblCellMar>
          <w:top w:w="0" w:type="dxa"/>
          <w:left w:w="0" w:type="dxa"/>
          <w:bottom w:w="0" w:type="dxa"/>
          <w:right w:w="0" w:type="dxa"/>
        </w:tblCellMar>
      </w:tblPr>
      <w:tblGrid>
        <w:gridCol w:w="5495"/>
        <w:gridCol w:w="60"/>
        <w:gridCol w:w="137"/>
        <w:gridCol w:w="647"/>
        <w:gridCol w:w="87"/>
        <w:gridCol w:w="65"/>
        <w:gridCol w:w="137"/>
        <w:gridCol w:w="713"/>
        <w:gridCol w:w="95"/>
      </w:tblGrid>
      <w:tr>
        <w:trPr/>
        <w:tc>
          <w:tcPr>
            <w:tcW w:w="549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786" w:type="dxa"/>
            <w:gridSpan w:val="6"/>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Three Months Ended</w:t>
            </w:r>
          </w:p>
          <w:p>
            <w:pPr>
              <w:pStyle w:val="TableContents"/>
              <w:spacing w:before="0" w:after="0"/>
              <w:jc w:val="center"/>
              <w:rPr>
                <w:rFonts w:ascii="Times New Roman" w:hAnsi="Times New Roman"/>
                <w:b/>
                <w:sz w:val="20"/>
              </w:rPr>
            </w:pPr>
            <w:r>
              <w:rPr>
                <w:rFonts w:ascii="Times New Roman" w:hAnsi="Times New Roman"/>
                <w:b/>
                <w:sz w:val="20"/>
              </w:rPr>
              <w:t>March 31,</w:t>
            </w:r>
          </w:p>
        </w:tc>
        <w:tc>
          <w:tcPr>
            <w:tcW w:w="95" w:type="dxa"/>
            <w:tcBorders/>
            <w:shd w:fill="auto" w:val="clear"/>
            <w:vAlign w:val="bottom"/>
          </w:tcPr>
          <w:p>
            <w:pPr>
              <w:pStyle w:val="TableContents"/>
              <w:spacing w:before="0" w:after="283"/>
              <w:jc w:val="left"/>
              <w:rPr/>
            </w:pPr>
            <w:r>
              <w:rPr/>
              <w:t> </w:t>
            </w:r>
          </w:p>
        </w:tc>
      </w:tr>
      <w:tr>
        <w:trPr/>
        <w:tc>
          <w:tcPr>
            <w:tcW w:w="54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84"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2023</w:t>
            </w:r>
          </w:p>
        </w:tc>
        <w:tc>
          <w:tcPr>
            <w:tcW w:w="87" w:type="dxa"/>
            <w:tcBorders/>
            <w:shd w:fill="auto" w:val="clear"/>
            <w:vAlign w:val="bottom"/>
          </w:tcPr>
          <w:p>
            <w:pPr>
              <w:pStyle w:val="TableContents"/>
              <w:spacing w:before="0" w:after="283"/>
              <w:jc w:val="left"/>
              <w:rPr/>
            </w:pPr>
            <w:r>
              <w:rPr/>
              <w:t> </w:t>
            </w:r>
          </w:p>
        </w:tc>
        <w:tc>
          <w:tcPr>
            <w:tcW w:w="65" w:type="dxa"/>
            <w:tcBorders/>
            <w:shd w:fill="auto" w:val="clear"/>
            <w:vAlign w:val="bottom"/>
          </w:tcPr>
          <w:p>
            <w:pPr>
              <w:pStyle w:val="TableContents"/>
              <w:spacing w:before="0" w:after="283"/>
              <w:rPr/>
            </w:pPr>
            <w:r>
              <w:rPr/>
              <w:t> </w:t>
            </w:r>
          </w:p>
        </w:tc>
        <w:tc>
          <w:tcPr>
            <w:tcW w:w="85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2022</w:t>
            </w:r>
          </w:p>
        </w:tc>
        <w:tc>
          <w:tcPr>
            <w:tcW w:w="95" w:type="dxa"/>
            <w:tcBorders/>
            <w:shd w:fill="auto" w:val="clear"/>
            <w:vAlign w:val="bottom"/>
          </w:tcPr>
          <w:p>
            <w:pPr>
              <w:pStyle w:val="TableContents"/>
              <w:spacing w:before="0" w:after="283"/>
              <w:jc w:val="left"/>
              <w:rPr/>
            </w:pPr>
            <w:r>
              <w:rPr/>
              <w:t> </w:t>
            </w:r>
          </w:p>
        </w:tc>
      </w:tr>
      <w:tr>
        <w:trPr/>
        <w:tc>
          <w:tcPr>
            <w:tcW w:w="5495" w:type="dxa"/>
            <w:tcBorders/>
            <w:shd w:fill="auto"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Earnings per share:</w:t>
            </w:r>
          </w:p>
        </w:tc>
        <w:tc>
          <w:tcPr>
            <w:tcW w:w="60" w:type="dxa"/>
            <w:tcBorders/>
            <w:shd w:fill="auto" w:val="clear"/>
            <w:vAlign w:val="bottom"/>
          </w:tcPr>
          <w:p>
            <w:pPr>
              <w:pStyle w:val="TableContents"/>
              <w:spacing w:before="0" w:after="283"/>
              <w:rPr/>
            </w:pPr>
            <w:r>
              <w:rPr/>
              <w:t> </w:t>
            </w:r>
          </w:p>
        </w:tc>
        <w:tc>
          <w:tcPr>
            <w:tcW w:w="784" w:type="dxa"/>
            <w:gridSpan w:val="2"/>
            <w:tcBorders/>
            <w:shd w:fill="auto" w:val="clear"/>
            <w:vAlign w:val="bottom"/>
          </w:tcPr>
          <w:p>
            <w:pPr>
              <w:pStyle w:val="TableContents"/>
              <w:spacing w:before="0" w:after="283"/>
              <w:rPr/>
            </w:pPr>
            <w:r>
              <w:rPr/>
              <w:t> </w:t>
            </w:r>
          </w:p>
        </w:tc>
        <w:tc>
          <w:tcPr>
            <w:tcW w:w="87" w:type="dxa"/>
            <w:tcBorders/>
            <w:shd w:fill="auto" w:val="clear"/>
            <w:vAlign w:val="bottom"/>
          </w:tcPr>
          <w:p>
            <w:pPr>
              <w:pStyle w:val="TableContents"/>
              <w:spacing w:before="0" w:after="283"/>
              <w:jc w:val="left"/>
              <w:rPr/>
            </w:pPr>
            <w:r>
              <w:rPr/>
              <w:t> </w:t>
            </w:r>
          </w:p>
        </w:tc>
        <w:tc>
          <w:tcPr>
            <w:tcW w:w="65" w:type="dxa"/>
            <w:tcBorders/>
            <w:shd w:fill="auto" w:val="clear"/>
            <w:vAlign w:val="bottom"/>
          </w:tcPr>
          <w:p>
            <w:pPr>
              <w:pStyle w:val="TableContents"/>
              <w:spacing w:before="0" w:after="283"/>
              <w:rPr/>
            </w:pPr>
            <w:r>
              <w:rPr/>
              <w:t> </w:t>
            </w:r>
          </w:p>
        </w:tc>
        <w:tc>
          <w:tcPr>
            <w:tcW w:w="850" w:type="dxa"/>
            <w:gridSpan w:val="2"/>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left"/>
              <w:rPr/>
            </w:pPr>
            <w:r>
              <w:rPr/>
              <w:t> </w:t>
            </w:r>
          </w:p>
        </w:tc>
      </w:tr>
      <w:tr>
        <w:trPr/>
        <w:tc>
          <w:tcPr>
            <w:tcW w:w="5495" w:type="dxa"/>
            <w:tcBorders/>
            <w:shd w:fill="CCEEFF" w:val="clear"/>
            <w:vAlign w:val="bottom"/>
          </w:tcPr>
          <w:p>
            <w:pPr>
              <w:pStyle w:val="TableContents"/>
              <w:spacing w:before="0" w:after="0"/>
              <w:ind w:left="288" w:right="0" w:hanging="144"/>
              <w:jc w:val="left"/>
              <w:rPr>
                <w:rFonts w:ascii="Times New Roman" w:hAnsi="Times New Roman"/>
                <w:sz w:val="20"/>
              </w:rPr>
            </w:pPr>
            <w:r>
              <w:rPr>
                <w:rFonts w:ascii="Times New Roman" w:hAnsi="Times New Roman"/>
                <w:sz w:val="20"/>
              </w:rPr>
              <w:t>Basic</w:t>
            </w:r>
          </w:p>
        </w:tc>
        <w:tc>
          <w:tcPr>
            <w:tcW w:w="60" w:type="dxa"/>
            <w:tcBorders/>
            <w:shd w:fill="CCEEFF" w:val="clear"/>
            <w:vAlign w:val="bottom"/>
          </w:tcPr>
          <w:p>
            <w:pPr>
              <w:pStyle w:val="TableContents"/>
              <w:spacing w:before="0" w:after="283"/>
              <w:jc w:val="right"/>
              <w:rPr/>
            </w:pPr>
            <w:r>
              <w:rPr/>
              <w:t> </w:t>
            </w:r>
          </w:p>
        </w:tc>
        <w:tc>
          <w:tcPr>
            <w:tcW w:w="137"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47"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0.54</w:t>
            </w:r>
          </w:p>
        </w:tc>
        <w:tc>
          <w:tcPr>
            <w:tcW w:w="87" w:type="dxa"/>
            <w:tcBorders/>
            <w:shd w:fill="CCEEFF" w:val="clear"/>
            <w:vAlign w:val="bottom"/>
          </w:tcPr>
          <w:p>
            <w:pPr>
              <w:pStyle w:val="TableContents"/>
              <w:spacing w:before="0" w:after="283"/>
              <w:jc w:val="left"/>
              <w:rPr/>
            </w:pPr>
            <w:r>
              <w:rPr/>
              <w:t> </w:t>
            </w:r>
          </w:p>
        </w:tc>
        <w:tc>
          <w:tcPr>
            <w:tcW w:w="65" w:type="dxa"/>
            <w:tcBorders/>
            <w:shd w:fill="CCEEFF" w:val="clear"/>
            <w:vAlign w:val="bottom"/>
          </w:tcPr>
          <w:p>
            <w:pPr>
              <w:pStyle w:val="TableContents"/>
              <w:spacing w:before="0" w:after="283"/>
              <w:jc w:val="right"/>
              <w:rPr/>
            </w:pPr>
            <w:r>
              <w:rPr/>
              <w:t> </w:t>
            </w:r>
          </w:p>
        </w:tc>
        <w:tc>
          <w:tcPr>
            <w:tcW w:w="137"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713"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0.81</w:t>
            </w:r>
          </w:p>
        </w:tc>
        <w:tc>
          <w:tcPr>
            <w:tcW w:w="95" w:type="dxa"/>
            <w:tcBorders/>
            <w:shd w:fill="CCEEFF" w:val="clear"/>
            <w:vAlign w:val="bottom"/>
          </w:tcPr>
          <w:p>
            <w:pPr>
              <w:pStyle w:val="TableContents"/>
              <w:spacing w:before="0" w:after="283"/>
              <w:jc w:val="left"/>
              <w:rPr/>
            </w:pPr>
            <w:r>
              <w:rPr/>
              <w:t> </w:t>
            </w:r>
          </w:p>
        </w:tc>
      </w:tr>
      <w:tr>
        <w:trPr/>
        <w:tc>
          <w:tcPr>
            <w:tcW w:w="5495" w:type="dxa"/>
            <w:tcBorders/>
            <w:shd w:fill="auto" w:val="clear"/>
            <w:vAlign w:val="bottom"/>
          </w:tcPr>
          <w:p>
            <w:pPr>
              <w:pStyle w:val="TableContents"/>
              <w:spacing w:before="0" w:after="0"/>
              <w:ind w:left="288" w:right="0" w:hanging="144"/>
              <w:jc w:val="left"/>
              <w:rPr>
                <w:rFonts w:ascii="Times New Roman" w:hAnsi="Times New Roman"/>
                <w:sz w:val="20"/>
              </w:rPr>
            </w:pPr>
            <w:r>
              <w:rPr>
                <w:rFonts w:ascii="Times New Roman" w:hAnsi="Times New Roman"/>
                <w:sz w:val="20"/>
              </w:rPr>
              <w:t>Diluted</w:t>
            </w:r>
          </w:p>
        </w:tc>
        <w:tc>
          <w:tcPr>
            <w:tcW w:w="60" w:type="dxa"/>
            <w:tcBorders/>
            <w:shd w:fill="auto" w:val="clear"/>
            <w:vAlign w:val="bottom"/>
          </w:tcPr>
          <w:p>
            <w:pPr>
              <w:pStyle w:val="TableContents"/>
              <w:spacing w:before="0" w:after="283"/>
              <w:jc w:val="right"/>
              <w:rPr/>
            </w:pPr>
            <w:r>
              <w:rPr/>
              <w:t> </w:t>
            </w:r>
          </w:p>
        </w:tc>
        <w:tc>
          <w:tcPr>
            <w:tcW w:w="137"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47"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0.53</w:t>
            </w:r>
          </w:p>
        </w:tc>
        <w:tc>
          <w:tcPr>
            <w:tcW w:w="87" w:type="dxa"/>
            <w:tcBorders/>
            <w:shd w:fill="auto" w:val="clear"/>
            <w:vAlign w:val="bottom"/>
          </w:tcPr>
          <w:p>
            <w:pPr>
              <w:pStyle w:val="TableContents"/>
              <w:spacing w:before="0" w:after="283"/>
              <w:jc w:val="left"/>
              <w:rPr/>
            </w:pPr>
            <w:r>
              <w:rPr/>
              <w:t> </w:t>
            </w:r>
          </w:p>
        </w:tc>
        <w:tc>
          <w:tcPr>
            <w:tcW w:w="65" w:type="dxa"/>
            <w:tcBorders/>
            <w:shd w:fill="auto" w:val="clear"/>
            <w:vAlign w:val="bottom"/>
          </w:tcPr>
          <w:p>
            <w:pPr>
              <w:pStyle w:val="TableContents"/>
              <w:spacing w:before="0" w:after="283"/>
              <w:jc w:val="right"/>
              <w:rPr/>
            </w:pPr>
            <w:r>
              <w:rPr/>
              <w:t> </w:t>
            </w:r>
          </w:p>
        </w:tc>
        <w:tc>
          <w:tcPr>
            <w:tcW w:w="137"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713"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0.78</w:t>
            </w:r>
          </w:p>
        </w:tc>
        <w:tc>
          <w:tcPr>
            <w:tcW w:w="95" w:type="dxa"/>
            <w:tcBorders/>
            <w:shd w:fill="auto" w:val="clear"/>
            <w:vAlign w:val="bottom"/>
          </w:tcPr>
          <w:p>
            <w:pPr>
              <w:pStyle w:val="TableContents"/>
              <w:spacing w:before="0" w:after="283"/>
              <w:jc w:val="left"/>
              <w:rPr/>
            </w:pPr>
            <w:r>
              <w:rPr/>
              <w:t> </w:t>
            </w:r>
          </w:p>
        </w:tc>
      </w:tr>
      <w:tr>
        <w:trPr/>
        <w:tc>
          <w:tcPr>
            <w:tcW w:w="54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137" w:type="dxa"/>
            <w:tcBorders/>
            <w:shd w:fill="CCEEFF" w:val="clear"/>
            <w:vAlign w:val="bottom"/>
          </w:tcPr>
          <w:p>
            <w:pPr>
              <w:pStyle w:val="TableContents"/>
              <w:spacing w:before="0" w:after="283"/>
              <w:jc w:val="left"/>
              <w:rPr/>
            </w:pPr>
            <w:r>
              <w:rPr/>
              <w:t> </w:t>
            </w:r>
          </w:p>
        </w:tc>
        <w:tc>
          <w:tcPr>
            <w:tcW w:w="647" w:type="dxa"/>
            <w:tcBorders/>
            <w:shd w:fill="CCEEFF" w:val="clear"/>
            <w:vAlign w:val="bottom"/>
          </w:tcPr>
          <w:p>
            <w:pPr>
              <w:pStyle w:val="TableContents"/>
              <w:spacing w:before="0" w:after="283"/>
              <w:jc w:val="right"/>
              <w:rPr/>
            </w:pPr>
            <w:r>
              <w:rPr/>
              <w:t> </w:t>
            </w:r>
          </w:p>
        </w:tc>
        <w:tc>
          <w:tcPr>
            <w:tcW w:w="87" w:type="dxa"/>
            <w:tcBorders/>
            <w:shd w:fill="CCEEFF" w:val="clear"/>
            <w:vAlign w:val="bottom"/>
          </w:tcPr>
          <w:p>
            <w:pPr>
              <w:pStyle w:val="TableContents"/>
              <w:spacing w:before="0" w:after="283"/>
              <w:jc w:val="left"/>
              <w:rPr/>
            </w:pPr>
            <w:r>
              <w:rPr/>
              <w:t> </w:t>
            </w:r>
          </w:p>
        </w:tc>
        <w:tc>
          <w:tcPr>
            <w:tcW w:w="65" w:type="dxa"/>
            <w:tcBorders/>
            <w:shd w:fill="CCEEFF" w:val="clear"/>
            <w:vAlign w:val="bottom"/>
          </w:tcPr>
          <w:p>
            <w:pPr>
              <w:pStyle w:val="TableContents"/>
              <w:spacing w:before="0" w:after="283"/>
              <w:jc w:val="right"/>
              <w:rPr/>
            </w:pPr>
            <w:r>
              <w:rPr/>
              <w:t> </w:t>
            </w:r>
          </w:p>
        </w:tc>
        <w:tc>
          <w:tcPr>
            <w:tcW w:w="137" w:type="dxa"/>
            <w:tcBorders/>
            <w:shd w:fill="CCEEFF" w:val="clear"/>
            <w:vAlign w:val="bottom"/>
          </w:tcPr>
          <w:p>
            <w:pPr>
              <w:pStyle w:val="TableContents"/>
              <w:spacing w:before="0" w:after="283"/>
              <w:jc w:val="left"/>
              <w:rPr/>
            </w:pPr>
            <w:r>
              <w:rPr/>
              <w:t> </w:t>
            </w:r>
          </w:p>
        </w:tc>
        <w:tc>
          <w:tcPr>
            <w:tcW w:w="713"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r>
      <w:tr>
        <w:trPr/>
        <w:tc>
          <w:tcPr>
            <w:tcW w:w="5495" w:type="dxa"/>
            <w:tcBorders/>
            <w:shd w:fill="auto"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Net income</w:t>
            </w:r>
          </w:p>
        </w:tc>
        <w:tc>
          <w:tcPr>
            <w:tcW w:w="60" w:type="dxa"/>
            <w:tcBorders/>
            <w:shd w:fill="auto" w:val="clear"/>
            <w:vAlign w:val="bottom"/>
          </w:tcPr>
          <w:p>
            <w:pPr>
              <w:pStyle w:val="TableContents"/>
              <w:spacing w:before="0" w:after="283"/>
              <w:jc w:val="right"/>
              <w:rPr/>
            </w:pPr>
            <w:r>
              <w:rPr/>
              <w:t> </w:t>
            </w:r>
          </w:p>
        </w:tc>
        <w:tc>
          <w:tcPr>
            <w:tcW w:w="137"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47"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9,244</w:t>
            </w:r>
          </w:p>
        </w:tc>
        <w:tc>
          <w:tcPr>
            <w:tcW w:w="87" w:type="dxa"/>
            <w:tcBorders/>
            <w:shd w:fill="auto" w:val="clear"/>
            <w:vAlign w:val="bottom"/>
          </w:tcPr>
          <w:p>
            <w:pPr>
              <w:pStyle w:val="TableContents"/>
              <w:spacing w:before="0" w:after="283"/>
              <w:jc w:val="left"/>
              <w:rPr/>
            </w:pPr>
            <w:r>
              <w:rPr/>
              <w:t> </w:t>
            </w:r>
          </w:p>
        </w:tc>
        <w:tc>
          <w:tcPr>
            <w:tcW w:w="65" w:type="dxa"/>
            <w:tcBorders/>
            <w:shd w:fill="auto" w:val="clear"/>
            <w:vAlign w:val="bottom"/>
          </w:tcPr>
          <w:p>
            <w:pPr>
              <w:pStyle w:val="TableContents"/>
              <w:spacing w:before="0" w:after="283"/>
              <w:jc w:val="right"/>
              <w:rPr/>
            </w:pPr>
            <w:r>
              <w:rPr/>
              <w:t> </w:t>
            </w:r>
          </w:p>
        </w:tc>
        <w:tc>
          <w:tcPr>
            <w:tcW w:w="137"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713"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14,278</w:t>
            </w:r>
          </w:p>
        </w:tc>
        <w:tc>
          <w:tcPr>
            <w:tcW w:w="95" w:type="dxa"/>
            <w:tcBorders/>
            <w:shd w:fill="auto" w:val="clear"/>
            <w:vAlign w:val="bottom"/>
          </w:tcPr>
          <w:p>
            <w:pPr>
              <w:pStyle w:val="TableContents"/>
              <w:spacing w:before="0" w:after="283"/>
              <w:jc w:val="left"/>
              <w:rPr/>
            </w:pPr>
            <w:r>
              <w:rPr/>
              <w:t> </w:t>
            </w:r>
          </w:p>
        </w:tc>
      </w:tr>
      <w:tr>
        <w:trPr/>
        <w:tc>
          <w:tcPr>
            <w:tcW w:w="5495" w:type="dxa"/>
            <w:tcBorders/>
            <w:shd w:fill="CCEE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Other comprehensive income (loss):</w:t>
            </w:r>
          </w:p>
        </w:tc>
        <w:tc>
          <w:tcPr>
            <w:tcW w:w="60" w:type="dxa"/>
            <w:tcBorders/>
            <w:shd w:fill="CCEEFF" w:val="clear"/>
            <w:vAlign w:val="bottom"/>
          </w:tcPr>
          <w:p>
            <w:pPr>
              <w:pStyle w:val="TableContents"/>
              <w:spacing w:before="0" w:after="283"/>
              <w:jc w:val="right"/>
              <w:rPr/>
            </w:pPr>
            <w:r>
              <w:rPr/>
              <w:t> </w:t>
            </w:r>
          </w:p>
        </w:tc>
        <w:tc>
          <w:tcPr>
            <w:tcW w:w="137" w:type="dxa"/>
            <w:tcBorders/>
            <w:shd w:fill="CCEEFF" w:val="clear"/>
            <w:vAlign w:val="bottom"/>
          </w:tcPr>
          <w:p>
            <w:pPr>
              <w:pStyle w:val="TableContents"/>
              <w:spacing w:before="0" w:after="283"/>
              <w:jc w:val="left"/>
              <w:rPr/>
            </w:pPr>
            <w:r>
              <w:rPr/>
              <w:t> </w:t>
            </w:r>
          </w:p>
        </w:tc>
        <w:tc>
          <w:tcPr>
            <w:tcW w:w="647" w:type="dxa"/>
            <w:tcBorders/>
            <w:shd w:fill="CCEEFF" w:val="clear"/>
            <w:vAlign w:val="bottom"/>
          </w:tcPr>
          <w:p>
            <w:pPr>
              <w:pStyle w:val="TableContents"/>
              <w:spacing w:before="0" w:after="283"/>
              <w:jc w:val="right"/>
              <w:rPr/>
            </w:pPr>
            <w:r>
              <w:rPr/>
              <w:t> </w:t>
            </w:r>
          </w:p>
        </w:tc>
        <w:tc>
          <w:tcPr>
            <w:tcW w:w="87" w:type="dxa"/>
            <w:tcBorders/>
            <w:shd w:fill="CCEEFF" w:val="clear"/>
            <w:vAlign w:val="bottom"/>
          </w:tcPr>
          <w:p>
            <w:pPr>
              <w:pStyle w:val="TableContents"/>
              <w:spacing w:before="0" w:after="283"/>
              <w:jc w:val="left"/>
              <w:rPr/>
            </w:pPr>
            <w:r>
              <w:rPr/>
              <w:t> </w:t>
            </w:r>
          </w:p>
        </w:tc>
        <w:tc>
          <w:tcPr>
            <w:tcW w:w="65" w:type="dxa"/>
            <w:tcBorders/>
            <w:shd w:fill="CCEEFF" w:val="clear"/>
            <w:vAlign w:val="bottom"/>
          </w:tcPr>
          <w:p>
            <w:pPr>
              <w:pStyle w:val="TableContents"/>
              <w:spacing w:before="0" w:after="283"/>
              <w:jc w:val="right"/>
              <w:rPr/>
            </w:pPr>
            <w:r>
              <w:rPr/>
              <w:t> </w:t>
            </w:r>
          </w:p>
        </w:tc>
        <w:tc>
          <w:tcPr>
            <w:tcW w:w="137" w:type="dxa"/>
            <w:tcBorders/>
            <w:shd w:fill="CCEEFF" w:val="clear"/>
            <w:vAlign w:val="bottom"/>
          </w:tcPr>
          <w:p>
            <w:pPr>
              <w:pStyle w:val="TableContents"/>
              <w:spacing w:before="0" w:after="283"/>
              <w:jc w:val="left"/>
              <w:rPr/>
            </w:pPr>
            <w:r>
              <w:rPr/>
              <w:t> </w:t>
            </w:r>
          </w:p>
        </w:tc>
        <w:tc>
          <w:tcPr>
            <w:tcW w:w="713"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r>
      <w:tr>
        <w:trPr/>
        <w:tc>
          <w:tcPr>
            <w:tcW w:w="5495" w:type="dxa"/>
            <w:tcBorders/>
            <w:shd w:fill="auto" w:val="clear"/>
            <w:vAlign w:val="bottom"/>
          </w:tcPr>
          <w:p>
            <w:pPr>
              <w:pStyle w:val="TableContents"/>
              <w:spacing w:before="0" w:after="0"/>
              <w:ind w:left="288" w:right="0" w:hanging="144"/>
              <w:jc w:val="left"/>
              <w:rPr>
                <w:rFonts w:ascii="Times New Roman" w:hAnsi="Times New Roman"/>
                <w:sz w:val="20"/>
              </w:rPr>
            </w:pPr>
            <w:r>
              <w:rPr>
                <w:rFonts w:ascii="Times New Roman" w:hAnsi="Times New Roman"/>
                <w:sz w:val="20"/>
              </w:rPr>
              <w:t>Unrealized gains (losses) on securities available for sale</w:t>
            </w:r>
          </w:p>
        </w:tc>
        <w:tc>
          <w:tcPr>
            <w:tcW w:w="60" w:type="dxa"/>
            <w:tcBorders/>
            <w:shd w:fill="auto" w:val="clear"/>
            <w:vAlign w:val="bottom"/>
          </w:tcPr>
          <w:p>
            <w:pPr>
              <w:pStyle w:val="TableContents"/>
              <w:spacing w:before="0" w:after="283"/>
              <w:jc w:val="right"/>
              <w:rPr/>
            </w:pPr>
            <w:r>
              <w:rPr/>
              <w:t> </w:t>
            </w:r>
          </w:p>
        </w:tc>
        <w:tc>
          <w:tcPr>
            <w:tcW w:w="137" w:type="dxa"/>
            <w:tcBorders/>
            <w:shd w:fill="auto" w:val="clear"/>
            <w:vAlign w:val="bottom"/>
          </w:tcPr>
          <w:p>
            <w:pPr>
              <w:pStyle w:val="TableContents"/>
              <w:spacing w:before="0" w:after="283"/>
              <w:jc w:val="left"/>
              <w:rPr/>
            </w:pPr>
            <w:r>
              <w:rPr/>
              <w:t> </w:t>
            </w:r>
          </w:p>
        </w:tc>
        <w:tc>
          <w:tcPr>
            <w:tcW w:w="647"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8,624</w:t>
            </w:r>
          </w:p>
        </w:tc>
        <w:tc>
          <w:tcPr>
            <w:tcW w:w="87" w:type="dxa"/>
            <w:tcBorders/>
            <w:shd w:fill="auto" w:val="clear"/>
            <w:vAlign w:val="bottom"/>
          </w:tcPr>
          <w:p>
            <w:pPr>
              <w:pStyle w:val="TableContents"/>
              <w:spacing w:before="0" w:after="283"/>
              <w:jc w:val="left"/>
              <w:rPr/>
            </w:pPr>
            <w:r>
              <w:rPr/>
              <w:t> </w:t>
            </w:r>
          </w:p>
        </w:tc>
        <w:tc>
          <w:tcPr>
            <w:tcW w:w="65" w:type="dxa"/>
            <w:tcBorders/>
            <w:shd w:fill="auto" w:val="clear"/>
            <w:vAlign w:val="bottom"/>
          </w:tcPr>
          <w:p>
            <w:pPr>
              <w:pStyle w:val="TableContents"/>
              <w:spacing w:before="0" w:after="283"/>
              <w:jc w:val="right"/>
              <w:rPr/>
            </w:pPr>
            <w:r>
              <w:rPr/>
              <w:t> </w:t>
            </w:r>
          </w:p>
        </w:tc>
        <w:tc>
          <w:tcPr>
            <w:tcW w:w="137" w:type="dxa"/>
            <w:tcBorders/>
            <w:shd w:fill="auto" w:val="clear"/>
            <w:vAlign w:val="bottom"/>
          </w:tcPr>
          <w:p>
            <w:pPr>
              <w:pStyle w:val="TableContents"/>
              <w:spacing w:before="0" w:after="283"/>
              <w:jc w:val="left"/>
              <w:rPr/>
            </w:pPr>
            <w:r>
              <w:rPr/>
              <w:t> </w:t>
            </w:r>
          </w:p>
        </w:tc>
        <w:tc>
          <w:tcPr>
            <w:tcW w:w="713"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(44,877</w:t>
            </w:r>
          </w:p>
        </w:tc>
        <w:tc>
          <w:tcPr>
            <w:tcW w:w="95"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r>
      <w:tr>
        <w:trPr/>
        <w:tc>
          <w:tcPr>
            <w:tcW w:w="5495" w:type="dxa"/>
            <w:tcBorders/>
            <w:shd w:fill="CCEEFF" w:val="clear"/>
            <w:vAlign w:val="bottom"/>
          </w:tcPr>
          <w:p>
            <w:pPr>
              <w:pStyle w:val="TableContents"/>
              <w:spacing w:before="0" w:after="0"/>
              <w:ind w:left="288" w:right="0" w:hanging="144"/>
              <w:jc w:val="left"/>
              <w:rPr>
                <w:rFonts w:ascii="Times New Roman" w:hAnsi="Times New Roman"/>
                <w:sz w:val="20"/>
              </w:rPr>
            </w:pPr>
            <w:r>
              <w:rPr>
                <w:rFonts w:ascii="Times New Roman" w:hAnsi="Times New Roman"/>
                <w:sz w:val="20"/>
              </w:rPr>
              <w:t>Less: Change in fair value on hedged state and municipal securities</w:t>
            </w:r>
          </w:p>
        </w:tc>
        <w:tc>
          <w:tcPr>
            <w:tcW w:w="60" w:type="dxa"/>
            <w:tcBorders/>
            <w:shd w:fill="CCEEFF" w:val="clear"/>
            <w:vAlign w:val="bottom"/>
          </w:tcPr>
          <w:p>
            <w:pPr>
              <w:pStyle w:val="TableContents"/>
              <w:spacing w:before="0" w:after="283"/>
              <w:jc w:val="right"/>
              <w:rPr/>
            </w:pPr>
            <w:r>
              <w:rPr/>
              <w:t> </w:t>
            </w:r>
          </w:p>
        </w:tc>
        <w:tc>
          <w:tcPr>
            <w:tcW w:w="137" w:type="dxa"/>
            <w:tcBorders/>
            <w:shd w:fill="CCEEFF" w:val="clear"/>
            <w:vAlign w:val="bottom"/>
          </w:tcPr>
          <w:p>
            <w:pPr>
              <w:pStyle w:val="TableContents"/>
              <w:spacing w:before="0" w:after="283"/>
              <w:jc w:val="left"/>
              <w:rPr/>
            </w:pPr>
            <w:r>
              <w:rPr/>
              <w:t> </w:t>
            </w:r>
          </w:p>
        </w:tc>
        <w:tc>
          <w:tcPr>
            <w:tcW w:w="647"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(2,638</w:t>
            </w:r>
          </w:p>
        </w:tc>
        <w:tc>
          <w:tcPr>
            <w:tcW w:w="87"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5" w:type="dxa"/>
            <w:tcBorders/>
            <w:shd w:fill="CCEEFF" w:val="clear"/>
            <w:vAlign w:val="bottom"/>
          </w:tcPr>
          <w:p>
            <w:pPr>
              <w:pStyle w:val="TableContents"/>
              <w:spacing w:before="0" w:after="283"/>
              <w:jc w:val="right"/>
              <w:rPr/>
            </w:pPr>
            <w:r>
              <w:rPr/>
              <w:t> </w:t>
            </w:r>
          </w:p>
        </w:tc>
        <w:tc>
          <w:tcPr>
            <w:tcW w:w="137" w:type="dxa"/>
            <w:tcBorders/>
            <w:shd w:fill="CCEEFF" w:val="clear"/>
            <w:vAlign w:val="bottom"/>
          </w:tcPr>
          <w:p>
            <w:pPr>
              <w:pStyle w:val="TableContents"/>
              <w:spacing w:before="0" w:after="283"/>
              <w:jc w:val="left"/>
              <w:rPr/>
            </w:pPr>
            <w:r>
              <w:rPr/>
              <w:t> </w:t>
            </w:r>
          </w:p>
        </w:tc>
        <w:tc>
          <w:tcPr>
            <w:tcW w:w="713"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6,899</w:t>
            </w:r>
          </w:p>
        </w:tc>
        <w:tc>
          <w:tcPr>
            <w:tcW w:w="95" w:type="dxa"/>
            <w:tcBorders/>
            <w:shd w:fill="CCEEFF" w:val="clear"/>
            <w:vAlign w:val="bottom"/>
          </w:tcPr>
          <w:p>
            <w:pPr>
              <w:pStyle w:val="TableContents"/>
              <w:spacing w:before="0" w:after="283"/>
              <w:jc w:val="left"/>
              <w:rPr/>
            </w:pPr>
            <w:r>
              <w:rPr/>
              <w:t> </w:t>
            </w:r>
          </w:p>
        </w:tc>
      </w:tr>
      <w:tr>
        <w:trPr/>
        <w:tc>
          <w:tcPr>
            <w:tcW w:w="5495" w:type="dxa"/>
            <w:tcBorders/>
            <w:shd w:fill="auto" w:val="clear"/>
            <w:vAlign w:val="bottom"/>
          </w:tcPr>
          <w:p>
            <w:pPr>
              <w:pStyle w:val="TableContents"/>
              <w:spacing w:before="0" w:after="0"/>
              <w:ind w:left="288" w:right="0" w:hanging="144"/>
              <w:jc w:val="left"/>
              <w:rPr>
                <w:rFonts w:ascii="Times New Roman" w:hAnsi="Times New Roman"/>
                <w:sz w:val="20"/>
              </w:rPr>
            </w:pPr>
            <w:r>
              <w:rPr>
                <w:rFonts w:ascii="Times New Roman" w:hAnsi="Times New Roman"/>
                <w:sz w:val="20"/>
              </w:rPr>
              <w:t>Tax effect</w:t>
            </w:r>
          </w:p>
        </w:tc>
        <w:tc>
          <w:tcPr>
            <w:tcW w:w="60" w:type="dxa"/>
            <w:tcBorders/>
            <w:shd w:fill="auto" w:val="clear"/>
            <w:vAlign w:val="bottom"/>
          </w:tcPr>
          <w:p>
            <w:pPr>
              <w:pStyle w:val="TableContents"/>
              <w:spacing w:before="0" w:after="283"/>
              <w:jc w:val="right"/>
              <w:rPr/>
            </w:pPr>
            <w:r>
              <w:rPr/>
              <w:t> </w:t>
            </w:r>
          </w:p>
        </w:tc>
        <w:tc>
          <w:tcPr>
            <w:tcW w:w="137"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47"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(1,257</w:t>
            </w:r>
          </w:p>
        </w:tc>
        <w:tc>
          <w:tcPr>
            <w:tcW w:w="87"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5" w:type="dxa"/>
            <w:tcBorders/>
            <w:shd w:fill="auto" w:val="clear"/>
            <w:vAlign w:val="bottom"/>
          </w:tcPr>
          <w:p>
            <w:pPr>
              <w:pStyle w:val="TableContents"/>
              <w:spacing w:before="0" w:after="283"/>
              <w:jc w:val="right"/>
              <w:rPr/>
            </w:pPr>
            <w:r>
              <w:rPr/>
              <w:t> </w:t>
            </w:r>
          </w:p>
        </w:tc>
        <w:tc>
          <w:tcPr>
            <w:tcW w:w="137"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713"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7,975</w:t>
            </w:r>
          </w:p>
        </w:tc>
        <w:tc>
          <w:tcPr>
            <w:tcW w:w="95" w:type="dxa"/>
            <w:tcBorders/>
            <w:shd w:fill="auto" w:val="clear"/>
            <w:vAlign w:val="bottom"/>
          </w:tcPr>
          <w:p>
            <w:pPr>
              <w:pStyle w:val="TableContents"/>
              <w:spacing w:before="0" w:after="283"/>
              <w:jc w:val="left"/>
              <w:rPr/>
            </w:pPr>
            <w:r>
              <w:rPr/>
              <w:t> </w:t>
            </w:r>
          </w:p>
        </w:tc>
      </w:tr>
      <w:tr>
        <w:trPr/>
        <w:tc>
          <w:tcPr>
            <w:tcW w:w="5495" w:type="dxa"/>
            <w:tcBorders/>
            <w:shd w:fill="CCEEFF" w:val="clear"/>
            <w:vAlign w:val="bottom"/>
          </w:tcPr>
          <w:p>
            <w:pPr>
              <w:pStyle w:val="TableContents"/>
              <w:spacing w:before="0" w:after="0"/>
              <w:ind w:left="504" w:right="0" w:hanging="144"/>
              <w:jc w:val="left"/>
              <w:rPr>
                <w:rFonts w:ascii="Times New Roman" w:hAnsi="Times New Roman"/>
                <w:sz w:val="20"/>
              </w:rPr>
            </w:pPr>
            <w:r>
              <w:rPr>
                <w:rFonts w:ascii="Times New Roman" w:hAnsi="Times New Roman"/>
                <w:sz w:val="20"/>
              </w:rPr>
              <w:t>Other comprehensive income (loss)</w:t>
            </w:r>
          </w:p>
        </w:tc>
        <w:tc>
          <w:tcPr>
            <w:tcW w:w="60" w:type="dxa"/>
            <w:tcBorders/>
            <w:shd w:fill="CCEEFF" w:val="clear"/>
            <w:vAlign w:val="bottom"/>
          </w:tcPr>
          <w:p>
            <w:pPr>
              <w:pStyle w:val="TableContents"/>
              <w:spacing w:before="0" w:after="283"/>
              <w:jc w:val="right"/>
              <w:rPr/>
            </w:pPr>
            <w:r>
              <w:rPr/>
              <w:t> </w:t>
            </w:r>
          </w:p>
        </w:tc>
        <w:tc>
          <w:tcPr>
            <w:tcW w:w="13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47"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4,729</w:t>
            </w:r>
          </w:p>
        </w:tc>
        <w:tc>
          <w:tcPr>
            <w:tcW w:w="87" w:type="dxa"/>
            <w:tcBorders/>
            <w:shd w:fill="CCEEFF" w:val="clear"/>
            <w:vAlign w:val="bottom"/>
          </w:tcPr>
          <w:p>
            <w:pPr>
              <w:pStyle w:val="TableContents"/>
              <w:spacing w:before="0" w:after="283"/>
              <w:jc w:val="left"/>
              <w:rPr/>
            </w:pPr>
            <w:r>
              <w:rPr/>
              <w:t> </w:t>
            </w:r>
          </w:p>
        </w:tc>
        <w:tc>
          <w:tcPr>
            <w:tcW w:w="65" w:type="dxa"/>
            <w:tcBorders/>
            <w:shd w:fill="CCEEFF" w:val="clear"/>
            <w:vAlign w:val="bottom"/>
          </w:tcPr>
          <w:p>
            <w:pPr>
              <w:pStyle w:val="TableContents"/>
              <w:spacing w:before="0" w:after="283"/>
              <w:jc w:val="right"/>
              <w:rPr/>
            </w:pPr>
            <w:r>
              <w:rPr/>
              <w:t> </w:t>
            </w:r>
          </w:p>
        </w:tc>
        <w:tc>
          <w:tcPr>
            <w:tcW w:w="13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13"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(30,003</w:t>
            </w:r>
          </w:p>
        </w:tc>
        <w:tc>
          <w:tcPr>
            <w:tcW w:w="9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r>
      <w:tr>
        <w:trPr/>
        <w:tc>
          <w:tcPr>
            <w:tcW w:w="5495" w:type="dxa"/>
            <w:tcBorders/>
            <w:shd w:fill="auto" w:val="clear"/>
            <w:vAlign w:val="bottom"/>
          </w:tcPr>
          <w:p>
            <w:pPr>
              <w:pStyle w:val="TableContents"/>
              <w:spacing w:before="0" w:after="0"/>
              <w:ind w:left="677" w:right="0" w:hanging="144"/>
              <w:jc w:val="left"/>
              <w:rPr>
                <w:rFonts w:ascii="Times New Roman" w:hAnsi="Times New Roman"/>
                <w:sz w:val="20"/>
              </w:rPr>
            </w:pPr>
            <w:r>
              <w:rPr>
                <w:rFonts w:ascii="Times New Roman" w:hAnsi="Times New Roman"/>
                <w:sz w:val="20"/>
              </w:rPr>
              <w:t>Comprehensive income (loss)</w:t>
            </w:r>
          </w:p>
        </w:tc>
        <w:tc>
          <w:tcPr>
            <w:tcW w:w="60" w:type="dxa"/>
            <w:tcBorders/>
            <w:shd w:fill="auto" w:val="clear"/>
            <w:vAlign w:val="bottom"/>
          </w:tcPr>
          <w:p>
            <w:pPr>
              <w:pStyle w:val="TableContents"/>
              <w:spacing w:before="0" w:after="283"/>
              <w:jc w:val="right"/>
              <w:rPr/>
            </w:pPr>
            <w:r>
              <w:rPr/>
              <w:t> </w:t>
            </w:r>
          </w:p>
        </w:tc>
        <w:tc>
          <w:tcPr>
            <w:tcW w:w="137"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47"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13,973</w:t>
            </w:r>
          </w:p>
        </w:tc>
        <w:tc>
          <w:tcPr>
            <w:tcW w:w="87" w:type="dxa"/>
            <w:tcBorders/>
            <w:shd w:fill="auto" w:val="clear"/>
            <w:vAlign w:val="bottom"/>
          </w:tcPr>
          <w:p>
            <w:pPr>
              <w:pStyle w:val="TableContents"/>
              <w:spacing w:before="0" w:after="283"/>
              <w:jc w:val="left"/>
              <w:rPr/>
            </w:pPr>
            <w:r>
              <w:rPr/>
              <w:t> </w:t>
            </w:r>
          </w:p>
        </w:tc>
        <w:tc>
          <w:tcPr>
            <w:tcW w:w="65" w:type="dxa"/>
            <w:tcBorders/>
            <w:shd w:fill="auto" w:val="clear"/>
            <w:vAlign w:val="bottom"/>
          </w:tcPr>
          <w:p>
            <w:pPr>
              <w:pStyle w:val="TableContents"/>
              <w:spacing w:before="0" w:after="283"/>
              <w:jc w:val="right"/>
              <w:rPr/>
            </w:pPr>
            <w:r>
              <w:rPr/>
              <w:t> </w:t>
            </w:r>
          </w:p>
        </w:tc>
        <w:tc>
          <w:tcPr>
            <w:tcW w:w="137"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713"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(15,725</w:t>
            </w:r>
          </w:p>
        </w:tc>
        <w:tc>
          <w:tcPr>
            <w:tcW w:w="95"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r>
    </w:tbl>
    <w:p>
      <w:pPr>
        <w:pStyle w:val="TextBody"/>
        <w:spacing w:before="0" w:after="0"/>
        <w:jc w:val="left"/>
        <w:rPr/>
      </w:pPr>
      <w:r>
        <w:rPr/>
      </w:r>
    </w:p>
    <w:p>
      <w:pPr>
        <w:pStyle w:val="TextBody"/>
        <w:spacing w:before="0" w:after="0"/>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b w:val="false"/>
            <w:i/>
            <w:color w:val="000000"/>
            <w:sz w:val="16"/>
          </w:rPr>
          <w:t>Table of Contents</w:t>
        </w:r>
      </w:hyperlink>
    </w:p>
    <w:p>
      <w:pPr>
        <w:pStyle w:val="TextBody"/>
        <w:spacing w:before="0" w:after="0"/>
        <w:jc w:val="center"/>
        <w:rPr>
          <w:rFonts w:ascii="Times New Roman" w:hAnsi="Times New Roman"/>
          <w:b/>
          <w:color w:val="000000"/>
          <w:sz w:val="20"/>
        </w:rPr>
      </w:pPr>
      <w:r>
        <w:rPr>
          <w:rFonts w:ascii="Times New Roman" w:hAnsi="Times New Roman"/>
          <w:b/>
          <w:color w:val="000000"/>
          <w:sz w:val="20"/>
        </w:rPr>
        <w:t>SOUTH PLAINS FINANCIAL, INC. AND SUBSIDIARIES</w:t>
      </w:r>
    </w:p>
    <w:p>
      <w:pPr>
        <w:pStyle w:val="TextBody"/>
        <w:spacing w:before="0" w:after="0"/>
        <w:jc w:val="center"/>
        <w:rPr>
          <w:rFonts w:ascii="Times New Roman" w:hAnsi="Times New Roman"/>
          <w:b/>
          <w:color w:val="000000"/>
          <w:sz w:val="20"/>
        </w:rPr>
      </w:pPr>
      <w:r>
        <w:rPr>
          <w:rFonts w:ascii="Times New Roman" w:hAnsi="Times New Roman"/>
          <w:b/>
          <w:color w:val="000000"/>
          <w:sz w:val="20"/>
        </w:rPr>
        <w:t>CONSOLIDATED STATEMENTS OF</w:t>
      </w:r>
      <w:bookmarkStart w:id="6" w:name="CHANGESINSTOCKHOLDERSEQUI"/>
      <w:bookmarkEnd w:id="6"/>
      <w:r>
        <w:rPr>
          <w:rFonts w:ascii="Times New Roman" w:hAnsi="Times New Roman"/>
          <w:b/>
          <w:color w:val="000000"/>
          <w:sz w:val="20"/>
        </w:rPr>
        <w:t xml:space="preserve"> CHANGES IN STOCKHOLDERS’ EQUITY</w:t>
      </w:r>
    </w:p>
    <w:p>
      <w:pPr>
        <w:pStyle w:val="TextBody"/>
        <w:spacing w:before="0" w:after="0"/>
        <w:jc w:val="center"/>
        <w:rPr>
          <w:rFonts w:ascii="Times New Roman" w:hAnsi="Times New Roman"/>
          <w:b/>
          <w:color w:val="000000"/>
          <w:sz w:val="20"/>
        </w:rPr>
      </w:pPr>
      <w:r>
        <w:rPr>
          <w:rFonts w:ascii="Times New Roman" w:hAnsi="Times New Roman"/>
          <w:b/>
          <w:color w:val="000000"/>
          <w:sz w:val="20"/>
        </w:rPr>
        <w:t>(Unaudited)</w:t>
      </w:r>
    </w:p>
    <w:p>
      <w:pPr>
        <w:pStyle w:val="TextBody"/>
        <w:spacing w:before="0" w:after="0"/>
        <w:jc w:val="center"/>
        <w:rPr>
          <w:rFonts w:ascii="Times New Roman" w:hAnsi="Times New Roman"/>
          <w:b/>
          <w:color w:val="000000"/>
          <w:sz w:val="20"/>
        </w:rPr>
      </w:pPr>
      <w:r>
        <w:rPr>
          <w:rFonts w:ascii="Times New Roman" w:hAnsi="Times New Roman"/>
          <w:b/>
          <w:color w:val="000000"/>
          <w:sz w:val="20"/>
        </w:rPr>
        <w:t>(Dollars in thousands, except per share data)</w:t>
      </w:r>
    </w:p>
    <w:p>
      <w:pPr>
        <w:pStyle w:val="TextBody"/>
        <w:spacing w:before="0" w:after="0"/>
        <w:jc w:val="left"/>
        <w:rPr/>
      </w:pPr>
      <w:r>
        <w:rPr/>
      </w:r>
    </w:p>
    <w:tbl>
      <w:tblPr>
        <w:tblW w:w="10205" w:type="dxa"/>
        <w:jc w:val="left"/>
        <w:tblInd w:w="0" w:type="dxa"/>
        <w:tblCellMar>
          <w:top w:w="0" w:type="dxa"/>
          <w:left w:w="0" w:type="dxa"/>
          <w:bottom w:w="0" w:type="dxa"/>
          <w:right w:w="0" w:type="dxa"/>
        </w:tblCellMar>
      </w:tblPr>
      <w:tblGrid>
        <w:gridCol w:w="3120"/>
        <w:gridCol w:w="60"/>
        <w:gridCol w:w="60"/>
        <w:gridCol w:w="1100"/>
        <w:gridCol w:w="95"/>
        <w:gridCol w:w="60"/>
        <w:gridCol w:w="140"/>
        <w:gridCol w:w="680"/>
        <w:gridCol w:w="95"/>
        <w:gridCol w:w="60"/>
        <w:gridCol w:w="140"/>
        <w:gridCol w:w="800"/>
        <w:gridCol w:w="95"/>
        <w:gridCol w:w="60"/>
        <w:gridCol w:w="140"/>
        <w:gridCol w:w="800"/>
        <w:gridCol w:w="95"/>
        <w:gridCol w:w="60"/>
        <w:gridCol w:w="209"/>
        <w:gridCol w:w="1131"/>
        <w:gridCol w:w="95"/>
        <w:gridCol w:w="60"/>
        <w:gridCol w:w="140"/>
        <w:gridCol w:w="800"/>
        <w:gridCol w:w="110"/>
      </w:tblGrid>
      <w:tr>
        <w:trPr/>
        <w:tc>
          <w:tcPr>
            <w:tcW w:w="312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135" w:type="dxa"/>
            <w:gridSpan w:val="6"/>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Common Stock</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40" w:type="dxa"/>
            <w:gridSpan w:val="2"/>
            <w:tcBorders/>
            <w:shd w:fill="auto" w:val="clear"/>
            <w:vAlign w:val="bottom"/>
          </w:tcPr>
          <w:p>
            <w:pPr>
              <w:pStyle w:val="TableContents"/>
              <w:spacing w:before="0" w:after="0"/>
              <w:jc w:val="center"/>
              <w:rPr>
                <w:rFonts w:ascii="Times New Roman" w:hAnsi="Times New Roman"/>
                <w:b/>
                <w:sz w:val="20"/>
              </w:rPr>
            </w:pPr>
            <w:r>
              <w:rPr>
                <w:rFonts w:ascii="Times New Roman" w:hAnsi="Times New Roman"/>
                <w:b/>
                <w:sz w:val="20"/>
              </w:rPr>
              <w:t>Additional</w:t>
            </w:r>
          </w:p>
          <w:p>
            <w:pPr>
              <w:pStyle w:val="TableContents"/>
              <w:spacing w:before="0" w:after="0"/>
              <w:jc w:val="center"/>
              <w:rPr>
                <w:rFonts w:ascii="Times New Roman" w:hAnsi="Times New Roman"/>
                <w:b/>
                <w:sz w:val="20"/>
              </w:rPr>
            </w:pPr>
            <w:r>
              <w:rPr>
                <w:rFonts w:ascii="Times New Roman" w:hAnsi="Times New Roman"/>
                <w:b/>
                <w:sz w:val="20"/>
              </w:rPr>
              <w:t>Paid-in</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40" w:type="dxa"/>
            <w:gridSpan w:val="2"/>
            <w:tcBorders/>
            <w:shd w:fill="auto" w:val="clear"/>
            <w:vAlign w:val="bottom"/>
          </w:tcPr>
          <w:p>
            <w:pPr>
              <w:pStyle w:val="TableContents"/>
              <w:spacing w:before="0" w:after="0"/>
              <w:jc w:val="center"/>
              <w:rPr>
                <w:rFonts w:ascii="Times New Roman" w:hAnsi="Times New Roman"/>
                <w:b/>
                <w:sz w:val="20"/>
              </w:rPr>
            </w:pPr>
            <w:r>
              <w:rPr>
                <w:rFonts w:ascii="Times New Roman" w:hAnsi="Times New Roman"/>
                <w:b/>
                <w:sz w:val="20"/>
              </w:rPr>
              <w:t>Retained</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340" w:type="dxa"/>
            <w:gridSpan w:val="2"/>
            <w:tcBorders/>
            <w:shd w:fill="auto" w:val="clear"/>
            <w:vAlign w:val="bottom"/>
          </w:tcPr>
          <w:p>
            <w:pPr>
              <w:pStyle w:val="TableContents"/>
              <w:spacing w:before="0" w:after="0"/>
              <w:jc w:val="center"/>
              <w:rPr>
                <w:rFonts w:ascii="Times New Roman" w:hAnsi="Times New Roman"/>
                <w:b/>
                <w:sz w:val="20"/>
              </w:rPr>
            </w:pPr>
            <w:r>
              <w:rPr>
                <w:rFonts w:ascii="Times New Roman" w:hAnsi="Times New Roman"/>
                <w:b/>
                <w:sz w:val="20"/>
              </w:rPr>
              <w:t>Accumulated</w:t>
            </w:r>
          </w:p>
          <w:p>
            <w:pPr>
              <w:pStyle w:val="TableContents"/>
              <w:spacing w:before="0" w:after="0"/>
              <w:jc w:val="center"/>
              <w:rPr>
                <w:rFonts w:ascii="Times New Roman" w:hAnsi="Times New Roman"/>
                <w:b/>
                <w:sz w:val="20"/>
              </w:rPr>
            </w:pPr>
            <w:r>
              <w:rPr>
                <w:rFonts w:ascii="Times New Roman" w:hAnsi="Times New Roman"/>
                <w:b/>
                <w:sz w:val="20"/>
              </w:rPr>
              <w:t>Other</w:t>
            </w:r>
          </w:p>
          <w:p>
            <w:pPr>
              <w:pStyle w:val="TableContents"/>
              <w:spacing w:before="0" w:after="0"/>
              <w:jc w:val="center"/>
              <w:rPr>
                <w:rFonts w:ascii="Times New Roman" w:hAnsi="Times New Roman"/>
                <w:b/>
                <w:sz w:val="20"/>
              </w:rPr>
            </w:pPr>
            <w:r>
              <w:rPr>
                <w:rFonts w:ascii="Times New Roman" w:hAnsi="Times New Roman"/>
                <w:b/>
                <w:sz w:val="20"/>
              </w:rPr>
              <w:t>Comprehensive</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40" w:type="dxa"/>
            <w:gridSpan w:val="2"/>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r>
      <w:tr>
        <w:trPr/>
        <w:tc>
          <w:tcPr>
            <w:tcW w:w="3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6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Shares</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2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Amount</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4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Capital</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4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Earnings</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34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Income (Loss)</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4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Total</w:t>
            </w:r>
          </w:p>
        </w:tc>
        <w:tc>
          <w:tcPr>
            <w:tcW w:w="110" w:type="dxa"/>
            <w:tcBorders/>
            <w:shd w:fill="auto" w:val="clear"/>
            <w:vAlign w:val="bottom"/>
          </w:tcPr>
          <w:p>
            <w:pPr>
              <w:pStyle w:val="TableContents"/>
              <w:spacing w:before="0" w:after="283"/>
              <w:jc w:val="left"/>
              <w:rPr/>
            </w:pPr>
            <w:r>
              <w:rPr/>
              <w:t> </w:t>
            </w:r>
          </w:p>
        </w:tc>
      </w:tr>
      <w:tr>
        <w:trPr/>
        <w:tc>
          <w:tcPr>
            <w:tcW w:w="3120" w:type="dxa"/>
            <w:tcBorders/>
            <w:shd w:fill="auto" w:val="clear"/>
            <w:vAlign w:val="bottom"/>
          </w:tcPr>
          <w:p>
            <w:pPr>
              <w:pStyle w:val="TableContents"/>
              <w:spacing w:before="0" w:after="0"/>
              <w:ind w:left="180" w:right="0" w:hanging="0"/>
              <w:jc w:val="left"/>
              <w:rPr>
                <w:rFonts w:ascii="Times New Roman" w:hAnsi="Times New Roman"/>
                <w:b/>
                <w:sz w:val="20"/>
              </w:rPr>
            </w:pPr>
            <w:r>
              <w:rPr>
                <w:rFonts w:ascii="Times New Roman" w:hAnsi="Times New Roman"/>
                <w:b/>
                <w:sz w:val="20"/>
              </w:rPr>
              <w:t>Three Months Ended March 31,</w:t>
            </w:r>
          </w:p>
        </w:tc>
        <w:tc>
          <w:tcPr>
            <w:tcW w:w="60" w:type="dxa"/>
            <w:tcBorders/>
            <w:shd w:fill="auto" w:val="clear"/>
            <w:vAlign w:val="bottom"/>
          </w:tcPr>
          <w:p>
            <w:pPr>
              <w:pStyle w:val="TableContents"/>
              <w:spacing w:before="0" w:after="283"/>
              <w:rPr/>
            </w:pPr>
            <w:r>
              <w:rPr/>
              <w:t> </w:t>
            </w:r>
          </w:p>
        </w:tc>
        <w:tc>
          <w:tcPr>
            <w:tcW w:w="1160" w:type="dxa"/>
            <w:gridSpan w:val="2"/>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20" w:type="dxa"/>
            <w:gridSpan w:val="2"/>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40" w:type="dxa"/>
            <w:gridSpan w:val="2"/>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40" w:type="dxa"/>
            <w:gridSpan w:val="2"/>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340" w:type="dxa"/>
            <w:gridSpan w:val="2"/>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40" w:type="dxa"/>
            <w:gridSpan w:val="2"/>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r>
      <w:tr>
        <w:trPr/>
        <w:tc>
          <w:tcPr>
            <w:tcW w:w="3120" w:type="dxa"/>
            <w:tcBorders/>
            <w:shd w:fill="CCEEFF" w:val="cle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Balance at January 1, 2022</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1100" w:type="dxa"/>
            <w:tcBorders/>
            <w:shd w:fill="CCEEFF" w:val="clear"/>
            <w:vAlign w:val="bottom"/>
          </w:tcPr>
          <w:p>
            <w:pPr>
              <w:pStyle w:val="TableContents"/>
              <w:spacing w:before="0" w:after="283"/>
              <w:jc w:val="right"/>
              <w:rPr/>
            </w:pPr>
            <w:r>
              <w:rPr/>
              <w:t>17,760,243</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w:t>
            </w:r>
          </w:p>
        </w:tc>
        <w:tc>
          <w:tcPr>
            <w:tcW w:w="680" w:type="dxa"/>
            <w:tcBorders/>
            <w:shd w:fill="CCEEFF" w:val="clear"/>
            <w:vAlign w:val="bottom"/>
          </w:tcPr>
          <w:p>
            <w:pPr>
              <w:pStyle w:val="TableContents"/>
              <w:spacing w:before="0" w:after="283"/>
              <w:jc w:val="right"/>
              <w:rPr/>
            </w:pPr>
            <w:r>
              <w:rPr/>
              <w:t>17,760</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w:t>
            </w:r>
          </w:p>
        </w:tc>
        <w:tc>
          <w:tcPr>
            <w:tcW w:w="800" w:type="dxa"/>
            <w:tcBorders/>
            <w:shd w:fill="CCEEFF" w:val="clear"/>
            <w:vAlign w:val="bottom"/>
          </w:tcPr>
          <w:p>
            <w:pPr>
              <w:pStyle w:val="TableContents"/>
              <w:spacing w:before="0" w:after="283"/>
              <w:jc w:val="right"/>
              <w:rPr/>
            </w:pPr>
            <w:r>
              <w:rPr/>
              <w:t>133,215</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w:t>
            </w:r>
          </w:p>
        </w:tc>
        <w:tc>
          <w:tcPr>
            <w:tcW w:w="800" w:type="dxa"/>
            <w:tcBorders/>
            <w:shd w:fill="CCEEFF" w:val="clear"/>
            <w:vAlign w:val="bottom"/>
          </w:tcPr>
          <w:p>
            <w:pPr>
              <w:pStyle w:val="TableContents"/>
              <w:spacing w:before="0" w:after="283"/>
              <w:jc w:val="right"/>
              <w:rPr/>
            </w:pPr>
            <w:r>
              <w:rPr/>
              <w:t>242,750</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09" w:type="dxa"/>
            <w:tcBorders/>
            <w:shd w:fill="CCEEFF" w:val="clear"/>
            <w:vAlign w:val="bottom"/>
          </w:tcPr>
          <w:p>
            <w:pPr>
              <w:pStyle w:val="TableContents"/>
              <w:spacing w:before="0" w:after="283"/>
              <w:jc w:val="left"/>
              <w:rPr/>
            </w:pPr>
            <w:r>
              <w:rPr/>
              <w:t>$</w:t>
            </w:r>
          </w:p>
        </w:tc>
        <w:tc>
          <w:tcPr>
            <w:tcW w:w="1131" w:type="dxa"/>
            <w:tcBorders/>
            <w:shd w:fill="CCEEFF" w:val="clear"/>
            <w:vAlign w:val="bottom"/>
          </w:tcPr>
          <w:p>
            <w:pPr>
              <w:pStyle w:val="TableContents"/>
              <w:spacing w:before="0" w:after="283"/>
              <w:jc w:val="right"/>
              <w:rPr/>
            </w:pPr>
            <w:r>
              <w:rPr/>
              <w:t>13,702</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w:t>
            </w:r>
          </w:p>
        </w:tc>
        <w:tc>
          <w:tcPr>
            <w:tcW w:w="800" w:type="dxa"/>
            <w:tcBorders/>
            <w:shd w:fill="CCEEFF" w:val="clear"/>
            <w:vAlign w:val="bottom"/>
          </w:tcPr>
          <w:p>
            <w:pPr>
              <w:pStyle w:val="TableContents"/>
              <w:spacing w:before="0" w:after="283"/>
              <w:jc w:val="right"/>
              <w:rPr/>
            </w:pPr>
            <w:r>
              <w:rPr/>
              <w:t>407,427</w:t>
            </w:r>
          </w:p>
        </w:tc>
        <w:tc>
          <w:tcPr>
            <w:tcW w:w="110" w:type="dxa"/>
            <w:tcBorders/>
            <w:shd w:fill="CCEEFF" w:val="clear"/>
            <w:vAlign w:val="bottom"/>
          </w:tcPr>
          <w:p>
            <w:pPr>
              <w:pStyle w:val="TableContents"/>
              <w:spacing w:before="0" w:after="283"/>
              <w:jc w:val="left"/>
              <w:rPr/>
            </w:pPr>
            <w:r>
              <w:rPr/>
              <w:t> </w:t>
            </w:r>
          </w:p>
        </w:tc>
      </w:tr>
      <w:tr>
        <w:trPr/>
        <w:tc>
          <w:tcPr>
            <w:tcW w:w="3120" w:type="dxa"/>
            <w:tcBorders/>
            <w:shd w:fill="auto"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Net income</w:t>
            </w:r>
          </w:p>
        </w:tc>
        <w:tc>
          <w:tcPr>
            <w:tcW w:w="6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1100"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680"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283"/>
              <w:jc w:val="right"/>
              <w:rPr/>
            </w:pPr>
            <w:r>
              <w:rPr/>
              <w:t>14,278</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09" w:type="dxa"/>
            <w:tcBorders/>
            <w:shd w:fill="auto" w:val="clear"/>
            <w:vAlign w:val="bottom"/>
          </w:tcPr>
          <w:p>
            <w:pPr>
              <w:pStyle w:val="TableContents"/>
              <w:spacing w:before="0" w:after="283"/>
              <w:jc w:val="left"/>
              <w:rPr/>
            </w:pPr>
            <w:r>
              <w:rPr/>
              <w:t> </w:t>
            </w:r>
          </w:p>
        </w:tc>
        <w:tc>
          <w:tcPr>
            <w:tcW w:w="1131"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283"/>
              <w:jc w:val="right"/>
              <w:rPr/>
            </w:pPr>
            <w:r>
              <w:rPr/>
              <w:t>14,278</w:t>
            </w:r>
          </w:p>
        </w:tc>
        <w:tc>
          <w:tcPr>
            <w:tcW w:w="110" w:type="dxa"/>
            <w:tcBorders/>
            <w:shd w:fill="auto" w:val="clear"/>
            <w:vAlign w:val="bottom"/>
          </w:tcPr>
          <w:p>
            <w:pPr>
              <w:pStyle w:val="TableContents"/>
              <w:spacing w:before="0" w:after="283"/>
              <w:jc w:val="left"/>
              <w:rPr/>
            </w:pPr>
            <w:r>
              <w:rPr/>
              <w:t> </w:t>
            </w:r>
          </w:p>
        </w:tc>
      </w:tr>
      <w:tr>
        <w:trPr/>
        <w:tc>
          <w:tcPr>
            <w:tcW w:w="3120" w:type="dxa"/>
            <w:tcBorders/>
            <w:shd w:fill="CCEEFF" w:val="cle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Cash dividends declared - $0.11 per share</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1100"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680"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800"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800" w:type="dxa"/>
            <w:tcBorders/>
            <w:shd w:fill="CCEEFF" w:val="clear"/>
            <w:vAlign w:val="bottom"/>
          </w:tcPr>
          <w:p>
            <w:pPr>
              <w:pStyle w:val="TableContents"/>
              <w:spacing w:before="0" w:after="283"/>
              <w:jc w:val="right"/>
              <w:rPr/>
            </w:pPr>
            <w:r>
              <w:rPr/>
              <w:t>(1,950</w:t>
            </w:r>
          </w:p>
        </w:tc>
        <w:tc>
          <w:tcPr>
            <w:tcW w:w="95" w:type="dxa"/>
            <w:tcBorders/>
            <w:shd w:fill="CCEEFF" w:val="clear"/>
            <w:vAlign w:val="bottom"/>
          </w:tcPr>
          <w:p>
            <w:pPr>
              <w:pStyle w:val="TableContents"/>
              <w:spacing w:before="0" w:after="283"/>
              <w:jc w:val="left"/>
              <w:rPr/>
            </w:pPr>
            <w:r>
              <w:rPr/>
              <w:t>)</w:t>
            </w:r>
          </w:p>
        </w:tc>
        <w:tc>
          <w:tcPr>
            <w:tcW w:w="60" w:type="dxa"/>
            <w:tcBorders/>
            <w:shd w:fill="CCEEFF" w:val="clear"/>
            <w:vAlign w:val="bottom"/>
          </w:tcPr>
          <w:p>
            <w:pPr>
              <w:pStyle w:val="TableContents"/>
              <w:spacing w:before="0" w:after="283"/>
              <w:jc w:val="right"/>
              <w:rPr/>
            </w:pPr>
            <w:r>
              <w:rPr/>
              <w:t> </w:t>
            </w:r>
          </w:p>
        </w:tc>
        <w:tc>
          <w:tcPr>
            <w:tcW w:w="209" w:type="dxa"/>
            <w:tcBorders/>
            <w:shd w:fill="CCEEFF" w:val="clear"/>
            <w:vAlign w:val="bottom"/>
          </w:tcPr>
          <w:p>
            <w:pPr>
              <w:pStyle w:val="TableContents"/>
              <w:spacing w:before="0" w:after="283"/>
              <w:jc w:val="left"/>
              <w:rPr/>
            </w:pPr>
            <w:r>
              <w:rPr/>
              <w:t> </w:t>
            </w:r>
          </w:p>
        </w:tc>
        <w:tc>
          <w:tcPr>
            <w:tcW w:w="1131"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800" w:type="dxa"/>
            <w:tcBorders/>
            <w:shd w:fill="CCEEFF" w:val="clear"/>
            <w:vAlign w:val="bottom"/>
          </w:tcPr>
          <w:p>
            <w:pPr>
              <w:pStyle w:val="TableContents"/>
              <w:spacing w:before="0" w:after="283"/>
              <w:jc w:val="right"/>
              <w:rPr/>
            </w:pPr>
            <w:r>
              <w:rPr/>
              <w:t>(1,950</w:t>
            </w:r>
          </w:p>
        </w:tc>
        <w:tc>
          <w:tcPr>
            <w:tcW w:w="110" w:type="dxa"/>
            <w:tcBorders/>
            <w:shd w:fill="CCEEFF" w:val="clear"/>
            <w:vAlign w:val="bottom"/>
          </w:tcPr>
          <w:p>
            <w:pPr>
              <w:pStyle w:val="TableContents"/>
              <w:spacing w:before="0" w:after="283"/>
              <w:jc w:val="left"/>
              <w:rPr/>
            </w:pPr>
            <w:r>
              <w:rPr/>
              <w:t>)</w:t>
            </w:r>
          </w:p>
        </w:tc>
      </w:tr>
      <w:tr>
        <w:trPr/>
        <w:tc>
          <w:tcPr>
            <w:tcW w:w="3120" w:type="dxa"/>
            <w:tcBorders/>
            <w:shd w:fill="auto"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Other comprehensive loss</w:t>
            </w:r>
          </w:p>
        </w:tc>
        <w:tc>
          <w:tcPr>
            <w:tcW w:w="6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1100"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680"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09" w:type="dxa"/>
            <w:tcBorders/>
            <w:shd w:fill="auto" w:val="clear"/>
            <w:vAlign w:val="bottom"/>
          </w:tcPr>
          <w:p>
            <w:pPr>
              <w:pStyle w:val="TableContents"/>
              <w:spacing w:before="0" w:after="283"/>
              <w:jc w:val="left"/>
              <w:rPr/>
            </w:pPr>
            <w:r>
              <w:rPr/>
              <w:t> </w:t>
            </w:r>
          </w:p>
        </w:tc>
        <w:tc>
          <w:tcPr>
            <w:tcW w:w="1131" w:type="dxa"/>
            <w:tcBorders/>
            <w:shd w:fill="auto" w:val="clear"/>
            <w:vAlign w:val="bottom"/>
          </w:tcPr>
          <w:p>
            <w:pPr>
              <w:pStyle w:val="TableContents"/>
              <w:spacing w:before="0" w:after="283"/>
              <w:jc w:val="right"/>
              <w:rPr/>
            </w:pPr>
            <w:r>
              <w:rPr/>
              <w:t>(30,003</w:t>
            </w:r>
          </w:p>
        </w:tc>
        <w:tc>
          <w:tcPr>
            <w:tcW w:w="95" w:type="dxa"/>
            <w:tcBorders/>
            <w:shd w:fill="auto" w:val="clear"/>
            <w:vAlign w:val="bottom"/>
          </w:tcPr>
          <w:p>
            <w:pPr>
              <w:pStyle w:val="TableContents"/>
              <w:spacing w:before="0" w:after="283"/>
              <w:jc w:val="left"/>
              <w:rPr/>
            </w:pPr>
            <w:r>
              <w:rPr/>
              <w:t>)</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283"/>
              <w:jc w:val="right"/>
              <w:rPr/>
            </w:pPr>
            <w:r>
              <w:rPr/>
              <w:t>(30,003</w:t>
            </w:r>
          </w:p>
        </w:tc>
        <w:tc>
          <w:tcPr>
            <w:tcW w:w="110" w:type="dxa"/>
            <w:tcBorders/>
            <w:shd w:fill="auto" w:val="clear"/>
            <w:vAlign w:val="bottom"/>
          </w:tcPr>
          <w:p>
            <w:pPr>
              <w:pStyle w:val="TableContents"/>
              <w:spacing w:before="0" w:after="283"/>
              <w:jc w:val="left"/>
              <w:rPr/>
            </w:pPr>
            <w:r>
              <w:rPr/>
              <w:t>)</w:t>
            </w:r>
          </w:p>
        </w:tc>
      </w:tr>
      <w:tr>
        <w:trPr/>
        <w:tc>
          <w:tcPr>
            <w:tcW w:w="3120" w:type="dxa"/>
            <w:tcBorders/>
            <w:shd w:fill="CCEEFF" w:val="clear"/>
            <w:vAlign w:val="bottom"/>
          </w:tcPr>
          <w:p>
            <w:pPr>
              <w:pStyle w:val="TableContents"/>
              <w:spacing w:before="0" w:after="0"/>
              <w:ind w:left="180" w:right="0" w:hanging="0"/>
              <w:rPr/>
            </w:pPr>
            <w:r>
              <w:rPr/>
              <w:t>Exercise of employee stock options and vesting of restricted stock units, net of 4,824 shares for cashless exercise and net of 6,857 shares for taxes</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1100" w:type="dxa"/>
            <w:tcBorders/>
            <w:shd w:fill="CCEEFF" w:val="clear"/>
            <w:vAlign w:val="bottom"/>
          </w:tcPr>
          <w:p>
            <w:pPr>
              <w:pStyle w:val="TableContents"/>
              <w:spacing w:before="0" w:after="283"/>
              <w:jc w:val="right"/>
              <w:rPr/>
            </w:pPr>
            <w:r>
              <w:rPr/>
              <w:t>19,662</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680" w:type="dxa"/>
            <w:tcBorders/>
            <w:shd w:fill="CCEEFF" w:val="clear"/>
            <w:vAlign w:val="bottom"/>
          </w:tcPr>
          <w:p>
            <w:pPr>
              <w:pStyle w:val="TableContents"/>
              <w:spacing w:before="0" w:after="283"/>
              <w:jc w:val="right"/>
              <w:rPr/>
            </w:pPr>
            <w:r>
              <w:rPr/>
              <w:t>19</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800" w:type="dxa"/>
            <w:tcBorders/>
            <w:shd w:fill="CCEEFF" w:val="clear"/>
            <w:vAlign w:val="bottom"/>
          </w:tcPr>
          <w:p>
            <w:pPr>
              <w:pStyle w:val="TableContents"/>
              <w:spacing w:before="0" w:after="283"/>
              <w:jc w:val="right"/>
              <w:rPr/>
            </w:pPr>
            <w:r>
              <w:rPr/>
              <w:t>(214</w:t>
            </w:r>
          </w:p>
        </w:tc>
        <w:tc>
          <w:tcPr>
            <w:tcW w:w="95" w:type="dxa"/>
            <w:tcBorders/>
            <w:shd w:fill="CCEEFF" w:val="clear"/>
            <w:vAlign w:val="bottom"/>
          </w:tcPr>
          <w:p>
            <w:pPr>
              <w:pStyle w:val="TableContents"/>
              <w:spacing w:before="0" w:after="283"/>
              <w:jc w:val="left"/>
              <w:rPr/>
            </w:pPr>
            <w:r>
              <w:rPr/>
              <w:t>)</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800"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09" w:type="dxa"/>
            <w:tcBorders/>
            <w:shd w:fill="CCEEFF" w:val="clear"/>
            <w:vAlign w:val="bottom"/>
          </w:tcPr>
          <w:p>
            <w:pPr>
              <w:pStyle w:val="TableContents"/>
              <w:spacing w:before="0" w:after="283"/>
              <w:jc w:val="left"/>
              <w:rPr/>
            </w:pPr>
            <w:r>
              <w:rPr/>
              <w:t> </w:t>
            </w:r>
          </w:p>
        </w:tc>
        <w:tc>
          <w:tcPr>
            <w:tcW w:w="1131"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800" w:type="dxa"/>
            <w:tcBorders/>
            <w:shd w:fill="CCEEFF" w:val="clear"/>
            <w:vAlign w:val="bottom"/>
          </w:tcPr>
          <w:p>
            <w:pPr>
              <w:pStyle w:val="TableContents"/>
              <w:spacing w:before="0" w:after="283"/>
              <w:jc w:val="right"/>
              <w:rPr/>
            </w:pPr>
            <w:r>
              <w:rPr/>
              <w:t>(195</w:t>
            </w:r>
          </w:p>
        </w:tc>
        <w:tc>
          <w:tcPr>
            <w:tcW w:w="110" w:type="dxa"/>
            <w:tcBorders/>
            <w:shd w:fill="CCEEFF" w:val="clear"/>
            <w:vAlign w:val="bottom"/>
          </w:tcPr>
          <w:p>
            <w:pPr>
              <w:pStyle w:val="TableContents"/>
              <w:spacing w:before="0" w:after="283"/>
              <w:jc w:val="left"/>
              <w:rPr/>
            </w:pPr>
            <w:r>
              <w:rPr/>
              <w:t>)</w:t>
            </w:r>
          </w:p>
        </w:tc>
      </w:tr>
      <w:tr>
        <w:trPr/>
        <w:tc>
          <w:tcPr>
            <w:tcW w:w="3120" w:type="dxa"/>
            <w:tcBorders/>
            <w:shd w:fill="auto" w:val="clear"/>
            <w:vAlign w:val="bottom"/>
          </w:tcPr>
          <w:p>
            <w:pPr>
              <w:pStyle w:val="TableContents"/>
              <w:spacing w:before="0" w:after="283"/>
              <w:rPr/>
            </w:pPr>
            <w:r>
              <w:rPr/>
              <w:t>Repurchases of common stock</w:t>
            </w:r>
          </w:p>
        </w:tc>
        <w:tc>
          <w:tcPr>
            <w:tcW w:w="6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1100" w:type="dxa"/>
            <w:tcBorders/>
            <w:shd w:fill="auto" w:val="clear"/>
            <w:vAlign w:val="bottom"/>
          </w:tcPr>
          <w:p>
            <w:pPr>
              <w:pStyle w:val="TableContents"/>
              <w:spacing w:before="0" w:after="283"/>
              <w:jc w:val="right"/>
              <w:rPr/>
            </w:pPr>
            <w:r>
              <w:rPr/>
              <w:t>(106,498</w:t>
            </w:r>
          </w:p>
        </w:tc>
        <w:tc>
          <w:tcPr>
            <w:tcW w:w="95" w:type="dxa"/>
            <w:tcBorders/>
            <w:shd w:fill="auto" w:val="clear"/>
            <w:vAlign w:val="bottom"/>
          </w:tcPr>
          <w:p>
            <w:pPr>
              <w:pStyle w:val="TableContents"/>
              <w:spacing w:before="0" w:after="283"/>
              <w:jc w:val="left"/>
              <w:rPr/>
            </w:pPr>
            <w:r>
              <w:rPr/>
              <w:t>)</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680" w:type="dxa"/>
            <w:tcBorders/>
            <w:shd w:fill="auto" w:val="clear"/>
            <w:vAlign w:val="bottom"/>
          </w:tcPr>
          <w:p>
            <w:pPr>
              <w:pStyle w:val="TableContents"/>
              <w:spacing w:before="0" w:after="283"/>
              <w:jc w:val="right"/>
              <w:rPr/>
            </w:pPr>
            <w:r>
              <w:rPr/>
              <w:t>(106</w:t>
            </w:r>
          </w:p>
        </w:tc>
        <w:tc>
          <w:tcPr>
            <w:tcW w:w="95" w:type="dxa"/>
            <w:tcBorders/>
            <w:shd w:fill="auto" w:val="clear"/>
            <w:vAlign w:val="bottom"/>
          </w:tcPr>
          <w:p>
            <w:pPr>
              <w:pStyle w:val="TableContents"/>
              <w:spacing w:before="0" w:after="283"/>
              <w:jc w:val="left"/>
              <w:rPr/>
            </w:pPr>
            <w:r>
              <w:rPr/>
              <w:t>)</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283"/>
              <w:jc w:val="right"/>
              <w:rPr/>
            </w:pPr>
            <w:r>
              <w:rPr/>
              <w:t>(2,911</w:t>
            </w:r>
          </w:p>
        </w:tc>
        <w:tc>
          <w:tcPr>
            <w:tcW w:w="95" w:type="dxa"/>
            <w:tcBorders/>
            <w:shd w:fill="auto" w:val="clear"/>
            <w:vAlign w:val="bottom"/>
          </w:tcPr>
          <w:p>
            <w:pPr>
              <w:pStyle w:val="TableContents"/>
              <w:spacing w:before="0" w:after="283"/>
              <w:jc w:val="left"/>
              <w:rPr/>
            </w:pPr>
            <w:r>
              <w:rPr/>
              <w:t>)</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09" w:type="dxa"/>
            <w:tcBorders/>
            <w:shd w:fill="auto" w:val="clear"/>
            <w:vAlign w:val="bottom"/>
          </w:tcPr>
          <w:p>
            <w:pPr>
              <w:pStyle w:val="TableContents"/>
              <w:spacing w:before="0" w:after="283"/>
              <w:jc w:val="left"/>
              <w:rPr/>
            </w:pPr>
            <w:r>
              <w:rPr/>
              <w:t> </w:t>
            </w:r>
          </w:p>
        </w:tc>
        <w:tc>
          <w:tcPr>
            <w:tcW w:w="1131"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283"/>
              <w:jc w:val="right"/>
              <w:rPr/>
            </w:pPr>
            <w:r>
              <w:rPr/>
              <w:t>(3,017</w:t>
            </w:r>
          </w:p>
        </w:tc>
        <w:tc>
          <w:tcPr>
            <w:tcW w:w="110" w:type="dxa"/>
            <w:tcBorders/>
            <w:shd w:fill="auto" w:val="clear"/>
            <w:vAlign w:val="bottom"/>
          </w:tcPr>
          <w:p>
            <w:pPr>
              <w:pStyle w:val="TableContents"/>
              <w:spacing w:before="0" w:after="283"/>
              <w:jc w:val="left"/>
              <w:rPr/>
            </w:pPr>
            <w:r>
              <w:rPr/>
              <w:t>)</w:t>
            </w:r>
          </w:p>
        </w:tc>
      </w:tr>
      <w:tr>
        <w:trPr/>
        <w:tc>
          <w:tcPr>
            <w:tcW w:w="3120" w:type="dxa"/>
            <w:tcBorders/>
            <w:shd w:fill="CCEE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Stock-based compensation</w:t>
            </w:r>
          </w:p>
        </w:tc>
        <w:tc>
          <w:tcPr>
            <w:tcW w:w="60" w:type="dxa"/>
            <w:tcBorders/>
            <w:shd w:fill="CCEEFF" w:val="clear"/>
            <w:vAlign w:val="bottom"/>
          </w:tcPr>
          <w:p>
            <w:pPr>
              <w:pStyle w:val="TableContents"/>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00" w:type="dxa"/>
            <w:tcBorders>
              <w:bottom w:val="single" w:sz="12" w:space="0" w:color="000000"/>
            </w:tcBorders>
            <w:shd w:fill="CCEEFF" w:val="clear"/>
            <w:tcMar>
              <w:bottom w:w="28" w:type="dxa"/>
            </w:tcM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80" w:type="dxa"/>
            <w:tcBorders>
              <w:bottom w:val="single" w:sz="12" w:space="0" w:color="000000"/>
            </w:tcBorders>
            <w:shd w:fill="CCEEFF" w:val="clear"/>
            <w:tcMar>
              <w:bottom w:w="28" w:type="dxa"/>
            </w:tcM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spacing w:before="0" w:after="283"/>
              <w:jc w:val="right"/>
              <w:rPr/>
            </w:pPr>
            <w:r>
              <w:rPr/>
              <w:t>528</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09"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31" w:type="dxa"/>
            <w:tcBorders>
              <w:bottom w:val="single" w:sz="12" w:space="0" w:color="000000"/>
            </w:tcBorders>
            <w:shd w:fill="CCEEFF" w:val="clear"/>
            <w:tcMar>
              <w:bottom w:w="28" w:type="dxa"/>
            </w:tcM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spacing w:before="0" w:after="283"/>
              <w:jc w:val="right"/>
              <w:rPr/>
            </w:pPr>
            <w:r>
              <w:rPr/>
              <w:t>528</w:t>
            </w:r>
          </w:p>
        </w:tc>
        <w:tc>
          <w:tcPr>
            <w:tcW w:w="110" w:type="dxa"/>
            <w:tcBorders/>
            <w:shd w:fill="CCEEFF" w:val="clear"/>
            <w:vAlign w:val="bottom"/>
          </w:tcPr>
          <w:p>
            <w:pPr>
              <w:pStyle w:val="TableContents"/>
              <w:spacing w:before="0" w:after="283"/>
              <w:jc w:val="left"/>
              <w:rPr/>
            </w:pPr>
            <w:r>
              <w:rPr/>
              <w:t> </w:t>
            </w:r>
          </w:p>
        </w:tc>
      </w:tr>
      <w:tr>
        <w:trPr/>
        <w:tc>
          <w:tcPr>
            <w:tcW w:w="3120" w:type="dxa"/>
            <w:tcBorders/>
            <w:shd w:fill="auto" w:val="cle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Balance at March 31, 2022</w:t>
            </w:r>
          </w:p>
        </w:tc>
        <w:tc>
          <w:tcPr>
            <w:tcW w:w="60" w:type="dxa"/>
            <w:tcBorders/>
            <w:shd w:fill="auto" w:val="clear"/>
            <w:vAlign w:val="bottom"/>
          </w:tcPr>
          <w:p>
            <w:pPr>
              <w:pStyle w:val="TableContents"/>
              <w:spacing w:before="0" w:after="283"/>
              <w:jc w:val="right"/>
              <w:rPr/>
            </w:pPr>
            <w:r>
              <w:rPr/>
              <w:t> </w:t>
            </w:r>
          </w:p>
        </w:tc>
        <w:tc>
          <w:tcPr>
            <w:tcW w:w="60" w:type="dxa"/>
            <w:tcBorders>
              <w:bottom w:val="double" w:sz="8" w:space="0" w:color="000000"/>
            </w:tcBorders>
            <w:shd w:fill="auto" w:val="clear"/>
            <w:tcMar>
              <w:bottom w:w="28" w:type="dxa"/>
            </w:tcMar>
            <w:vAlign w:val="bottom"/>
          </w:tcPr>
          <w:p>
            <w:pPr>
              <w:pStyle w:val="TableContents"/>
              <w:spacing w:before="0" w:after="283"/>
              <w:jc w:val="left"/>
              <w:rPr/>
            </w:pPr>
            <w:r>
              <w:rPr/>
              <w:t> </w:t>
            </w:r>
          </w:p>
        </w:tc>
        <w:tc>
          <w:tcPr>
            <w:tcW w:w="1100" w:type="dxa"/>
            <w:tcBorders>
              <w:bottom w:val="double" w:sz="8" w:space="0" w:color="000000"/>
            </w:tcBorders>
            <w:shd w:fill="auto" w:val="clear"/>
            <w:tcMar>
              <w:bottom w:w="28" w:type="dxa"/>
            </w:tcMar>
            <w:vAlign w:val="bottom"/>
          </w:tcPr>
          <w:p>
            <w:pPr>
              <w:pStyle w:val="TableContents"/>
              <w:spacing w:before="0" w:after="283"/>
              <w:jc w:val="right"/>
              <w:rPr/>
            </w:pPr>
            <w:r>
              <w:rPr/>
              <w:t>17,673,407</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bottom w:val="double" w:sz="8" w:space="0" w:color="000000"/>
            </w:tcBorders>
            <w:shd w:fill="auto" w:val="clear"/>
            <w:tcMar>
              <w:bottom w:w="28" w:type="dxa"/>
            </w:tcMar>
            <w:vAlign w:val="bottom"/>
          </w:tcPr>
          <w:p>
            <w:pPr>
              <w:pStyle w:val="TableContents"/>
              <w:spacing w:before="0" w:after="283"/>
              <w:jc w:val="left"/>
              <w:rPr/>
            </w:pPr>
            <w:r>
              <w:rPr/>
              <w:t>$</w:t>
            </w:r>
          </w:p>
        </w:tc>
        <w:tc>
          <w:tcPr>
            <w:tcW w:w="680" w:type="dxa"/>
            <w:tcBorders>
              <w:bottom w:val="double" w:sz="8" w:space="0" w:color="000000"/>
            </w:tcBorders>
            <w:shd w:fill="auto" w:val="clear"/>
            <w:tcMar>
              <w:bottom w:w="28" w:type="dxa"/>
            </w:tcMar>
            <w:vAlign w:val="bottom"/>
          </w:tcPr>
          <w:p>
            <w:pPr>
              <w:pStyle w:val="TableContents"/>
              <w:spacing w:before="0" w:after="283"/>
              <w:jc w:val="right"/>
              <w:rPr/>
            </w:pPr>
            <w:r>
              <w:rPr/>
              <w:t>17,673</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bottom w:val="double" w:sz="8" w:space="0" w:color="000000"/>
            </w:tcBorders>
            <w:shd w:fill="auto" w:val="clear"/>
            <w:tcMar>
              <w:bottom w:w="28" w:type="dxa"/>
            </w:tcMar>
            <w:vAlign w:val="bottom"/>
          </w:tcPr>
          <w:p>
            <w:pPr>
              <w:pStyle w:val="TableContents"/>
              <w:spacing w:before="0" w:after="283"/>
              <w:jc w:val="left"/>
              <w:rPr/>
            </w:pPr>
            <w:r>
              <w:rPr/>
              <w:t>$</w:t>
            </w:r>
          </w:p>
        </w:tc>
        <w:tc>
          <w:tcPr>
            <w:tcW w:w="800" w:type="dxa"/>
            <w:tcBorders>
              <w:bottom w:val="double" w:sz="8" w:space="0" w:color="000000"/>
            </w:tcBorders>
            <w:shd w:fill="auto" w:val="clear"/>
            <w:tcMar>
              <w:bottom w:w="28" w:type="dxa"/>
            </w:tcMar>
            <w:vAlign w:val="bottom"/>
          </w:tcPr>
          <w:p>
            <w:pPr>
              <w:pStyle w:val="TableContents"/>
              <w:spacing w:before="0" w:after="283"/>
              <w:jc w:val="right"/>
              <w:rPr/>
            </w:pPr>
            <w:r>
              <w:rPr/>
              <w:t>130,618</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bottom w:val="double" w:sz="8" w:space="0" w:color="000000"/>
            </w:tcBorders>
            <w:shd w:fill="auto" w:val="clear"/>
            <w:tcMar>
              <w:bottom w:w="28" w:type="dxa"/>
            </w:tcMar>
            <w:vAlign w:val="bottom"/>
          </w:tcPr>
          <w:p>
            <w:pPr>
              <w:pStyle w:val="TableContents"/>
              <w:spacing w:before="0" w:after="283"/>
              <w:jc w:val="left"/>
              <w:rPr/>
            </w:pPr>
            <w:r>
              <w:rPr/>
              <w:t>$</w:t>
            </w:r>
          </w:p>
        </w:tc>
        <w:tc>
          <w:tcPr>
            <w:tcW w:w="800" w:type="dxa"/>
            <w:tcBorders>
              <w:bottom w:val="double" w:sz="8" w:space="0" w:color="000000"/>
            </w:tcBorders>
            <w:shd w:fill="auto" w:val="clear"/>
            <w:tcMar>
              <w:bottom w:w="28" w:type="dxa"/>
            </w:tcMar>
            <w:vAlign w:val="bottom"/>
          </w:tcPr>
          <w:p>
            <w:pPr>
              <w:pStyle w:val="TableContents"/>
              <w:spacing w:before="0" w:after="283"/>
              <w:jc w:val="right"/>
              <w:rPr/>
            </w:pPr>
            <w:r>
              <w:rPr/>
              <w:t>255,078</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09" w:type="dxa"/>
            <w:tcBorders>
              <w:bottom w:val="double" w:sz="8" w:space="0" w:color="000000"/>
            </w:tcBorders>
            <w:shd w:fill="auto" w:val="clear"/>
            <w:tcMar>
              <w:bottom w:w="28" w:type="dxa"/>
            </w:tcMar>
            <w:vAlign w:val="bottom"/>
          </w:tcPr>
          <w:p>
            <w:pPr>
              <w:pStyle w:val="TableContents"/>
              <w:spacing w:before="0" w:after="283"/>
              <w:jc w:val="left"/>
              <w:rPr/>
            </w:pPr>
            <w:r>
              <w:rPr/>
              <w:t>$</w:t>
            </w:r>
          </w:p>
        </w:tc>
        <w:tc>
          <w:tcPr>
            <w:tcW w:w="1131" w:type="dxa"/>
            <w:tcBorders>
              <w:bottom w:val="double" w:sz="8" w:space="0" w:color="000000"/>
            </w:tcBorders>
            <w:shd w:fill="auto" w:val="clear"/>
            <w:tcMar>
              <w:bottom w:w="28" w:type="dxa"/>
            </w:tcMar>
            <w:vAlign w:val="bottom"/>
          </w:tcPr>
          <w:p>
            <w:pPr>
              <w:pStyle w:val="TableContents"/>
              <w:spacing w:before="0" w:after="283"/>
              <w:jc w:val="right"/>
              <w:rPr/>
            </w:pPr>
            <w:r>
              <w:rPr/>
              <w:t>(16,301</w:t>
            </w:r>
          </w:p>
        </w:tc>
        <w:tc>
          <w:tcPr>
            <w:tcW w:w="95" w:type="dxa"/>
            <w:tcBorders/>
            <w:shd w:fill="auto" w:val="clear"/>
            <w:vAlign w:val="bottom"/>
          </w:tcPr>
          <w:p>
            <w:pPr>
              <w:pStyle w:val="TableContents"/>
              <w:spacing w:before="0" w:after="283"/>
              <w:jc w:val="left"/>
              <w:rPr/>
            </w:pPr>
            <w:r>
              <w:rPr/>
              <w:t>)</w:t>
            </w:r>
          </w:p>
        </w:tc>
        <w:tc>
          <w:tcPr>
            <w:tcW w:w="60" w:type="dxa"/>
            <w:tcBorders/>
            <w:shd w:fill="auto" w:val="clear"/>
            <w:vAlign w:val="bottom"/>
          </w:tcPr>
          <w:p>
            <w:pPr>
              <w:pStyle w:val="TableContents"/>
              <w:spacing w:before="0" w:after="283"/>
              <w:jc w:val="right"/>
              <w:rPr/>
            </w:pPr>
            <w:r>
              <w:rPr/>
              <w:t> </w:t>
            </w:r>
          </w:p>
        </w:tc>
        <w:tc>
          <w:tcPr>
            <w:tcW w:w="140" w:type="dxa"/>
            <w:tcBorders>
              <w:bottom w:val="double" w:sz="8" w:space="0" w:color="000000"/>
            </w:tcBorders>
            <w:shd w:fill="auto" w:val="clear"/>
            <w:tcMar>
              <w:bottom w:w="28" w:type="dxa"/>
            </w:tcMar>
            <w:vAlign w:val="bottom"/>
          </w:tcPr>
          <w:p>
            <w:pPr>
              <w:pStyle w:val="TableContents"/>
              <w:spacing w:before="0" w:after="283"/>
              <w:jc w:val="left"/>
              <w:rPr/>
            </w:pPr>
            <w:r>
              <w:rPr/>
              <w:t>$</w:t>
            </w:r>
          </w:p>
        </w:tc>
        <w:tc>
          <w:tcPr>
            <w:tcW w:w="800" w:type="dxa"/>
            <w:tcBorders>
              <w:bottom w:val="double" w:sz="8" w:space="0" w:color="000000"/>
            </w:tcBorders>
            <w:shd w:fill="auto" w:val="clear"/>
            <w:tcMar>
              <w:bottom w:w="28" w:type="dxa"/>
            </w:tcMar>
            <w:vAlign w:val="bottom"/>
          </w:tcPr>
          <w:p>
            <w:pPr>
              <w:pStyle w:val="TableContents"/>
              <w:spacing w:before="0" w:after="283"/>
              <w:jc w:val="right"/>
              <w:rPr/>
            </w:pPr>
            <w:r>
              <w:rPr/>
              <w:t>387,068</w:t>
            </w:r>
          </w:p>
        </w:tc>
        <w:tc>
          <w:tcPr>
            <w:tcW w:w="110" w:type="dxa"/>
            <w:tcBorders/>
            <w:shd w:fill="auto" w:val="clear"/>
            <w:vAlign w:val="bottom"/>
          </w:tcPr>
          <w:p>
            <w:pPr>
              <w:pStyle w:val="TableContents"/>
              <w:spacing w:before="0" w:after="283"/>
              <w:jc w:val="left"/>
              <w:rPr/>
            </w:pPr>
            <w:r>
              <w:rPr/>
              <w:t> </w:t>
            </w:r>
          </w:p>
        </w:tc>
      </w:tr>
      <w:tr>
        <w:trPr/>
        <w:tc>
          <w:tcPr>
            <w:tcW w:w="31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1100"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680"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800"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800"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09" w:type="dxa"/>
            <w:tcBorders/>
            <w:shd w:fill="CCEEFF" w:val="clear"/>
            <w:vAlign w:val="bottom"/>
          </w:tcPr>
          <w:p>
            <w:pPr>
              <w:pStyle w:val="TableContents"/>
              <w:spacing w:before="0" w:after="283"/>
              <w:jc w:val="left"/>
              <w:rPr/>
            </w:pPr>
            <w:r>
              <w:rPr/>
              <w:t> </w:t>
            </w:r>
          </w:p>
        </w:tc>
        <w:tc>
          <w:tcPr>
            <w:tcW w:w="1131"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800"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r>
      <w:tr>
        <w:trPr/>
        <w:tc>
          <w:tcPr>
            <w:tcW w:w="3120" w:type="dxa"/>
            <w:tcBorders/>
            <w:shd w:fill="auto" w:val="cle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Balance at January 1, 2023</w:t>
            </w:r>
          </w:p>
        </w:tc>
        <w:tc>
          <w:tcPr>
            <w:tcW w:w="6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1100" w:type="dxa"/>
            <w:tcBorders/>
            <w:shd w:fill="auto" w:val="clear"/>
            <w:vAlign w:val="bottom"/>
          </w:tcPr>
          <w:p>
            <w:pPr>
              <w:pStyle w:val="TableContents"/>
              <w:spacing w:before="0" w:after="283"/>
              <w:jc w:val="right"/>
              <w:rPr/>
            </w:pPr>
            <w:r>
              <w:rPr/>
              <w:t>17,027,197</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w:t>
            </w:r>
          </w:p>
        </w:tc>
        <w:tc>
          <w:tcPr>
            <w:tcW w:w="680" w:type="dxa"/>
            <w:tcBorders/>
            <w:shd w:fill="auto" w:val="clear"/>
            <w:vAlign w:val="bottom"/>
          </w:tcPr>
          <w:p>
            <w:pPr>
              <w:pStyle w:val="TableContents"/>
              <w:spacing w:before="0" w:after="283"/>
              <w:jc w:val="right"/>
              <w:rPr/>
            </w:pPr>
            <w:r>
              <w:rPr/>
              <w:t>17,027</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w:t>
            </w:r>
          </w:p>
        </w:tc>
        <w:tc>
          <w:tcPr>
            <w:tcW w:w="800" w:type="dxa"/>
            <w:tcBorders/>
            <w:shd w:fill="auto" w:val="clear"/>
            <w:vAlign w:val="bottom"/>
          </w:tcPr>
          <w:p>
            <w:pPr>
              <w:pStyle w:val="TableContents"/>
              <w:spacing w:before="0" w:after="283"/>
              <w:jc w:val="right"/>
              <w:rPr/>
            </w:pPr>
            <w:r>
              <w:rPr/>
              <w:t>112,834</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w:t>
            </w:r>
          </w:p>
        </w:tc>
        <w:tc>
          <w:tcPr>
            <w:tcW w:w="800" w:type="dxa"/>
            <w:tcBorders/>
            <w:shd w:fill="auto" w:val="clear"/>
            <w:vAlign w:val="bottom"/>
          </w:tcPr>
          <w:p>
            <w:pPr>
              <w:pStyle w:val="TableContents"/>
              <w:spacing w:before="0" w:after="283"/>
              <w:jc w:val="right"/>
              <w:rPr/>
            </w:pPr>
            <w:r>
              <w:rPr/>
              <w:t>292,261</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09" w:type="dxa"/>
            <w:tcBorders/>
            <w:shd w:fill="auto" w:val="clear"/>
            <w:vAlign w:val="bottom"/>
          </w:tcPr>
          <w:p>
            <w:pPr>
              <w:pStyle w:val="TableContents"/>
              <w:spacing w:before="0" w:after="283"/>
              <w:jc w:val="left"/>
              <w:rPr/>
            </w:pPr>
            <w:r>
              <w:rPr/>
              <w:t>$</w:t>
            </w:r>
          </w:p>
        </w:tc>
        <w:tc>
          <w:tcPr>
            <w:tcW w:w="1131" w:type="dxa"/>
            <w:tcBorders/>
            <w:shd w:fill="auto" w:val="clear"/>
            <w:vAlign w:val="bottom"/>
          </w:tcPr>
          <w:p>
            <w:pPr>
              <w:pStyle w:val="TableContents"/>
              <w:spacing w:before="0" w:after="283"/>
              <w:jc w:val="right"/>
              <w:rPr/>
            </w:pPr>
            <w:r>
              <w:rPr/>
              <w:t>(65,108</w:t>
            </w:r>
          </w:p>
        </w:tc>
        <w:tc>
          <w:tcPr>
            <w:tcW w:w="95" w:type="dxa"/>
            <w:tcBorders/>
            <w:shd w:fill="auto" w:val="clear"/>
            <w:vAlign w:val="bottom"/>
          </w:tcPr>
          <w:p>
            <w:pPr>
              <w:pStyle w:val="TableContents"/>
              <w:spacing w:before="0" w:after="283"/>
              <w:jc w:val="left"/>
              <w:rPr/>
            </w:pPr>
            <w:r>
              <w:rPr/>
              <w:t>)</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w:t>
            </w:r>
          </w:p>
        </w:tc>
        <w:tc>
          <w:tcPr>
            <w:tcW w:w="800" w:type="dxa"/>
            <w:tcBorders/>
            <w:shd w:fill="auto" w:val="clear"/>
            <w:vAlign w:val="bottom"/>
          </w:tcPr>
          <w:p>
            <w:pPr>
              <w:pStyle w:val="TableContents"/>
              <w:spacing w:before="0" w:after="283"/>
              <w:jc w:val="right"/>
              <w:rPr/>
            </w:pPr>
            <w:r>
              <w:rPr/>
              <w:t>357,014</w:t>
            </w:r>
          </w:p>
        </w:tc>
        <w:tc>
          <w:tcPr>
            <w:tcW w:w="110" w:type="dxa"/>
            <w:tcBorders/>
            <w:shd w:fill="auto" w:val="clear"/>
            <w:vAlign w:val="bottom"/>
          </w:tcPr>
          <w:p>
            <w:pPr>
              <w:pStyle w:val="TableContents"/>
              <w:spacing w:before="0" w:after="283"/>
              <w:jc w:val="left"/>
              <w:rPr/>
            </w:pPr>
            <w:r>
              <w:rPr/>
              <w:t> </w:t>
            </w:r>
          </w:p>
        </w:tc>
      </w:tr>
      <w:tr>
        <w:trPr/>
        <w:tc>
          <w:tcPr>
            <w:tcW w:w="3120" w:type="dxa"/>
            <w:tcBorders/>
            <w:shd w:fill="CCEE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Net income</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1100"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680"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800"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800" w:type="dxa"/>
            <w:tcBorders/>
            <w:shd w:fill="CCEEFF" w:val="clear"/>
            <w:vAlign w:val="bottom"/>
          </w:tcPr>
          <w:p>
            <w:pPr>
              <w:pStyle w:val="TableContents"/>
              <w:spacing w:before="0" w:after="283"/>
              <w:jc w:val="right"/>
              <w:rPr/>
            </w:pPr>
            <w:r>
              <w:rPr/>
              <w:t>9,244</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09" w:type="dxa"/>
            <w:tcBorders/>
            <w:shd w:fill="CCEEFF" w:val="clear"/>
            <w:vAlign w:val="bottom"/>
          </w:tcPr>
          <w:p>
            <w:pPr>
              <w:pStyle w:val="TableContents"/>
              <w:spacing w:before="0" w:after="283"/>
              <w:jc w:val="left"/>
              <w:rPr/>
            </w:pPr>
            <w:r>
              <w:rPr/>
              <w:t> </w:t>
            </w:r>
          </w:p>
        </w:tc>
        <w:tc>
          <w:tcPr>
            <w:tcW w:w="1131"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800" w:type="dxa"/>
            <w:tcBorders/>
            <w:shd w:fill="CCEEFF" w:val="clear"/>
            <w:vAlign w:val="bottom"/>
          </w:tcPr>
          <w:p>
            <w:pPr>
              <w:pStyle w:val="TableContents"/>
              <w:spacing w:before="0" w:after="283"/>
              <w:jc w:val="right"/>
              <w:rPr/>
            </w:pPr>
            <w:r>
              <w:rPr/>
              <w:t>9,244</w:t>
            </w:r>
          </w:p>
        </w:tc>
        <w:tc>
          <w:tcPr>
            <w:tcW w:w="110" w:type="dxa"/>
            <w:tcBorders/>
            <w:shd w:fill="CCEEFF" w:val="clear"/>
            <w:vAlign w:val="bottom"/>
          </w:tcPr>
          <w:p>
            <w:pPr>
              <w:pStyle w:val="TableContents"/>
              <w:spacing w:before="0" w:after="283"/>
              <w:jc w:val="left"/>
              <w:rPr/>
            </w:pPr>
            <w:r>
              <w:rPr/>
              <w:t> </w:t>
            </w:r>
          </w:p>
        </w:tc>
      </w:tr>
      <w:tr>
        <w:trPr/>
        <w:tc>
          <w:tcPr>
            <w:tcW w:w="3120" w:type="dxa"/>
            <w:tcBorders/>
            <w:shd w:fill="auto" w:val="cle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Cash dividends declared - $0.13 per share</w:t>
            </w:r>
          </w:p>
        </w:tc>
        <w:tc>
          <w:tcPr>
            <w:tcW w:w="6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1100"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680"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283"/>
              <w:jc w:val="right"/>
              <w:rPr/>
            </w:pPr>
            <w:r>
              <w:rPr/>
              <w:t>(2,208</w:t>
            </w:r>
          </w:p>
        </w:tc>
        <w:tc>
          <w:tcPr>
            <w:tcW w:w="95" w:type="dxa"/>
            <w:tcBorders/>
            <w:shd w:fill="auto" w:val="clear"/>
            <w:vAlign w:val="bottom"/>
          </w:tcPr>
          <w:p>
            <w:pPr>
              <w:pStyle w:val="TableContents"/>
              <w:spacing w:before="0" w:after="283"/>
              <w:jc w:val="left"/>
              <w:rPr/>
            </w:pPr>
            <w:r>
              <w:rPr/>
              <w:t>)</w:t>
            </w:r>
          </w:p>
        </w:tc>
        <w:tc>
          <w:tcPr>
            <w:tcW w:w="60" w:type="dxa"/>
            <w:tcBorders/>
            <w:shd w:fill="auto" w:val="clear"/>
            <w:vAlign w:val="bottom"/>
          </w:tcPr>
          <w:p>
            <w:pPr>
              <w:pStyle w:val="TableContents"/>
              <w:spacing w:before="0" w:after="283"/>
              <w:jc w:val="right"/>
              <w:rPr/>
            </w:pPr>
            <w:r>
              <w:rPr/>
              <w:t> </w:t>
            </w:r>
          </w:p>
        </w:tc>
        <w:tc>
          <w:tcPr>
            <w:tcW w:w="209" w:type="dxa"/>
            <w:tcBorders/>
            <w:shd w:fill="auto" w:val="clear"/>
            <w:vAlign w:val="bottom"/>
          </w:tcPr>
          <w:p>
            <w:pPr>
              <w:pStyle w:val="TableContents"/>
              <w:spacing w:before="0" w:after="283"/>
              <w:jc w:val="left"/>
              <w:rPr/>
            </w:pPr>
            <w:r>
              <w:rPr/>
              <w:t> </w:t>
            </w:r>
          </w:p>
        </w:tc>
        <w:tc>
          <w:tcPr>
            <w:tcW w:w="1131"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283"/>
              <w:jc w:val="right"/>
              <w:rPr/>
            </w:pPr>
            <w:r>
              <w:rPr/>
              <w:t>(2,208</w:t>
            </w:r>
          </w:p>
        </w:tc>
        <w:tc>
          <w:tcPr>
            <w:tcW w:w="110" w:type="dxa"/>
            <w:tcBorders/>
            <w:shd w:fill="auto" w:val="clear"/>
            <w:vAlign w:val="bottom"/>
          </w:tcPr>
          <w:p>
            <w:pPr>
              <w:pStyle w:val="TableContents"/>
              <w:spacing w:before="0" w:after="283"/>
              <w:jc w:val="left"/>
              <w:rPr/>
            </w:pPr>
            <w:r>
              <w:rPr/>
              <w:t>)</w:t>
            </w:r>
          </w:p>
        </w:tc>
      </w:tr>
      <w:tr>
        <w:trPr/>
        <w:tc>
          <w:tcPr>
            <w:tcW w:w="3120" w:type="dxa"/>
            <w:tcBorders/>
            <w:shd w:fill="CCEE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Other comprehensive income</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1100"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680"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800"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800"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09" w:type="dxa"/>
            <w:tcBorders/>
            <w:shd w:fill="CCEEFF" w:val="clear"/>
            <w:vAlign w:val="bottom"/>
          </w:tcPr>
          <w:p>
            <w:pPr>
              <w:pStyle w:val="TableContents"/>
              <w:spacing w:before="0" w:after="283"/>
              <w:jc w:val="left"/>
              <w:rPr/>
            </w:pPr>
            <w:r>
              <w:rPr/>
              <w:t> </w:t>
            </w:r>
          </w:p>
        </w:tc>
        <w:tc>
          <w:tcPr>
            <w:tcW w:w="1131" w:type="dxa"/>
            <w:tcBorders/>
            <w:shd w:fill="CCEEFF" w:val="clear"/>
            <w:vAlign w:val="bottom"/>
          </w:tcPr>
          <w:p>
            <w:pPr>
              <w:pStyle w:val="TableContents"/>
              <w:spacing w:before="0" w:after="283"/>
              <w:jc w:val="right"/>
              <w:rPr/>
            </w:pPr>
            <w:r>
              <w:rPr/>
              <w:t>4,729</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800" w:type="dxa"/>
            <w:tcBorders/>
            <w:shd w:fill="CCEEFF" w:val="clear"/>
            <w:vAlign w:val="bottom"/>
          </w:tcPr>
          <w:p>
            <w:pPr>
              <w:pStyle w:val="TableContents"/>
              <w:spacing w:before="0" w:after="283"/>
              <w:jc w:val="right"/>
              <w:rPr/>
            </w:pPr>
            <w:r>
              <w:rPr/>
              <w:t>4,729</w:t>
            </w:r>
          </w:p>
        </w:tc>
        <w:tc>
          <w:tcPr>
            <w:tcW w:w="110" w:type="dxa"/>
            <w:tcBorders/>
            <w:shd w:fill="CCEEFF" w:val="clear"/>
            <w:vAlign w:val="bottom"/>
          </w:tcPr>
          <w:p>
            <w:pPr>
              <w:pStyle w:val="TableContents"/>
              <w:spacing w:before="0" w:after="283"/>
              <w:jc w:val="left"/>
              <w:rPr/>
            </w:pPr>
            <w:r>
              <w:rPr/>
              <w:t> </w:t>
            </w:r>
          </w:p>
        </w:tc>
      </w:tr>
      <w:tr>
        <w:trPr/>
        <w:tc>
          <w:tcPr>
            <w:tcW w:w="3120" w:type="dxa"/>
            <w:tcBorders/>
            <w:shd w:fill="auto" w:val="clear"/>
            <w:vAlign w:val="bottom"/>
          </w:tcPr>
          <w:p>
            <w:pPr>
              <w:pStyle w:val="TableContents"/>
              <w:spacing w:before="0" w:after="283"/>
              <w:ind w:left="0" w:right="0" w:hanging="135"/>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Impact of adoption of ASU 2016-13 - CECL</w:t>
            </w:r>
          </w:p>
        </w:tc>
        <w:tc>
          <w:tcPr>
            <w:tcW w:w="6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1100"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680"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283"/>
              <w:jc w:val="right"/>
              <w:rPr/>
            </w:pPr>
            <w:r>
              <w:rPr/>
              <w:t>(997</w:t>
            </w:r>
          </w:p>
        </w:tc>
        <w:tc>
          <w:tcPr>
            <w:tcW w:w="95" w:type="dxa"/>
            <w:tcBorders/>
            <w:shd w:fill="auto" w:val="clear"/>
            <w:vAlign w:val="bottom"/>
          </w:tcPr>
          <w:p>
            <w:pPr>
              <w:pStyle w:val="TableContents"/>
              <w:spacing w:before="0" w:after="283"/>
              <w:jc w:val="left"/>
              <w:rPr/>
            </w:pPr>
            <w:r>
              <w:rPr/>
              <w:t>)</w:t>
            </w:r>
          </w:p>
        </w:tc>
        <w:tc>
          <w:tcPr>
            <w:tcW w:w="60" w:type="dxa"/>
            <w:tcBorders/>
            <w:shd w:fill="auto" w:val="clear"/>
            <w:vAlign w:val="bottom"/>
          </w:tcPr>
          <w:p>
            <w:pPr>
              <w:pStyle w:val="TableContents"/>
              <w:spacing w:before="0" w:after="283"/>
              <w:jc w:val="right"/>
              <w:rPr/>
            </w:pPr>
            <w:r>
              <w:rPr/>
              <w:t> </w:t>
            </w:r>
          </w:p>
        </w:tc>
        <w:tc>
          <w:tcPr>
            <w:tcW w:w="209" w:type="dxa"/>
            <w:tcBorders/>
            <w:shd w:fill="auto" w:val="clear"/>
            <w:vAlign w:val="bottom"/>
          </w:tcPr>
          <w:p>
            <w:pPr>
              <w:pStyle w:val="TableContents"/>
              <w:spacing w:before="0" w:after="283"/>
              <w:jc w:val="left"/>
              <w:rPr/>
            </w:pPr>
            <w:r>
              <w:rPr/>
              <w:t> </w:t>
            </w:r>
          </w:p>
        </w:tc>
        <w:tc>
          <w:tcPr>
            <w:tcW w:w="1131"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283"/>
              <w:jc w:val="right"/>
              <w:rPr/>
            </w:pPr>
            <w:r>
              <w:rPr/>
              <w:t>(997</w:t>
            </w:r>
          </w:p>
        </w:tc>
        <w:tc>
          <w:tcPr>
            <w:tcW w:w="110" w:type="dxa"/>
            <w:tcBorders/>
            <w:shd w:fill="auto" w:val="clear"/>
            <w:vAlign w:val="bottom"/>
          </w:tcPr>
          <w:p>
            <w:pPr>
              <w:pStyle w:val="TableContents"/>
              <w:spacing w:before="0" w:after="283"/>
              <w:jc w:val="left"/>
              <w:rPr/>
            </w:pPr>
            <w:r>
              <w:rPr/>
              <w:t>)</w:t>
            </w:r>
          </w:p>
        </w:tc>
      </w:tr>
      <w:tr>
        <w:trPr/>
        <w:tc>
          <w:tcPr>
            <w:tcW w:w="3120" w:type="dxa"/>
            <w:tcBorders/>
            <w:shd w:fill="CCEEFF" w:val="cle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Exercise of employee stock options and vesting of restricted stock units, net of 13,573 shares for cashless exercise and net of 13,892 shares for taxes</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1100" w:type="dxa"/>
            <w:tcBorders/>
            <w:shd w:fill="CCEEFF" w:val="clear"/>
            <w:vAlign w:val="bottom"/>
          </w:tcPr>
          <w:p>
            <w:pPr>
              <w:pStyle w:val="TableContents"/>
              <w:spacing w:before="0" w:after="283"/>
              <w:jc w:val="right"/>
              <w:rPr/>
            </w:pPr>
            <w:r>
              <w:rPr/>
              <w:t>35,375</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680" w:type="dxa"/>
            <w:tcBorders/>
            <w:shd w:fill="CCEEFF" w:val="clear"/>
            <w:vAlign w:val="bottom"/>
          </w:tcPr>
          <w:p>
            <w:pPr>
              <w:pStyle w:val="TableContents"/>
              <w:spacing w:before="0" w:after="283"/>
              <w:jc w:val="right"/>
              <w:rPr/>
            </w:pPr>
            <w:r>
              <w:rPr/>
              <w:t>35</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800" w:type="dxa"/>
            <w:tcBorders/>
            <w:shd w:fill="CCEEFF" w:val="clear"/>
            <w:vAlign w:val="bottom"/>
          </w:tcPr>
          <w:p>
            <w:pPr>
              <w:pStyle w:val="TableContents"/>
              <w:spacing w:before="0" w:after="283"/>
              <w:jc w:val="right"/>
              <w:rPr/>
            </w:pPr>
            <w:r>
              <w:rPr/>
              <w:t>(378</w:t>
            </w:r>
          </w:p>
        </w:tc>
        <w:tc>
          <w:tcPr>
            <w:tcW w:w="95" w:type="dxa"/>
            <w:tcBorders/>
            <w:shd w:fill="CCEEFF" w:val="clear"/>
            <w:vAlign w:val="bottom"/>
          </w:tcPr>
          <w:p>
            <w:pPr>
              <w:pStyle w:val="TableContents"/>
              <w:spacing w:before="0" w:after="283"/>
              <w:jc w:val="left"/>
              <w:rPr/>
            </w:pPr>
            <w:r>
              <w:rPr/>
              <w:t>)</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800"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09" w:type="dxa"/>
            <w:tcBorders/>
            <w:shd w:fill="CCEEFF" w:val="clear"/>
            <w:vAlign w:val="bottom"/>
          </w:tcPr>
          <w:p>
            <w:pPr>
              <w:pStyle w:val="TableContents"/>
              <w:spacing w:before="0" w:after="283"/>
              <w:jc w:val="left"/>
              <w:rPr/>
            </w:pPr>
            <w:r>
              <w:rPr/>
              <w:t> </w:t>
            </w:r>
          </w:p>
        </w:tc>
        <w:tc>
          <w:tcPr>
            <w:tcW w:w="1131"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800" w:type="dxa"/>
            <w:tcBorders/>
            <w:shd w:fill="CCEEFF" w:val="clear"/>
            <w:vAlign w:val="bottom"/>
          </w:tcPr>
          <w:p>
            <w:pPr>
              <w:pStyle w:val="TableContents"/>
              <w:spacing w:before="0" w:after="283"/>
              <w:jc w:val="right"/>
              <w:rPr/>
            </w:pPr>
            <w:r>
              <w:rPr/>
              <w:t>(343</w:t>
            </w:r>
          </w:p>
        </w:tc>
        <w:tc>
          <w:tcPr>
            <w:tcW w:w="110" w:type="dxa"/>
            <w:tcBorders/>
            <w:shd w:fill="CCEEFF" w:val="clear"/>
            <w:vAlign w:val="bottom"/>
          </w:tcPr>
          <w:p>
            <w:pPr>
              <w:pStyle w:val="TableContents"/>
              <w:spacing w:before="0" w:after="283"/>
              <w:jc w:val="left"/>
              <w:rPr/>
            </w:pPr>
            <w:r>
              <w:rPr/>
              <w:t>)</w:t>
            </w:r>
          </w:p>
        </w:tc>
      </w:tr>
      <w:tr>
        <w:trPr/>
        <w:tc>
          <w:tcPr>
            <w:tcW w:w="3120" w:type="dxa"/>
            <w:tcBorders/>
            <w:shd w:fill="auto"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Stock-based compensation</w:t>
            </w:r>
          </w:p>
        </w:tc>
        <w:tc>
          <w:tcPr>
            <w:tcW w:w="60" w:type="dxa"/>
            <w:tcBorders/>
            <w:shd w:fill="auto" w:val="clear"/>
            <w:vAlign w:val="bottom"/>
          </w:tcPr>
          <w:p>
            <w:pPr>
              <w:pStyle w:val="TableContents"/>
              <w:spacing w:before="0" w:after="283"/>
              <w:jc w:val="right"/>
              <w:rPr/>
            </w:pPr>
            <w:r>
              <w:rPr/>
              <w:t> </w:t>
            </w:r>
          </w:p>
        </w:tc>
        <w:tc>
          <w:tcPr>
            <w:tcW w:w="6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100" w:type="dxa"/>
            <w:tcBorders>
              <w:bottom w:val="single" w:sz="12" w:space="0" w:color="000000"/>
            </w:tcBorders>
            <w:shd w:fill="auto" w:val="clear"/>
            <w:tcMar>
              <w:bottom w:w="28" w:type="dxa"/>
            </w:tcM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80" w:type="dxa"/>
            <w:tcBorders>
              <w:bottom w:val="single" w:sz="12" w:space="0" w:color="000000"/>
            </w:tcBorders>
            <w:shd w:fill="auto" w:val="clear"/>
            <w:tcMar>
              <w:bottom w:w="28" w:type="dxa"/>
            </w:tcM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00" w:type="dxa"/>
            <w:tcBorders>
              <w:bottom w:val="single" w:sz="12" w:space="0" w:color="000000"/>
            </w:tcBorders>
            <w:shd w:fill="auto" w:val="clear"/>
            <w:tcMar>
              <w:bottom w:w="28" w:type="dxa"/>
            </w:tcMar>
            <w:vAlign w:val="bottom"/>
          </w:tcPr>
          <w:p>
            <w:pPr>
              <w:pStyle w:val="TableContents"/>
              <w:spacing w:before="0" w:after="283"/>
              <w:jc w:val="right"/>
              <w:rPr/>
            </w:pPr>
            <w:r>
              <w:rPr/>
              <w:t>525</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00" w:type="dxa"/>
            <w:tcBorders>
              <w:bottom w:val="single" w:sz="12" w:space="0" w:color="000000"/>
            </w:tcBorders>
            <w:shd w:fill="auto" w:val="clear"/>
            <w:tcMar>
              <w:bottom w:w="28" w:type="dxa"/>
            </w:tcM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09"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131" w:type="dxa"/>
            <w:tcBorders>
              <w:bottom w:val="single" w:sz="12" w:space="0" w:color="000000"/>
            </w:tcBorders>
            <w:shd w:fill="auto" w:val="clear"/>
            <w:tcMar>
              <w:bottom w:w="28" w:type="dxa"/>
            </w:tcM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00" w:type="dxa"/>
            <w:tcBorders>
              <w:bottom w:val="single" w:sz="12" w:space="0" w:color="000000"/>
            </w:tcBorders>
            <w:shd w:fill="auto" w:val="clear"/>
            <w:tcMar>
              <w:bottom w:w="28" w:type="dxa"/>
            </w:tcMar>
            <w:vAlign w:val="bottom"/>
          </w:tcPr>
          <w:p>
            <w:pPr>
              <w:pStyle w:val="TableContents"/>
              <w:spacing w:before="0" w:after="283"/>
              <w:jc w:val="right"/>
              <w:rPr/>
            </w:pPr>
            <w:r>
              <w:rPr/>
              <w:t>525</w:t>
            </w:r>
          </w:p>
        </w:tc>
        <w:tc>
          <w:tcPr>
            <w:tcW w:w="110" w:type="dxa"/>
            <w:tcBorders/>
            <w:shd w:fill="auto" w:val="clear"/>
            <w:vAlign w:val="bottom"/>
          </w:tcPr>
          <w:p>
            <w:pPr>
              <w:pStyle w:val="TableContents"/>
              <w:spacing w:before="0" w:after="283"/>
              <w:jc w:val="left"/>
              <w:rPr/>
            </w:pPr>
            <w:r>
              <w:rPr/>
              <w:t> </w:t>
            </w:r>
          </w:p>
        </w:tc>
      </w:tr>
      <w:tr>
        <w:trPr/>
        <w:tc>
          <w:tcPr>
            <w:tcW w:w="3120" w:type="dxa"/>
            <w:tcBorders/>
            <w:shd w:fill="CCEEFF" w:val="cle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Balance at March 31, 2023</w:t>
            </w:r>
          </w:p>
        </w:tc>
        <w:tc>
          <w:tcPr>
            <w:tcW w:w="60" w:type="dxa"/>
            <w:tcBorders/>
            <w:shd w:fill="CCEEFF" w:val="clear"/>
            <w:vAlign w:val="bottom"/>
          </w:tcPr>
          <w:p>
            <w:pPr>
              <w:pStyle w:val="TableContents"/>
              <w:spacing w:before="0" w:after="283"/>
              <w:jc w:val="right"/>
              <w:rPr/>
            </w:pPr>
            <w:r>
              <w:rPr/>
              <w:t> </w:t>
            </w:r>
          </w:p>
        </w:tc>
        <w:tc>
          <w:tcPr>
            <w:tcW w:w="60"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100" w:type="dxa"/>
            <w:tcBorders>
              <w:bottom w:val="double" w:sz="8" w:space="0" w:color="000000"/>
            </w:tcBorders>
            <w:shd w:fill="CCEEFF" w:val="clear"/>
            <w:tcMar>
              <w:bottom w:w="28" w:type="dxa"/>
            </w:tcMar>
            <w:vAlign w:val="bottom"/>
          </w:tcPr>
          <w:p>
            <w:pPr>
              <w:pStyle w:val="TableContents"/>
              <w:spacing w:before="0" w:after="283"/>
              <w:jc w:val="right"/>
              <w:rPr/>
            </w:pPr>
            <w:r>
              <w:rPr/>
              <w:t>17,062,572</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spacing w:before="0" w:after="283"/>
              <w:jc w:val="left"/>
              <w:rPr/>
            </w:pPr>
            <w:r>
              <w:rPr/>
              <w:t>$</w:t>
            </w:r>
          </w:p>
        </w:tc>
        <w:tc>
          <w:tcPr>
            <w:tcW w:w="680" w:type="dxa"/>
            <w:tcBorders>
              <w:bottom w:val="double" w:sz="8" w:space="0" w:color="000000"/>
            </w:tcBorders>
            <w:shd w:fill="CCEEFF" w:val="clear"/>
            <w:tcMar>
              <w:bottom w:w="28" w:type="dxa"/>
            </w:tcMar>
            <w:vAlign w:val="bottom"/>
          </w:tcPr>
          <w:p>
            <w:pPr>
              <w:pStyle w:val="TableContents"/>
              <w:spacing w:before="0" w:after="283"/>
              <w:jc w:val="right"/>
              <w:rPr/>
            </w:pPr>
            <w:r>
              <w:rPr/>
              <w:t>17,062</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spacing w:before="0" w:after="283"/>
              <w:jc w:val="left"/>
              <w:rPr/>
            </w:pPr>
            <w:r>
              <w:rPr/>
              <w:t>$</w:t>
            </w:r>
          </w:p>
        </w:tc>
        <w:tc>
          <w:tcPr>
            <w:tcW w:w="800" w:type="dxa"/>
            <w:tcBorders>
              <w:bottom w:val="double" w:sz="8" w:space="0" w:color="000000"/>
            </w:tcBorders>
            <w:shd w:fill="CCEEFF" w:val="clear"/>
            <w:tcMar>
              <w:bottom w:w="28" w:type="dxa"/>
            </w:tcMar>
            <w:vAlign w:val="bottom"/>
          </w:tcPr>
          <w:p>
            <w:pPr>
              <w:pStyle w:val="TableContents"/>
              <w:spacing w:before="0" w:after="283"/>
              <w:jc w:val="right"/>
              <w:rPr/>
            </w:pPr>
            <w:r>
              <w:rPr/>
              <w:t>112,981</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spacing w:before="0" w:after="283"/>
              <w:jc w:val="left"/>
              <w:rPr/>
            </w:pPr>
            <w:r>
              <w:rPr/>
              <w:t>$</w:t>
            </w:r>
          </w:p>
        </w:tc>
        <w:tc>
          <w:tcPr>
            <w:tcW w:w="800" w:type="dxa"/>
            <w:tcBorders>
              <w:bottom w:val="double" w:sz="8" w:space="0" w:color="000000"/>
            </w:tcBorders>
            <w:shd w:fill="CCEEFF" w:val="clear"/>
            <w:tcMar>
              <w:bottom w:w="28" w:type="dxa"/>
            </w:tcMar>
            <w:vAlign w:val="bottom"/>
          </w:tcPr>
          <w:p>
            <w:pPr>
              <w:pStyle w:val="TableContents"/>
              <w:spacing w:before="0" w:after="283"/>
              <w:jc w:val="right"/>
              <w:rPr/>
            </w:pPr>
            <w:r>
              <w:rPr/>
              <w:t>298,300</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09" w:type="dxa"/>
            <w:tcBorders>
              <w:bottom w:val="double" w:sz="8" w:space="0" w:color="000000"/>
            </w:tcBorders>
            <w:shd w:fill="CCEEFF" w:val="clear"/>
            <w:tcMar>
              <w:bottom w:w="28" w:type="dxa"/>
            </w:tcMar>
            <w:vAlign w:val="bottom"/>
          </w:tcPr>
          <w:p>
            <w:pPr>
              <w:pStyle w:val="TableContents"/>
              <w:spacing w:before="0" w:after="283"/>
              <w:jc w:val="left"/>
              <w:rPr/>
            </w:pPr>
            <w:r>
              <w:rPr/>
              <w:t>$</w:t>
            </w:r>
          </w:p>
        </w:tc>
        <w:tc>
          <w:tcPr>
            <w:tcW w:w="1131" w:type="dxa"/>
            <w:tcBorders>
              <w:bottom w:val="double" w:sz="8" w:space="0" w:color="000000"/>
            </w:tcBorders>
            <w:shd w:fill="CCEEFF" w:val="clear"/>
            <w:tcMar>
              <w:bottom w:w="28" w:type="dxa"/>
            </w:tcMar>
            <w:vAlign w:val="bottom"/>
          </w:tcPr>
          <w:p>
            <w:pPr>
              <w:pStyle w:val="TableContents"/>
              <w:spacing w:before="0" w:after="283"/>
              <w:jc w:val="right"/>
              <w:rPr/>
            </w:pPr>
            <w:r>
              <w:rPr/>
              <w:t>(60,379</w:t>
            </w:r>
          </w:p>
        </w:tc>
        <w:tc>
          <w:tcPr>
            <w:tcW w:w="95" w:type="dxa"/>
            <w:tcBorders/>
            <w:shd w:fill="CCEEFF" w:val="clear"/>
            <w:vAlign w:val="bottom"/>
          </w:tcPr>
          <w:p>
            <w:pPr>
              <w:pStyle w:val="TableContents"/>
              <w:spacing w:before="0" w:after="283"/>
              <w:jc w:val="left"/>
              <w:rPr/>
            </w:pPr>
            <w:r>
              <w:rPr/>
              <w:t>)</w:t>
            </w:r>
          </w:p>
        </w:tc>
        <w:tc>
          <w:tcPr>
            <w:tcW w:w="60" w:type="dxa"/>
            <w:tcBorders/>
            <w:shd w:fill="CCEEFF" w:val="clear"/>
            <w:vAlign w:val="bottom"/>
          </w:tcPr>
          <w:p>
            <w:pPr>
              <w:pStyle w:val="TableContents"/>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spacing w:before="0" w:after="283"/>
              <w:jc w:val="left"/>
              <w:rPr/>
            </w:pPr>
            <w:r>
              <w:rPr/>
              <w:t>$</w:t>
            </w:r>
          </w:p>
        </w:tc>
        <w:tc>
          <w:tcPr>
            <w:tcW w:w="800" w:type="dxa"/>
            <w:tcBorders>
              <w:bottom w:val="double" w:sz="8" w:space="0" w:color="000000"/>
            </w:tcBorders>
            <w:shd w:fill="CCEEFF" w:val="clear"/>
            <w:tcMar>
              <w:bottom w:w="28" w:type="dxa"/>
            </w:tcMar>
            <w:vAlign w:val="bottom"/>
          </w:tcPr>
          <w:p>
            <w:pPr>
              <w:pStyle w:val="TableContents"/>
              <w:spacing w:before="0" w:after="283"/>
              <w:jc w:val="right"/>
              <w:rPr/>
            </w:pPr>
            <w:r>
              <w:rPr/>
              <w:t>367,964</w:t>
            </w:r>
          </w:p>
        </w:tc>
        <w:tc>
          <w:tcPr>
            <w:tcW w:w="110" w:type="dxa"/>
            <w:tcBorders/>
            <w:shd w:fill="CCEEFF" w:val="clear"/>
            <w:vAlign w:val="bottom"/>
          </w:tcPr>
          <w:p>
            <w:pPr>
              <w:pStyle w:val="TableContents"/>
              <w:spacing w:before="0" w:after="283"/>
              <w:jc w:val="left"/>
              <w:rPr/>
            </w:pPr>
            <w:r>
              <w:rPr/>
              <w:t> </w:t>
            </w:r>
          </w:p>
        </w:tc>
      </w:tr>
    </w:tbl>
    <w:p>
      <w:pPr>
        <w:pStyle w:val="TextBody"/>
        <w:spacing w:before="0" w:after="0"/>
        <w:jc w:val="left"/>
        <w:rPr/>
      </w:pPr>
      <w:r>
        <w:rPr/>
      </w:r>
    </w:p>
    <w:p>
      <w:pPr>
        <w:pStyle w:val="TextBody"/>
        <w:spacing w:before="0" w:after="0"/>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b w:val="false"/>
            <w:i/>
            <w:color w:val="000000"/>
            <w:sz w:val="16"/>
          </w:rPr>
          <w:t>Table of Contents</w:t>
        </w:r>
      </w:hyperlink>
    </w:p>
    <w:p>
      <w:pPr>
        <w:pStyle w:val="TextBody"/>
        <w:spacing w:before="0" w:after="0"/>
        <w:jc w:val="center"/>
        <w:rPr>
          <w:rFonts w:ascii="Times New Roman" w:hAnsi="Times New Roman"/>
          <w:b/>
          <w:color w:val="000000"/>
          <w:sz w:val="20"/>
        </w:rPr>
      </w:pPr>
      <w:r>
        <w:rPr>
          <w:rFonts w:ascii="Times New Roman" w:hAnsi="Times New Roman"/>
          <w:b/>
          <w:color w:val="000000"/>
          <w:sz w:val="20"/>
        </w:rPr>
        <w:t>SOUTH PLAINS FINANCIAL, INC. AND SUBSIDIARIES</w:t>
      </w:r>
    </w:p>
    <w:p>
      <w:pPr>
        <w:pStyle w:val="TextBody"/>
        <w:spacing w:before="0" w:after="0"/>
        <w:jc w:val="center"/>
        <w:rPr>
          <w:rFonts w:ascii="Times New Roman" w:hAnsi="Times New Roman"/>
          <w:b/>
          <w:color w:val="000000"/>
          <w:sz w:val="20"/>
        </w:rPr>
      </w:pPr>
      <w:r>
        <w:rPr>
          <w:rFonts w:ascii="Times New Roman" w:hAnsi="Times New Roman"/>
          <w:b/>
          <w:color w:val="000000"/>
          <w:sz w:val="20"/>
        </w:rPr>
        <w:t xml:space="preserve">CONSOLIDATED </w:t>
      </w:r>
      <w:bookmarkStart w:id="7" w:name="STATEMENTSOFCASHFLOWS"/>
      <w:bookmarkEnd w:id="7"/>
      <w:r>
        <w:rPr>
          <w:rFonts w:ascii="Times New Roman" w:hAnsi="Times New Roman"/>
          <w:b/>
          <w:color w:val="000000"/>
          <w:sz w:val="20"/>
        </w:rPr>
        <w:t>STATEMENTS OF CASH FLOWS</w:t>
      </w:r>
    </w:p>
    <w:p>
      <w:pPr>
        <w:pStyle w:val="TextBody"/>
        <w:spacing w:before="0" w:after="0"/>
        <w:jc w:val="center"/>
        <w:rPr>
          <w:rFonts w:ascii="Times New Roman" w:hAnsi="Times New Roman"/>
          <w:b/>
          <w:color w:val="000000"/>
          <w:sz w:val="20"/>
        </w:rPr>
      </w:pPr>
      <w:r>
        <w:rPr>
          <w:rFonts w:ascii="Times New Roman" w:hAnsi="Times New Roman"/>
          <w:b/>
          <w:color w:val="000000"/>
          <w:sz w:val="20"/>
        </w:rPr>
        <w:t>(Unaudited)</w:t>
      </w:r>
    </w:p>
    <w:p>
      <w:pPr>
        <w:pStyle w:val="TextBody"/>
        <w:spacing w:before="0" w:after="0"/>
        <w:jc w:val="center"/>
        <w:rPr>
          <w:rFonts w:ascii="Times New Roman" w:hAnsi="Times New Roman"/>
          <w:b/>
          <w:color w:val="000000"/>
          <w:sz w:val="20"/>
        </w:rPr>
      </w:pPr>
      <w:r>
        <w:rPr>
          <w:rFonts w:ascii="Times New Roman" w:hAnsi="Times New Roman"/>
          <w:b/>
          <w:color w:val="000000"/>
          <w:sz w:val="20"/>
        </w:rPr>
        <w:t>(Dollars in thousands)</w:t>
      </w:r>
    </w:p>
    <w:p>
      <w:pPr>
        <w:pStyle w:val="TextBody"/>
        <w:spacing w:before="0" w:after="0"/>
        <w:jc w:val="left"/>
        <w:rPr/>
      </w:pPr>
      <w:r>
        <w:rPr/>
      </w:r>
    </w:p>
    <w:tbl>
      <w:tblPr>
        <w:tblW w:w="8015" w:type="dxa"/>
        <w:jc w:val="left"/>
        <w:tblInd w:w="0" w:type="dxa"/>
        <w:tblCellMar>
          <w:top w:w="0" w:type="dxa"/>
          <w:left w:w="0" w:type="dxa"/>
          <w:bottom w:w="0" w:type="dxa"/>
          <w:right w:w="0" w:type="dxa"/>
        </w:tblCellMar>
      </w:tblPr>
      <w:tblGrid>
        <w:gridCol w:w="6020"/>
        <w:gridCol w:w="60"/>
        <w:gridCol w:w="125"/>
        <w:gridCol w:w="695"/>
        <w:gridCol w:w="80"/>
        <w:gridCol w:w="60"/>
        <w:gridCol w:w="125"/>
        <w:gridCol w:w="755"/>
        <w:gridCol w:w="95"/>
      </w:tblGrid>
      <w:tr>
        <w:trPr/>
        <w:tc>
          <w:tcPr>
            <w:tcW w:w="602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840" w:type="dxa"/>
            <w:gridSpan w:val="6"/>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Three Months Ended</w:t>
            </w:r>
          </w:p>
          <w:p>
            <w:pPr>
              <w:pStyle w:val="TableContents"/>
              <w:spacing w:before="0" w:after="0"/>
              <w:jc w:val="center"/>
              <w:rPr>
                <w:rFonts w:ascii="Times New Roman" w:hAnsi="Times New Roman"/>
                <w:b/>
                <w:sz w:val="20"/>
              </w:rPr>
            </w:pPr>
            <w:r>
              <w:rPr>
                <w:rFonts w:ascii="Times New Roman" w:hAnsi="Times New Roman"/>
                <w:b/>
                <w:sz w:val="20"/>
              </w:rPr>
              <w:t>March 31,</w:t>
            </w:r>
          </w:p>
        </w:tc>
        <w:tc>
          <w:tcPr>
            <w:tcW w:w="95" w:type="dxa"/>
            <w:tcBorders/>
            <w:shd w:fill="auto" w:val="clear"/>
            <w:vAlign w:val="bottom"/>
          </w:tcPr>
          <w:p>
            <w:pPr>
              <w:pStyle w:val="TableContents"/>
              <w:spacing w:before="0" w:after="283"/>
              <w:jc w:val="left"/>
              <w:rPr/>
            </w:pPr>
            <w:r>
              <w:rPr/>
              <w:t> </w:t>
            </w:r>
          </w:p>
        </w:tc>
      </w:tr>
      <w:tr>
        <w:trPr/>
        <w:tc>
          <w:tcPr>
            <w:tcW w:w="60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2023</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8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2022</w:t>
            </w:r>
          </w:p>
        </w:tc>
        <w:tc>
          <w:tcPr>
            <w:tcW w:w="95" w:type="dxa"/>
            <w:tcBorders/>
            <w:shd w:fill="auto" w:val="clear"/>
            <w:vAlign w:val="bottom"/>
          </w:tcPr>
          <w:p>
            <w:pPr>
              <w:pStyle w:val="TableContents"/>
              <w:spacing w:before="0" w:after="283"/>
              <w:jc w:val="left"/>
              <w:rPr/>
            </w:pPr>
            <w:r>
              <w:rPr/>
              <w:t> </w:t>
            </w:r>
          </w:p>
        </w:tc>
      </w:tr>
      <w:tr>
        <w:trPr/>
        <w:tc>
          <w:tcPr>
            <w:tcW w:w="6020" w:type="dxa"/>
            <w:tcBorders/>
            <w:shd w:fill="auto"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Cash flows from operating activities:</w:t>
            </w:r>
          </w:p>
        </w:tc>
        <w:tc>
          <w:tcPr>
            <w:tcW w:w="60" w:type="dxa"/>
            <w:tcBorders/>
            <w:shd w:fill="auto" w:val="clear"/>
            <w:vAlign w:val="bottom"/>
          </w:tcPr>
          <w:p>
            <w:pPr>
              <w:pStyle w:val="TableContents"/>
              <w:spacing w:before="0" w:after="283"/>
              <w:rPr/>
            </w:pPr>
            <w:r>
              <w:rPr/>
              <w:t> </w:t>
            </w:r>
          </w:p>
        </w:tc>
        <w:tc>
          <w:tcPr>
            <w:tcW w:w="820" w:type="dxa"/>
            <w:gridSpan w:val="2"/>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80" w:type="dxa"/>
            <w:gridSpan w:val="2"/>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left"/>
              <w:rPr/>
            </w:pPr>
            <w:r>
              <w:rPr/>
              <w:t> </w:t>
            </w:r>
          </w:p>
        </w:tc>
      </w:tr>
      <w:tr>
        <w:trPr/>
        <w:tc>
          <w:tcPr>
            <w:tcW w:w="6020" w:type="dxa"/>
            <w:tcBorders/>
            <w:shd w:fill="CCEEFF" w:val="clear"/>
            <w:vAlign w:val="bottom"/>
          </w:tcPr>
          <w:p>
            <w:pPr>
              <w:pStyle w:val="TableContents"/>
              <w:spacing w:before="0" w:after="0"/>
              <w:ind w:left="288" w:right="0" w:hanging="144"/>
              <w:jc w:val="left"/>
              <w:rPr>
                <w:rFonts w:ascii="Times New Roman" w:hAnsi="Times New Roman"/>
                <w:sz w:val="20"/>
              </w:rPr>
            </w:pPr>
            <w:r>
              <w:rPr>
                <w:rFonts w:ascii="Times New Roman" w:hAnsi="Times New Roman"/>
                <w:sz w:val="20"/>
              </w:rPr>
              <w:t>Net income</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9,244</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755"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14,278</w:t>
            </w:r>
          </w:p>
        </w:tc>
        <w:tc>
          <w:tcPr>
            <w:tcW w:w="95" w:type="dxa"/>
            <w:tcBorders/>
            <w:shd w:fill="CCEEFF" w:val="clear"/>
            <w:vAlign w:val="bottom"/>
          </w:tcPr>
          <w:p>
            <w:pPr>
              <w:pStyle w:val="TableContents"/>
              <w:spacing w:before="0" w:after="283"/>
              <w:jc w:val="left"/>
              <w:rPr/>
            </w:pPr>
            <w:r>
              <w:rPr/>
              <w:t> </w:t>
            </w:r>
          </w:p>
        </w:tc>
      </w:tr>
      <w:tr>
        <w:trPr/>
        <w:tc>
          <w:tcPr>
            <w:tcW w:w="6020" w:type="dxa"/>
            <w:tcBorders/>
            <w:shd w:fill="auto" w:val="clear"/>
            <w:vAlign w:val="bottom"/>
          </w:tcPr>
          <w:p>
            <w:pPr>
              <w:pStyle w:val="TableContents"/>
              <w:spacing w:before="0" w:after="0"/>
              <w:ind w:left="288" w:right="0" w:hanging="144"/>
              <w:jc w:val="left"/>
              <w:rPr>
                <w:rFonts w:ascii="Times New Roman" w:hAnsi="Times New Roman"/>
                <w:sz w:val="20"/>
              </w:rPr>
            </w:pPr>
            <w:r>
              <w:rPr>
                <w:rFonts w:ascii="Times New Roman" w:hAnsi="Times New Roman"/>
                <w:sz w:val="20"/>
              </w:rPr>
              <w:t>Adjustments to reconcile net income to net cash from operating activities:</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755"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r>
      <w:tr>
        <w:trPr/>
        <w:tc>
          <w:tcPr>
            <w:tcW w:w="6020" w:type="dxa"/>
            <w:tcBorders/>
            <w:shd w:fill="CCEEFF" w:val="clear"/>
            <w:vAlign w:val="bottom"/>
          </w:tcPr>
          <w:p>
            <w:pPr>
              <w:pStyle w:val="TableContents"/>
              <w:spacing w:before="0" w:after="0"/>
              <w:ind w:left="504" w:right="0" w:hanging="144"/>
              <w:jc w:val="left"/>
              <w:rPr>
                <w:rFonts w:ascii="Times New Roman" w:hAnsi="Times New Roman"/>
                <w:sz w:val="20"/>
              </w:rPr>
            </w:pPr>
            <w:r>
              <w:rPr>
                <w:rFonts w:ascii="Times New Roman" w:hAnsi="Times New Roman"/>
                <w:sz w:val="20"/>
              </w:rPr>
              <w:t>Provision for credit losses</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1,010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755"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(2,085</w:t>
            </w:r>
          </w:p>
        </w:tc>
        <w:tc>
          <w:tcPr>
            <w:tcW w:w="9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r>
      <w:tr>
        <w:trPr/>
        <w:tc>
          <w:tcPr>
            <w:tcW w:w="6020" w:type="dxa"/>
            <w:tcBorders/>
            <w:shd w:fill="auto" w:val="clear"/>
            <w:vAlign w:val="bottom"/>
          </w:tcPr>
          <w:p>
            <w:pPr>
              <w:pStyle w:val="TableContents"/>
              <w:spacing w:before="0" w:after="0"/>
              <w:ind w:left="504" w:right="0" w:hanging="144"/>
              <w:jc w:val="left"/>
              <w:rPr>
                <w:rFonts w:ascii="Times New Roman" w:hAnsi="Times New Roman"/>
                <w:sz w:val="20"/>
              </w:rPr>
            </w:pPr>
            <w:r>
              <w:rPr>
                <w:rFonts w:ascii="Times New Roman" w:hAnsi="Times New Roman"/>
                <w:sz w:val="20"/>
              </w:rPr>
              <w:t>Depreciation and amortization</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1,698</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755"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1,705</w:t>
            </w:r>
          </w:p>
        </w:tc>
        <w:tc>
          <w:tcPr>
            <w:tcW w:w="95" w:type="dxa"/>
            <w:tcBorders/>
            <w:shd w:fill="auto" w:val="clear"/>
            <w:vAlign w:val="bottom"/>
          </w:tcPr>
          <w:p>
            <w:pPr>
              <w:pStyle w:val="TableContents"/>
              <w:spacing w:before="0" w:after="283"/>
              <w:jc w:val="left"/>
              <w:rPr/>
            </w:pPr>
            <w:r>
              <w:rPr/>
              <w:t> </w:t>
            </w:r>
          </w:p>
        </w:tc>
      </w:tr>
      <w:tr>
        <w:trPr/>
        <w:tc>
          <w:tcPr>
            <w:tcW w:w="6020" w:type="dxa"/>
            <w:tcBorders/>
            <w:shd w:fill="CCEEFF" w:val="clear"/>
            <w:vAlign w:val="bottom"/>
          </w:tcPr>
          <w:p>
            <w:pPr>
              <w:pStyle w:val="TableContents"/>
              <w:spacing w:before="0" w:after="0"/>
              <w:ind w:left="504" w:right="0" w:hanging="144"/>
              <w:jc w:val="left"/>
              <w:rPr>
                <w:rFonts w:ascii="Times New Roman" w:hAnsi="Times New Roman"/>
                <w:sz w:val="20"/>
              </w:rPr>
            </w:pPr>
            <w:r>
              <w:rPr>
                <w:rFonts w:ascii="Times New Roman" w:hAnsi="Times New Roman"/>
                <w:sz w:val="20"/>
              </w:rPr>
              <w:t>Accretion and amortization</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991</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755"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1,063</w:t>
            </w:r>
          </w:p>
        </w:tc>
        <w:tc>
          <w:tcPr>
            <w:tcW w:w="95" w:type="dxa"/>
            <w:tcBorders/>
            <w:shd w:fill="CCEEFF" w:val="clear"/>
            <w:vAlign w:val="bottom"/>
          </w:tcPr>
          <w:p>
            <w:pPr>
              <w:pStyle w:val="TableContents"/>
              <w:spacing w:before="0" w:after="283"/>
              <w:jc w:val="left"/>
              <w:rPr/>
            </w:pPr>
            <w:r>
              <w:rPr/>
              <w:t> </w:t>
            </w:r>
          </w:p>
        </w:tc>
      </w:tr>
      <w:tr>
        <w:trPr/>
        <w:tc>
          <w:tcPr>
            <w:tcW w:w="6020" w:type="dxa"/>
            <w:tcBorders/>
            <w:shd w:fill="auto" w:val="clear"/>
            <w:vAlign w:val="bottom"/>
          </w:tcPr>
          <w:p>
            <w:pPr>
              <w:pStyle w:val="TableContents"/>
              <w:spacing w:before="0" w:after="0"/>
              <w:ind w:left="504" w:right="0" w:hanging="144"/>
              <w:jc w:val="left"/>
              <w:rPr>
                <w:rFonts w:ascii="Times New Roman" w:hAnsi="Times New Roman"/>
                <w:sz w:val="20"/>
              </w:rPr>
            </w:pPr>
            <w:r>
              <w:rPr>
                <w:rFonts w:ascii="Times New Roman" w:hAnsi="Times New Roman"/>
                <w:sz w:val="20"/>
              </w:rPr>
              <w:t>Other gains, net</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(79</w:t>
            </w:r>
          </w:p>
        </w:tc>
        <w:tc>
          <w:tcPr>
            <w:tcW w:w="80"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755"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358</w:t>
            </w:r>
          </w:p>
        </w:tc>
        <w:tc>
          <w:tcPr>
            <w:tcW w:w="95" w:type="dxa"/>
            <w:tcBorders/>
            <w:shd w:fill="auto" w:val="clear"/>
            <w:vAlign w:val="bottom"/>
          </w:tcPr>
          <w:p>
            <w:pPr>
              <w:pStyle w:val="TableContents"/>
              <w:spacing w:before="0" w:after="283"/>
              <w:jc w:val="left"/>
              <w:rPr/>
            </w:pPr>
            <w:r>
              <w:rPr/>
              <w:t> </w:t>
            </w:r>
          </w:p>
        </w:tc>
      </w:tr>
      <w:tr>
        <w:trPr/>
        <w:tc>
          <w:tcPr>
            <w:tcW w:w="6020" w:type="dxa"/>
            <w:tcBorders/>
            <w:shd w:fill="CCEEFF" w:val="clear"/>
            <w:vAlign w:val="bottom"/>
          </w:tcPr>
          <w:p>
            <w:pPr>
              <w:pStyle w:val="TableContents"/>
              <w:spacing w:before="0" w:after="0"/>
              <w:ind w:left="504" w:right="0" w:hanging="144"/>
              <w:jc w:val="left"/>
              <w:rPr>
                <w:rFonts w:ascii="Times New Roman" w:hAnsi="Times New Roman"/>
                <w:sz w:val="20"/>
              </w:rPr>
            </w:pPr>
            <w:r>
              <w:rPr>
                <w:rFonts w:ascii="Times New Roman" w:hAnsi="Times New Roman"/>
                <w:sz w:val="20"/>
              </w:rPr>
              <w:t>Net gain on sales of loans</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(2,918</w:t>
            </w:r>
          </w:p>
        </w:tc>
        <w:tc>
          <w:tcPr>
            <w:tcW w:w="80"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755"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(7,493</w:t>
            </w:r>
          </w:p>
        </w:tc>
        <w:tc>
          <w:tcPr>
            <w:tcW w:w="9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r>
      <w:tr>
        <w:trPr/>
        <w:tc>
          <w:tcPr>
            <w:tcW w:w="6020" w:type="dxa"/>
            <w:tcBorders/>
            <w:shd w:fill="auto" w:val="clear"/>
            <w:vAlign w:val="bottom"/>
          </w:tcPr>
          <w:p>
            <w:pPr>
              <w:pStyle w:val="TableContents"/>
              <w:spacing w:before="0" w:after="0"/>
              <w:ind w:left="504" w:right="0" w:hanging="144"/>
              <w:jc w:val="left"/>
              <w:rPr>
                <w:rFonts w:ascii="Times New Roman" w:hAnsi="Times New Roman"/>
                <w:sz w:val="20"/>
              </w:rPr>
            </w:pPr>
            <w:r>
              <w:rPr>
                <w:rFonts w:ascii="Times New Roman" w:hAnsi="Times New Roman"/>
                <w:sz w:val="20"/>
              </w:rPr>
              <w:t>Proceeds from sales of loans held for sale</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101,266</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755"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288,280</w:t>
            </w:r>
          </w:p>
        </w:tc>
        <w:tc>
          <w:tcPr>
            <w:tcW w:w="95" w:type="dxa"/>
            <w:tcBorders/>
            <w:shd w:fill="auto" w:val="clear"/>
            <w:vAlign w:val="bottom"/>
          </w:tcPr>
          <w:p>
            <w:pPr>
              <w:pStyle w:val="TableContents"/>
              <w:spacing w:before="0" w:after="283"/>
              <w:jc w:val="left"/>
              <w:rPr/>
            </w:pPr>
            <w:r>
              <w:rPr/>
              <w:t> </w:t>
            </w:r>
          </w:p>
        </w:tc>
      </w:tr>
      <w:tr>
        <w:trPr/>
        <w:tc>
          <w:tcPr>
            <w:tcW w:w="6020" w:type="dxa"/>
            <w:tcBorders/>
            <w:shd w:fill="CCEEFF" w:val="clear"/>
            <w:vAlign w:val="bottom"/>
          </w:tcPr>
          <w:p>
            <w:pPr>
              <w:pStyle w:val="TableContents"/>
              <w:spacing w:before="0" w:after="0"/>
              <w:ind w:left="504" w:right="0" w:hanging="144"/>
              <w:jc w:val="left"/>
              <w:rPr>
                <w:rFonts w:ascii="Times New Roman" w:hAnsi="Times New Roman"/>
                <w:sz w:val="20"/>
              </w:rPr>
            </w:pPr>
            <w:r>
              <w:rPr>
                <w:rFonts w:ascii="Times New Roman" w:hAnsi="Times New Roman"/>
                <w:sz w:val="20"/>
              </w:rPr>
              <w:t>Loans originated for sale</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(88,664</w:t>
            </w:r>
          </w:p>
        </w:tc>
        <w:tc>
          <w:tcPr>
            <w:tcW w:w="80"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755"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(235,129</w:t>
            </w:r>
          </w:p>
        </w:tc>
        <w:tc>
          <w:tcPr>
            <w:tcW w:w="9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r>
      <w:tr>
        <w:trPr/>
        <w:tc>
          <w:tcPr>
            <w:tcW w:w="6020" w:type="dxa"/>
            <w:tcBorders/>
            <w:shd w:fill="auto" w:val="clear"/>
            <w:vAlign w:val="bottom"/>
          </w:tcPr>
          <w:p>
            <w:pPr>
              <w:pStyle w:val="TableContents"/>
              <w:spacing w:before="0" w:after="0"/>
              <w:ind w:left="504" w:right="0" w:hanging="144"/>
              <w:jc w:val="left"/>
              <w:rPr>
                <w:rFonts w:ascii="Times New Roman" w:hAnsi="Times New Roman"/>
                <w:sz w:val="20"/>
              </w:rPr>
            </w:pPr>
            <w:r>
              <w:rPr>
                <w:rFonts w:ascii="Times New Roman" w:hAnsi="Times New Roman"/>
                <w:sz w:val="20"/>
              </w:rPr>
              <w:t>Deferred income tax expense</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283"/>
              <w:jc w:val="right"/>
              <w:rPr/>
            </w:pPr>
            <w:r>
              <w:rPr/>
              <w:t>47</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755" w:type="dxa"/>
            <w:tcBorders/>
            <w:shd w:fill="auto" w:val="clear"/>
            <w:vAlign w:val="bottom"/>
          </w:tcPr>
          <w:p>
            <w:pPr>
              <w:pStyle w:val="TableContents"/>
              <w:spacing w:before="0" w:after="283"/>
              <w:jc w:val="right"/>
              <w:rPr/>
            </w:pPr>
            <w:r>
              <w:rPr/>
              <w:t>2,620</w:t>
            </w:r>
          </w:p>
        </w:tc>
        <w:tc>
          <w:tcPr>
            <w:tcW w:w="95" w:type="dxa"/>
            <w:tcBorders/>
            <w:shd w:fill="auto" w:val="clear"/>
            <w:vAlign w:val="bottom"/>
          </w:tcPr>
          <w:p>
            <w:pPr>
              <w:pStyle w:val="TableContents"/>
              <w:spacing w:before="0" w:after="283"/>
              <w:jc w:val="left"/>
              <w:rPr/>
            </w:pPr>
            <w:r>
              <w:rPr/>
              <w:t> </w:t>
            </w:r>
          </w:p>
        </w:tc>
      </w:tr>
      <w:tr>
        <w:trPr/>
        <w:tc>
          <w:tcPr>
            <w:tcW w:w="6020" w:type="dxa"/>
            <w:tcBorders/>
            <w:shd w:fill="CCEEFF" w:val="clear"/>
            <w:vAlign w:val="bottom"/>
          </w:tcPr>
          <w:p>
            <w:pPr>
              <w:pStyle w:val="TableContents"/>
              <w:spacing w:before="0" w:after="0"/>
              <w:ind w:left="504" w:right="0" w:hanging="144"/>
              <w:jc w:val="left"/>
              <w:rPr>
                <w:rFonts w:ascii="Times New Roman" w:hAnsi="Times New Roman"/>
                <w:sz w:val="20"/>
              </w:rPr>
            </w:pPr>
            <w:r>
              <w:rPr>
                <w:rFonts w:ascii="Times New Roman" w:hAnsi="Times New Roman"/>
                <w:sz w:val="20"/>
              </w:rPr>
              <w:t>Earnings on bank-owned life insurance</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(300</w:t>
            </w:r>
          </w:p>
        </w:tc>
        <w:tc>
          <w:tcPr>
            <w:tcW w:w="80"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755"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(296</w:t>
            </w:r>
          </w:p>
        </w:tc>
        <w:tc>
          <w:tcPr>
            <w:tcW w:w="9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r>
      <w:tr>
        <w:trPr/>
        <w:tc>
          <w:tcPr>
            <w:tcW w:w="6020" w:type="dxa"/>
            <w:tcBorders/>
            <w:shd w:fill="auto" w:val="clear"/>
            <w:vAlign w:val="bottom"/>
          </w:tcPr>
          <w:p>
            <w:pPr>
              <w:pStyle w:val="TableContents"/>
              <w:spacing w:before="0" w:after="0"/>
              <w:ind w:left="504" w:right="0" w:hanging="144"/>
              <w:jc w:val="left"/>
              <w:rPr>
                <w:rFonts w:ascii="Times New Roman" w:hAnsi="Times New Roman"/>
                <w:sz w:val="20"/>
              </w:rPr>
            </w:pPr>
            <w:r>
              <w:rPr>
                <w:rFonts w:ascii="Times New Roman" w:hAnsi="Times New Roman"/>
                <w:sz w:val="20"/>
              </w:rPr>
              <w:t>Stock-based compensation</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525</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755"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528</w:t>
            </w:r>
          </w:p>
        </w:tc>
        <w:tc>
          <w:tcPr>
            <w:tcW w:w="95" w:type="dxa"/>
            <w:tcBorders/>
            <w:shd w:fill="auto" w:val="clear"/>
            <w:vAlign w:val="bottom"/>
          </w:tcPr>
          <w:p>
            <w:pPr>
              <w:pStyle w:val="TableContents"/>
              <w:spacing w:before="0" w:after="283"/>
              <w:jc w:val="left"/>
              <w:rPr/>
            </w:pPr>
            <w:r>
              <w:rPr/>
              <w:t> </w:t>
            </w:r>
          </w:p>
        </w:tc>
      </w:tr>
      <w:tr>
        <w:trPr/>
        <w:tc>
          <w:tcPr>
            <w:tcW w:w="6020" w:type="dxa"/>
            <w:tcBorders/>
            <w:shd w:fill="CCEEFF" w:val="clear"/>
            <w:vAlign w:val="bottom"/>
          </w:tcPr>
          <w:p>
            <w:pPr>
              <w:pStyle w:val="TableContents"/>
              <w:spacing w:before="0" w:after="0"/>
              <w:ind w:left="504" w:right="0" w:hanging="144"/>
              <w:jc w:val="left"/>
              <w:rPr>
                <w:rFonts w:ascii="Times New Roman" w:hAnsi="Times New Roman"/>
                <w:sz w:val="20"/>
              </w:rPr>
            </w:pPr>
            <w:r>
              <w:rPr>
                <w:rFonts w:ascii="Times New Roman" w:hAnsi="Times New Roman"/>
                <w:sz w:val="20"/>
              </w:rPr>
              <w:t>Change in valuation of mortgage servicing rights</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1,950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755"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(4,475</w:t>
            </w:r>
          </w:p>
        </w:tc>
        <w:tc>
          <w:tcPr>
            <w:tcW w:w="9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r>
      <w:tr>
        <w:trPr/>
        <w:tc>
          <w:tcPr>
            <w:tcW w:w="6020" w:type="dxa"/>
            <w:tcBorders/>
            <w:shd w:fill="auto" w:val="clear"/>
            <w:vAlign w:val="bottom"/>
          </w:tcPr>
          <w:p>
            <w:pPr>
              <w:pStyle w:val="TableContents"/>
              <w:spacing w:before="0" w:after="0"/>
              <w:ind w:left="504" w:right="0" w:hanging="144"/>
              <w:jc w:val="left"/>
              <w:rPr>
                <w:rFonts w:ascii="Times New Roman" w:hAnsi="Times New Roman"/>
                <w:sz w:val="20"/>
              </w:rPr>
            </w:pPr>
            <w:r>
              <w:rPr>
                <w:rFonts w:ascii="Times New Roman" w:hAnsi="Times New Roman"/>
                <w:sz w:val="20"/>
              </w:rPr>
              <w:t>Net change in:</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755"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r>
      <w:tr>
        <w:trPr/>
        <w:tc>
          <w:tcPr>
            <w:tcW w:w="6020" w:type="dxa"/>
            <w:tcBorders/>
            <w:shd w:fill="CCEEFF" w:val="clear"/>
            <w:vAlign w:val="bottom"/>
          </w:tcPr>
          <w:p>
            <w:pPr>
              <w:pStyle w:val="TableContents"/>
              <w:spacing w:before="0" w:after="0"/>
              <w:ind w:left="677" w:right="0" w:hanging="144"/>
              <w:jc w:val="left"/>
              <w:rPr>
                <w:rFonts w:ascii="Times New Roman" w:hAnsi="Times New Roman"/>
                <w:sz w:val="20"/>
              </w:rPr>
            </w:pPr>
            <w:r>
              <w:rPr>
                <w:rFonts w:ascii="Times New Roman" w:hAnsi="Times New Roman"/>
                <w:sz w:val="20"/>
              </w:rPr>
              <w:t>Accrued interest receivable and other assets</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609</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755"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1,995</w:t>
            </w:r>
          </w:p>
        </w:tc>
        <w:tc>
          <w:tcPr>
            <w:tcW w:w="95" w:type="dxa"/>
            <w:tcBorders/>
            <w:shd w:fill="CCEEFF" w:val="clear"/>
            <w:vAlign w:val="bottom"/>
          </w:tcPr>
          <w:p>
            <w:pPr>
              <w:pStyle w:val="TableContents"/>
              <w:spacing w:before="0" w:after="283"/>
              <w:jc w:val="left"/>
              <w:rPr/>
            </w:pPr>
            <w:r>
              <w:rPr/>
              <w:t> </w:t>
            </w:r>
          </w:p>
        </w:tc>
      </w:tr>
      <w:tr>
        <w:trPr/>
        <w:tc>
          <w:tcPr>
            <w:tcW w:w="6020" w:type="dxa"/>
            <w:tcBorders/>
            <w:shd w:fill="auto" w:val="clear"/>
            <w:vAlign w:val="bottom"/>
          </w:tcPr>
          <w:p>
            <w:pPr>
              <w:pStyle w:val="TableContents"/>
              <w:spacing w:before="0" w:after="0"/>
              <w:ind w:left="677" w:right="0" w:hanging="144"/>
              <w:jc w:val="left"/>
              <w:rPr>
                <w:rFonts w:ascii="Times New Roman" w:hAnsi="Times New Roman"/>
                <w:sz w:val="20"/>
              </w:rPr>
            </w:pPr>
            <w:r>
              <w:rPr>
                <w:rFonts w:ascii="Times New Roman" w:hAnsi="Times New Roman"/>
                <w:sz w:val="20"/>
              </w:rPr>
              <w:t>Accrued expenses and other liabilities</w:t>
            </w:r>
          </w:p>
        </w:tc>
        <w:tc>
          <w:tcPr>
            <w:tcW w:w="60" w:type="dxa"/>
            <w:tcBorders/>
            <w:shd w:fill="auto" w:val="clear"/>
            <w:vAlign w:val="bottom"/>
          </w:tcPr>
          <w:p>
            <w:pPr>
              <w:pStyle w:val="TableContents"/>
              <w:spacing w:before="0" w:after="283"/>
              <w:jc w:val="right"/>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95"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(4</w:t>
            </w:r>
          </w:p>
        </w:tc>
        <w:tc>
          <w:tcPr>
            <w:tcW w:w="80"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auto" w:val="clear"/>
            <w:vAlign w:val="bottom"/>
          </w:tcPr>
          <w:p>
            <w:pPr>
              <w:pStyle w:val="TableContents"/>
              <w:spacing w:before="0" w:after="283"/>
              <w:jc w:val="right"/>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755"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9,267</w:t>
            </w:r>
          </w:p>
        </w:tc>
        <w:tc>
          <w:tcPr>
            <w:tcW w:w="95" w:type="dxa"/>
            <w:tcBorders/>
            <w:shd w:fill="auto" w:val="clear"/>
            <w:vAlign w:val="bottom"/>
          </w:tcPr>
          <w:p>
            <w:pPr>
              <w:pStyle w:val="TableContents"/>
              <w:spacing w:before="0" w:after="283"/>
              <w:jc w:val="left"/>
              <w:rPr/>
            </w:pPr>
            <w:r>
              <w:rPr/>
              <w:t> </w:t>
            </w:r>
          </w:p>
        </w:tc>
      </w:tr>
      <w:tr>
        <w:trPr/>
        <w:tc>
          <w:tcPr>
            <w:tcW w:w="6020" w:type="dxa"/>
            <w:tcBorders/>
            <w:shd w:fill="CCEEFF" w:val="clear"/>
            <w:vAlign w:val="bottom"/>
          </w:tcPr>
          <w:p>
            <w:pPr>
              <w:pStyle w:val="TableContents"/>
              <w:spacing w:before="0" w:after="0"/>
              <w:ind w:left="864" w:right="0" w:hanging="144"/>
              <w:jc w:val="left"/>
              <w:rPr>
                <w:rFonts w:ascii="Times New Roman" w:hAnsi="Times New Roman"/>
                <w:sz w:val="20"/>
              </w:rPr>
            </w:pPr>
            <w:r>
              <w:rPr>
                <w:rFonts w:ascii="Times New Roman" w:hAnsi="Times New Roman"/>
                <w:sz w:val="20"/>
              </w:rPr>
              <w:t>Net cash provided by operating activities</w:t>
            </w:r>
          </w:p>
        </w:tc>
        <w:tc>
          <w:tcPr>
            <w:tcW w:w="6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25,375</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70,616</w:t>
            </w:r>
          </w:p>
        </w:tc>
        <w:tc>
          <w:tcPr>
            <w:tcW w:w="95" w:type="dxa"/>
            <w:tcBorders/>
            <w:shd w:fill="CCEEFF" w:val="clear"/>
            <w:vAlign w:val="bottom"/>
          </w:tcPr>
          <w:p>
            <w:pPr>
              <w:pStyle w:val="TableContents"/>
              <w:spacing w:before="0" w:after="283"/>
              <w:jc w:val="left"/>
              <w:rPr/>
            </w:pPr>
            <w:r>
              <w:rPr/>
              <w:t> </w:t>
            </w:r>
          </w:p>
        </w:tc>
      </w:tr>
      <w:tr>
        <w:trPr/>
        <w:tc>
          <w:tcPr>
            <w:tcW w:w="60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755"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r>
      <w:tr>
        <w:trPr/>
        <w:tc>
          <w:tcPr>
            <w:tcW w:w="6020" w:type="dxa"/>
            <w:tcBorders/>
            <w:shd w:fill="CCEE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Cash flows from investing activities:</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755"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r>
      <w:tr>
        <w:trPr/>
        <w:tc>
          <w:tcPr>
            <w:tcW w:w="6020" w:type="dxa"/>
            <w:tcBorders/>
            <w:shd w:fill="auto" w:val="clear"/>
            <w:vAlign w:val="bottom"/>
          </w:tcPr>
          <w:p>
            <w:pPr>
              <w:pStyle w:val="TableContents"/>
              <w:spacing w:before="0" w:after="0"/>
              <w:ind w:left="288" w:right="0" w:hanging="144"/>
              <w:jc w:val="left"/>
              <w:rPr>
                <w:rFonts w:ascii="Times New Roman" w:hAnsi="Times New Roman"/>
                <w:sz w:val="20"/>
              </w:rPr>
            </w:pPr>
            <w:r>
              <w:rPr>
                <w:rFonts w:ascii="Times New Roman" w:hAnsi="Times New Roman"/>
                <w:sz w:val="20"/>
              </w:rPr>
              <w:t>Activity in securities available for sale:</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755"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r>
      <w:tr>
        <w:trPr/>
        <w:tc>
          <w:tcPr>
            <w:tcW w:w="6020" w:type="dxa"/>
            <w:tcBorders/>
            <w:shd w:fill="CCEEFF" w:val="clear"/>
            <w:vAlign w:val="bottom"/>
          </w:tcPr>
          <w:p>
            <w:pPr>
              <w:pStyle w:val="TableContents"/>
              <w:spacing w:before="0" w:after="0"/>
              <w:ind w:left="504" w:right="0" w:hanging="144"/>
              <w:jc w:val="left"/>
              <w:rPr>
                <w:rFonts w:ascii="Times New Roman" w:hAnsi="Times New Roman"/>
                <w:sz w:val="20"/>
              </w:rPr>
            </w:pPr>
            <w:r>
              <w:rPr>
                <w:rFonts w:ascii="Times New Roman" w:hAnsi="Times New Roman"/>
                <w:sz w:val="20"/>
              </w:rPr>
              <w:t>Purchases</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0"/>
              <w:jc w:val="right"/>
              <w:rPr/>
            </w:pPr>
            <w:r>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755"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(132,412</w:t>
            </w:r>
          </w:p>
        </w:tc>
        <w:tc>
          <w:tcPr>
            <w:tcW w:w="9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r>
      <w:tr>
        <w:trPr/>
        <w:tc>
          <w:tcPr>
            <w:tcW w:w="6020" w:type="dxa"/>
            <w:tcBorders/>
            <w:shd w:fill="auto" w:val="clear"/>
            <w:vAlign w:val="bottom"/>
          </w:tcPr>
          <w:p>
            <w:pPr>
              <w:pStyle w:val="TableContents"/>
              <w:spacing w:before="0" w:after="0"/>
              <w:ind w:left="504" w:right="0" w:hanging="144"/>
              <w:jc w:val="left"/>
              <w:rPr>
                <w:rFonts w:ascii="Times New Roman" w:hAnsi="Times New Roman"/>
                <w:sz w:val="20"/>
              </w:rPr>
            </w:pPr>
            <w:r>
              <w:rPr>
                <w:rFonts w:ascii="Times New Roman" w:hAnsi="Times New Roman"/>
                <w:sz w:val="20"/>
              </w:rPr>
              <w:t>Maturities, prepayments, and calls</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10,811</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755"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17,618</w:t>
            </w:r>
          </w:p>
        </w:tc>
        <w:tc>
          <w:tcPr>
            <w:tcW w:w="95" w:type="dxa"/>
            <w:tcBorders/>
            <w:shd w:fill="auto" w:val="clear"/>
            <w:vAlign w:val="bottom"/>
          </w:tcPr>
          <w:p>
            <w:pPr>
              <w:pStyle w:val="TableContents"/>
              <w:spacing w:before="0" w:after="283"/>
              <w:jc w:val="left"/>
              <w:rPr/>
            </w:pPr>
            <w:r>
              <w:rPr/>
              <w:t> </w:t>
            </w:r>
          </w:p>
        </w:tc>
      </w:tr>
      <w:tr>
        <w:trPr/>
        <w:tc>
          <w:tcPr>
            <w:tcW w:w="6020" w:type="dxa"/>
            <w:tcBorders/>
            <w:shd w:fill="CCEEFF" w:val="clear"/>
            <w:vAlign w:val="bottom"/>
          </w:tcPr>
          <w:p>
            <w:pPr>
              <w:pStyle w:val="TableContents"/>
              <w:spacing w:before="0" w:after="0"/>
              <w:ind w:left="360" w:right="0" w:hanging="180"/>
              <w:jc w:val="left"/>
              <w:rPr>
                <w:rFonts w:ascii="Times New Roman" w:hAnsi="Times New Roman"/>
                <w:sz w:val="20"/>
              </w:rPr>
            </w:pPr>
            <w:r>
              <w:rPr>
                <w:rFonts w:ascii="Times New Roman" w:hAnsi="Times New Roman"/>
                <w:sz w:val="20"/>
              </w:rPr>
              <w:t>Loan originations and principal collections, net</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(41,634</w:t>
            </w:r>
          </w:p>
        </w:tc>
        <w:tc>
          <w:tcPr>
            <w:tcW w:w="80"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755"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(16,660</w:t>
            </w:r>
          </w:p>
        </w:tc>
        <w:tc>
          <w:tcPr>
            <w:tcW w:w="9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r>
      <w:tr>
        <w:trPr/>
        <w:tc>
          <w:tcPr>
            <w:tcW w:w="6020" w:type="dxa"/>
            <w:tcBorders/>
            <w:shd w:fill="auto" w:val="clear"/>
            <w:vAlign w:val="bottom"/>
          </w:tcPr>
          <w:p>
            <w:pPr>
              <w:pStyle w:val="TableContents"/>
              <w:spacing w:before="0" w:after="0"/>
              <w:ind w:left="360" w:right="0" w:hanging="180"/>
              <w:jc w:val="left"/>
              <w:rPr>
                <w:rFonts w:ascii="Times New Roman" w:hAnsi="Times New Roman"/>
                <w:sz w:val="20"/>
              </w:rPr>
            </w:pPr>
            <w:r>
              <w:rPr>
                <w:rFonts w:ascii="Times New Roman" w:hAnsi="Times New Roman"/>
                <w:sz w:val="20"/>
              </w:rPr>
              <w:t>Purchases of premises and equipment</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(1,560</w:t>
            </w:r>
          </w:p>
        </w:tc>
        <w:tc>
          <w:tcPr>
            <w:tcW w:w="80"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755"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(1,316</w:t>
            </w:r>
          </w:p>
        </w:tc>
        <w:tc>
          <w:tcPr>
            <w:tcW w:w="95"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r>
      <w:tr>
        <w:trPr/>
        <w:tc>
          <w:tcPr>
            <w:tcW w:w="6020" w:type="dxa"/>
            <w:tcBorders/>
            <w:shd w:fill="CCEEFF" w:val="clear"/>
            <w:vAlign w:val="bottom"/>
          </w:tcPr>
          <w:p>
            <w:pPr>
              <w:pStyle w:val="TableContents"/>
              <w:spacing w:before="0" w:after="0"/>
              <w:ind w:left="360" w:right="0" w:hanging="180"/>
              <w:jc w:val="left"/>
              <w:rPr>
                <w:rFonts w:ascii="Times New Roman" w:hAnsi="Times New Roman"/>
                <w:sz w:val="20"/>
              </w:rPr>
            </w:pPr>
            <w:r>
              <w:rPr>
                <w:rFonts w:ascii="Times New Roman" w:hAnsi="Times New Roman"/>
                <w:sz w:val="20"/>
              </w:rPr>
              <w:t>Proceeds from sales of premises and equipment</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642</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755"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39</w:t>
            </w:r>
          </w:p>
        </w:tc>
        <w:tc>
          <w:tcPr>
            <w:tcW w:w="95" w:type="dxa"/>
            <w:tcBorders/>
            <w:shd w:fill="CCEEFF" w:val="clear"/>
            <w:vAlign w:val="bottom"/>
          </w:tcPr>
          <w:p>
            <w:pPr>
              <w:pStyle w:val="TableContents"/>
              <w:spacing w:before="0" w:after="283"/>
              <w:jc w:val="left"/>
              <w:rPr/>
            </w:pPr>
            <w:r>
              <w:rPr/>
              <w:t> </w:t>
            </w:r>
          </w:p>
        </w:tc>
      </w:tr>
      <w:tr>
        <w:trPr/>
        <w:tc>
          <w:tcPr>
            <w:tcW w:w="6020" w:type="dxa"/>
            <w:tcBorders/>
            <w:shd w:fill="auto" w:val="clear"/>
            <w:vAlign w:val="bottom"/>
          </w:tcPr>
          <w:p>
            <w:pPr>
              <w:pStyle w:val="TableContents"/>
              <w:spacing w:before="0" w:after="0"/>
              <w:ind w:left="360" w:right="0" w:hanging="180"/>
              <w:jc w:val="left"/>
              <w:rPr>
                <w:rFonts w:ascii="Times New Roman" w:hAnsi="Times New Roman"/>
                <w:sz w:val="20"/>
              </w:rPr>
            </w:pPr>
            <w:r>
              <w:rPr>
                <w:rFonts w:ascii="Times New Roman" w:hAnsi="Times New Roman"/>
                <w:sz w:val="20"/>
              </w:rPr>
              <w:t>Proceeds from sales of foreclosed assets</w:t>
            </w:r>
          </w:p>
        </w:tc>
        <w:tc>
          <w:tcPr>
            <w:tcW w:w="60" w:type="dxa"/>
            <w:tcBorders/>
            <w:shd w:fill="auto" w:val="clear"/>
            <w:vAlign w:val="bottom"/>
          </w:tcPr>
          <w:p>
            <w:pPr>
              <w:pStyle w:val="TableContents"/>
              <w:spacing w:before="0" w:after="283"/>
              <w:jc w:val="right"/>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95"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412</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755"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133</w:t>
            </w:r>
          </w:p>
        </w:tc>
        <w:tc>
          <w:tcPr>
            <w:tcW w:w="95" w:type="dxa"/>
            <w:tcBorders/>
            <w:shd w:fill="auto" w:val="clear"/>
            <w:vAlign w:val="bottom"/>
          </w:tcPr>
          <w:p>
            <w:pPr>
              <w:pStyle w:val="TableContents"/>
              <w:spacing w:before="0" w:after="283"/>
              <w:jc w:val="left"/>
              <w:rPr/>
            </w:pPr>
            <w:r>
              <w:rPr/>
              <w:t> </w:t>
            </w:r>
          </w:p>
        </w:tc>
      </w:tr>
      <w:tr>
        <w:trPr/>
        <w:tc>
          <w:tcPr>
            <w:tcW w:w="6020" w:type="dxa"/>
            <w:tcBorders/>
            <w:shd w:fill="CCEEFF" w:val="clear"/>
            <w:vAlign w:val="bottom"/>
          </w:tcPr>
          <w:p>
            <w:pPr>
              <w:pStyle w:val="TableContents"/>
              <w:spacing w:before="0" w:after="0"/>
              <w:ind w:left="864" w:right="0" w:hanging="144"/>
              <w:jc w:val="left"/>
              <w:rPr>
                <w:rFonts w:ascii="Times New Roman" w:hAnsi="Times New Roman"/>
                <w:sz w:val="20"/>
              </w:rPr>
            </w:pPr>
            <w:r>
              <w:rPr>
                <w:rFonts w:ascii="Times New Roman" w:hAnsi="Times New Roman"/>
                <w:sz w:val="20"/>
              </w:rPr>
              <w:t>Net cash used in investing activities</w:t>
            </w:r>
          </w:p>
        </w:tc>
        <w:tc>
          <w:tcPr>
            <w:tcW w:w="6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(31,329</w:t>
            </w:r>
          </w:p>
        </w:tc>
        <w:tc>
          <w:tcPr>
            <w:tcW w:w="80"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(132,598</w:t>
            </w:r>
          </w:p>
        </w:tc>
        <w:tc>
          <w:tcPr>
            <w:tcW w:w="9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r>
      <w:tr>
        <w:trPr/>
        <w:tc>
          <w:tcPr>
            <w:tcW w:w="60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755"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r>
      <w:tr>
        <w:trPr/>
        <w:tc>
          <w:tcPr>
            <w:tcW w:w="6020" w:type="dxa"/>
            <w:tcBorders/>
            <w:shd w:fill="CCEE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Cash flows from financing activities:</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755"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r>
      <w:tr>
        <w:trPr/>
        <w:tc>
          <w:tcPr>
            <w:tcW w:w="6020" w:type="dxa"/>
            <w:tcBorders/>
            <w:shd w:fill="auto" w:val="clear"/>
            <w:vAlign w:val="bottom"/>
          </w:tcPr>
          <w:p>
            <w:pPr>
              <w:pStyle w:val="TableContents"/>
              <w:spacing w:before="0" w:after="0"/>
              <w:ind w:left="288" w:right="0" w:hanging="144"/>
              <w:jc w:val="left"/>
              <w:rPr>
                <w:rFonts w:ascii="Times New Roman" w:hAnsi="Times New Roman"/>
                <w:sz w:val="20"/>
              </w:rPr>
            </w:pPr>
            <w:r>
              <w:rPr>
                <w:rFonts w:ascii="Times New Roman" w:hAnsi="Times New Roman"/>
                <w:sz w:val="20"/>
              </w:rPr>
              <w:t>Net change in deposits</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101,624</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755"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108,935</w:t>
            </w:r>
          </w:p>
        </w:tc>
        <w:tc>
          <w:tcPr>
            <w:tcW w:w="95" w:type="dxa"/>
            <w:tcBorders/>
            <w:shd w:fill="auto" w:val="clear"/>
            <w:vAlign w:val="bottom"/>
          </w:tcPr>
          <w:p>
            <w:pPr>
              <w:pStyle w:val="TableContents"/>
              <w:spacing w:before="0" w:after="283"/>
              <w:jc w:val="left"/>
              <w:rPr/>
            </w:pPr>
            <w:r>
              <w:rPr/>
              <w:t> </w:t>
            </w:r>
          </w:p>
        </w:tc>
      </w:tr>
      <w:tr>
        <w:trPr/>
        <w:tc>
          <w:tcPr>
            <w:tcW w:w="6020" w:type="dxa"/>
            <w:tcBorders/>
            <w:shd w:fill="CCEEFF" w:val="clear"/>
            <w:vAlign w:val="bottom"/>
          </w:tcPr>
          <w:p>
            <w:pPr>
              <w:pStyle w:val="TableContents"/>
              <w:spacing w:before="0" w:after="0"/>
              <w:ind w:left="288" w:right="0" w:hanging="144"/>
              <w:jc w:val="left"/>
              <w:rPr>
                <w:rFonts w:ascii="Times New Roman" w:hAnsi="Times New Roman"/>
                <w:sz w:val="20"/>
              </w:rPr>
            </w:pPr>
            <w:r>
              <w:rPr>
                <w:rFonts w:ascii="Times New Roman" w:hAnsi="Times New Roman"/>
                <w:sz w:val="20"/>
              </w:rPr>
              <w:t>Payments to tax authorities for stock-based compensation</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(343</w:t>
            </w:r>
          </w:p>
        </w:tc>
        <w:tc>
          <w:tcPr>
            <w:tcW w:w="80"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755"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(195</w:t>
            </w:r>
          </w:p>
        </w:tc>
        <w:tc>
          <w:tcPr>
            <w:tcW w:w="9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r>
      <w:tr>
        <w:trPr/>
        <w:tc>
          <w:tcPr>
            <w:tcW w:w="6020" w:type="dxa"/>
            <w:tcBorders/>
            <w:shd w:fill="auto" w:val="clear"/>
            <w:vAlign w:val="bottom"/>
          </w:tcPr>
          <w:p>
            <w:pPr>
              <w:pStyle w:val="TableContents"/>
              <w:spacing w:before="0" w:after="0"/>
              <w:ind w:left="288" w:right="0" w:hanging="144"/>
              <w:jc w:val="left"/>
              <w:rPr>
                <w:rFonts w:ascii="Times New Roman" w:hAnsi="Times New Roman"/>
                <w:sz w:val="20"/>
              </w:rPr>
            </w:pPr>
            <w:r>
              <w:rPr>
                <w:rFonts w:ascii="Times New Roman" w:hAnsi="Times New Roman"/>
                <w:sz w:val="20"/>
              </w:rPr>
              <w:t>Cash dividends paid on common stock</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(2,208</w:t>
            </w:r>
          </w:p>
        </w:tc>
        <w:tc>
          <w:tcPr>
            <w:tcW w:w="80"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755"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(1,950</w:t>
            </w:r>
          </w:p>
        </w:tc>
        <w:tc>
          <w:tcPr>
            <w:tcW w:w="95"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r>
      <w:tr>
        <w:trPr/>
        <w:tc>
          <w:tcPr>
            <w:tcW w:w="6020" w:type="dxa"/>
            <w:tcBorders/>
            <w:shd w:fill="CCEEFF" w:val="clear"/>
            <w:vAlign w:val="bottom"/>
          </w:tcPr>
          <w:p>
            <w:pPr>
              <w:pStyle w:val="TableContents"/>
              <w:spacing w:before="0" w:after="0"/>
              <w:ind w:left="288" w:right="0" w:hanging="144"/>
              <w:jc w:val="left"/>
              <w:rPr>
                <w:rFonts w:ascii="Times New Roman" w:hAnsi="Times New Roman"/>
                <w:sz w:val="20"/>
              </w:rPr>
            </w:pPr>
            <w:r>
              <w:rPr>
                <w:rFonts w:ascii="Times New Roman" w:hAnsi="Times New Roman"/>
                <w:sz w:val="20"/>
              </w:rPr>
              <w:t>Payments to repurchase common stock</w:t>
            </w:r>
          </w:p>
        </w:tc>
        <w:tc>
          <w:tcPr>
            <w:tcW w:w="6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spacing w:before="0" w:after="0"/>
              <w:jc w:val="right"/>
              <w:rPr/>
            </w:pPr>
            <w:r>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(3,017</w:t>
            </w:r>
          </w:p>
        </w:tc>
        <w:tc>
          <w:tcPr>
            <w:tcW w:w="9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r>
      <w:tr>
        <w:trPr/>
        <w:tc>
          <w:tcPr>
            <w:tcW w:w="6020" w:type="dxa"/>
            <w:tcBorders/>
            <w:shd w:fill="auto" w:val="clear"/>
            <w:vAlign w:val="bottom"/>
          </w:tcPr>
          <w:p>
            <w:pPr>
              <w:pStyle w:val="TableContents"/>
              <w:spacing w:before="0" w:after="0"/>
              <w:ind w:left="864" w:right="0" w:hanging="144"/>
              <w:jc w:val="left"/>
              <w:rPr>
                <w:rFonts w:ascii="Times New Roman" w:hAnsi="Times New Roman"/>
                <w:sz w:val="20"/>
              </w:rPr>
            </w:pPr>
            <w:r>
              <w:rPr>
                <w:rFonts w:ascii="Times New Roman" w:hAnsi="Times New Roman"/>
                <w:sz w:val="20"/>
              </w:rPr>
              <w:t>Net cash provided by financing activities</w:t>
            </w:r>
          </w:p>
        </w:tc>
        <w:tc>
          <w:tcPr>
            <w:tcW w:w="60" w:type="dxa"/>
            <w:tcBorders/>
            <w:shd w:fill="auto" w:val="clear"/>
            <w:vAlign w:val="bottom"/>
          </w:tcPr>
          <w:p>
            <w:pPr>
              <w:pStyle w:val="TableContents"/>
              <w:spacing w:before="0" w:after="283"/>
              <w:jc w:val="right"/>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95"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99,073</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755"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103,773</w:t>
            </w:r>
          </w:p>
        </w:tc>
        <w:tc>
          <w:tcPr>
            <w:tcW w:w="95" w:type="dxa"/>
            <w:tcBorders/>
            <w:shd w:fill="auto" w:val="clear"/>
            <w:vAlign w:val="bottom"/>
          </w:tcPr>
          <w:p>
            <w:pPr>
              <w:pStyle w:val="TableContents"/>
              <w:spacing w:before="0" w:after="283"/>
              <w:jc w:val="left"/>
              <w:rPr/>
            </w:pPr>
            <w:r>
              <w:rPr/>
              <w:t> </w:t>
            </w:r>
          </w:p>
        </w:tc>
      </w:tr>
      <w:tr>
        <w:trPr/>
        <w:tc>
          <w:tcPr>
            <w:tcW w:w="60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755"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r>
      <w:tr>
        <w:trPr/>
        <w:tc>
          <w:tcPr>
            <w:tcW w:w="6020" w:type="dxa"/>
            <w:tcBorders/>
            <w:shd w:fill="auto"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Net change in cash and cash equivalents</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93,119</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755"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41,791</w:t>
            </w:r>
          </w:p>
        </w:tc>
        <w:tc>
          <w:tcPr>
            <w:tcW w:w="95" w:type="dxa"/>
            <w:tcBorders/>
            <w:shd w:fill="auto" w:val="clear"/>
            <w:vAlign w:val="bottom"/>
          </w:tcPr>
          <w:p>
            <w:pPr>
              <w:pStyle w:val="TableContents"/>
              <w:spacing w:before="0" w:after="283"/>
              <w:jc w:val="left"/>
              <w:rPr/>
            </w:pPr>
            <w:r>
              <w:rPr/>
              <w:t> </w:t>
            </w:r>
          </w:p>
        </w:tc>
      </w:tr>
      <w:tr>
        <w:trPr/>
        <w:tc>
          <w:tcPr>
            <w:tcW w:w="6020" w:type="dxa"/>
            <w:tcBorders/>
            <w:shd w:fill="CCEE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Beginning cash and cash equivalents</w:t>
            </w:r>
          </w:p>
        </w:tc>
        <w:tc>
          <w:tcPr>
            <w:tcW w:w="6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234,883</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486,821</w:t>
            </w:r>
          </w:p>
        </w:tc>
        <w:tc>
          <w:tcPr>
            <w:tcW w:w="95" w:type="dxa"/>
            <w:tcBorders/>
            <w:shd w:fill="CCEEFF" w:val="clear"/>
            <w:vAlign w:val="bottom"/>
          </w:tcPr>
          <w:p>
            <w:pPr>
              <w:pStyle w:val="TableContents"/>
              <w:spacing w:before="0" w:after="283"/>
              <w:jc w:val="left"/>
              <w:rPr/>
            </w:pPr>
            <w:r>
              <w:rPr/>
              <w:t> </w:t>
            </w:r>
          </w:p>
        </w:tc>
      </w:tr>
      <w:tr>
        <w:trPr/>
        <w:tc>
          <w:tcPr>
            <w:tcW w:w="6020" w:type="dxa"/>
            <w:tcBorders/>
            <w:shd w:fill="auto"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Ending cash and cash equivalents</w:t>
            </w:r>
          </w:p>
        </w:tc>
        <w:tc>
          <w:tcPr>
            <w:tcW w:w="60" w:type="dxa"/>
            <w:tcBorders/>
            <w:shd w:fill="auto" w:val="clear"/>
            <w:vAlign w:val="bottom"/>
          </w:tcPr>
          <w:p>
            <w:pPr>
              <w:pStyle w:val="TableContents"/>
              <w:spacing w:before="0" w:after="283"/>
              <w:jc w:val="right"/>
              <w:rPr/>
            </w:pPr>
            <w:r>
              <w:rPr/>
              <w:t> </w:t>
            </w:r>
          </w:p>
        </w:tc>
        <w:tc>
          <w:tcPr>
            <w:tcW w:w="125"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95"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328,002</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755"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528,612</w:t>
            </w:r>
          </w:p>
        </w:tc>
        <w:tc>
          <w:tcPr>
            <w:tcW w:w="95" w:type="dxa"/>
            <w:tcBorders/>
            <w:shd w:fill="auto" w:val="clear"/>
            <w:vAlign w:val="bottom"/>
          </w:tcPr>
          <w:p>
            <w:pPr>
              <w:pStyle w:val="TableContents"/>
              <w:spacing w:before="0" w:after="283"/>
              <w:jc w:val="left"/>
              <w:rPr/>
            </w:pPr>
            <w:r>
              <w:rPr/>
              <w:t> </w:t>
            </w:r>
          </w:p>
        </w:tc>
      </w:tr>
      <w:tr>
        <w:trPr/>
        <w:tc>
          <w:tcPr>
            <w:tcW w:w="6020" w:type="dxa"/>
            <w:tcBorders/>
            <w:shd w:fill="CCEEFF" w:val="clear"/>
            <w:vAlign w:val="bottom"/>
          </w:tcPr>
          <w:p>
            <w:pPr>
              <w:pStyle w:val="TableContents"/>
              <w:spacing w:before="0" w:after="283"/>
              <w:rPr/>
            </w:pPr>
            <w:r>
              <w:rPr/>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755"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r>
      <w:tr>
        <w:trPr/>
        <w:tc>
          <w:tcPr>
            <w:tcW w:w="6020" w:type="dxa"/>
            <w:tcBorders/>
            <w:shd w:fill="auto"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Supplemental disclosures of cash flow information:</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755"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r>
      <w:tr>
        <w:trPr/>
        <w:tc>
          <w:tcPr>
            <w:tcW w:w="6020" w:type="dxa"/>
            <w:tcBorders/>
            <w:shd w:fill="CCEEFF" w:val="clear"/>
            <w:vAlign w:val="bottom"/>
          </w:tcPr>
          <w:p>
            <w:pPr>
              <w:pStyle w:val="TableContents"/>
              <w:spacing w:before="0" w:after="0"/>
              <w:ind w:left="288" w:right="0" w:hanging="144"/>
              <w:jc w:val="left"/>
              <w:rPr>
                <w:rFonts w:ascii="Times New Roman" w:hAnsi="Times New Roman"/>
                <w:sz w:val="20"/>
              </w:rPr>
            </w:pPr>
            <w:r>
              <w:rPr>
                <w:rFonts w:ascii="Times New Roman" w:hAnsi="Times New Roman"/>
                <w:sz w:val="20"/>
              </w:rPr>
              <w:t>Interest paid on deposits and borrowed funds</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13,215</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755"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3,553</w:t>
            </w:r>
          </w:p>
        </w:tc>
        <w:tc>
          <w:tcPr>
            <w:tcW w:w="95" w:type="dxa"/>
            <w:tcBorders/>
            <w:shd w:fill="CCEEFF" w:val="clear"/>
            <w:vAlign w:val="bottom"/>
          </w:tcPr>
          <w:p>
            <w:pPr>
              <w:pStyle w:val="TableContents"/>
              <w:spacing w:before="0" w:after="283"/>
              <w:jc w:val="left"/>
              <w:rPr/>
            </w:pPr>
            <w:r>
              <w:rPr/>
              <w:t> </w:t>
            </w:r>
          </w:p>
        </w:tc>
      </w:tr>
      <w:tr>
        <w:trPr/>
        <w:tc>
          <w:tcPr>
            <w:tcW w:w="6020" w:type="dxa"/>
            <w:tcBorders/>
            <w:shd w:fill="auto" w:val="clear"/>
            <w:vAlign w:val="bottom"/>
          </w:tcPr>
          <w:p>
            <w:pPr>
              <w:pStyle w:val="TableContents"/>
              <w:spacing w:before="0" w:after="0"/>
              <w:ind w:left="288" w:right="0" w:hanging="144"/>
              <w:rPr/>
            </w:pPr>
            <w:r>
              <w:rPr/>
              <w:t>Income taxes paid</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283"/>
              <w:jc w:val="right"/>
              <w:rPr/>
            </w:pPr>
            <w:r>
              <w:rPr/>
              <w:t>—</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755"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jc w:val="left"/>
              <w:rPr/>
            </w:pPr>
            <w:r>
              <w:rPr/>
              <w:t> </w:t>
            </w:r>
          </w:p>
        </w:tc>
      </w:tr>
      <w:tr>
        <w:trPr/>
        <w:tc>
          <w:tcPr>
            <w:tcW w:w="6020" w:type="dxa"/>
            <w:tcBorders/>
            <w:shd w:fill="CCEE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Supplemental schedule of noncash activities:</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755"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r>
      <w:tr>
        <w:trPr/>
        <w:tc>
          <w:tcPr>
            <w:tcW w:w="6020" w:type="dxa"/>
            <w:tcBorders/>
            <w:shd w:fill="auto" w:val="clear"/>
            <w:vAlign w:val="bottom"/>
          </w:tcPr>
          <w:p>
            <w:pPr>
              <w:pStyle w:val="TableContents"/>
              <w:spacing w:before="0" w:after="0"/>
              <w:ind w:left="288" w:right="0" w:hanging="144"/>
              <w:jc w:val="left"/>
              <w:rPr>
                <w:rFonts w:ascii="Times New Roman" w:hAnsi="Times New Roman"/>
                <w:sz w:val="20"/>
              </w:rPr>
            </w:pPr>
            <w:r>
              <w:rPr>
                <w:rFonts w:ascii="Times New Roman" w:hAnsi="Times New Roman"/>
                <w:sz w:val="20"/>
              </w:rPr>
              <w:t>Loans transferred to foreclosed assets</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95"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445</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755"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242</w:t>
            </w:r>
          </w:p>
        </w:tc>
        <w:tc>
          <w:tcPr>
            <w:tcW w:w="95" w:type="dxa"/>
            <w:tcBorders/>
            <w:shd w:fill="auto" w:val="clear"/>
            <w:vAlign w:val="bottom"/>
          </w:tcPr>
          <w:p>
            <w:pPr>
              <w:pStyle w:val="TableContents"/>
              <w:spacing w:before="0" w:after="283"/>
              <w:jc w:val="left"/>
              <w:rPr/>
            </w:pPr>
            <w:r>
              <w:rPr/>
              <w:t> </w:t>
            </w:r>
          </w:p>
        </w:tc>
      </w:tr>
      <w:tr>
        <w:trPr/>
        <w:tc>
          <w:tcPr>
            <w:tcW w:w="6020" w:type="dxa"/>
            <w:tcBorders/>
            <w:shd w:fill="CCEEFF" w:val="clear"/>
            <w:vAlign w:val="bottom"/>
          </w:tcPr>
          <w:p>
            <w:pPr>
              <w:pStyle w:val="TableContents"/>
              <w:spacing w:before="0" w:after="0"/>
              <w:ind w:left="288" w:right="0" w:hanging="144"/>
              <w:jc w:val="left"/>
              <w:rPr>
                <w:rFonts w:ascii="Times New Roman" w:hAnsi="Times New Roman"/>
                <w:sz w:val="20"/>
              </w:rPr>
            </w:pPr>
            <w:r>
              <w:rPr>
                <w:rFonts w:ascii="Times New Roman" w:hAnsi="Times New Roman"/>
                <w:sz w:val="20"/>
              </w:rPr>
              <w:t>Additions to mortgage servicing rights</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271</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755"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1,250</w:t>
            </w:r>
          </w:p>
        </w:tc>
        <w:tc>
          <w:tcPr>
            <w:tcW w:w="95" w:type="dxa"/>
            <w:tcBorders/>
            <w:shd w:fill="CCEEFF" w:val="clear"/>
            <w:vAlign w:val="bottom"/>
          </w:tcPr>
          <w:p>
            <w:pPr>
              <w:pStyle w:val="TableContents"/>
              <w:spacing w:before="0" w:after="283"/>
              <w:jc w:val="left"/>
              <w:rPr/>
            </w:pPr>
            <w:r>
              <w:rPr/>
              <w:t> </w:t>
            </w:r>
          </w:p>
        </w:tc>
      </w:tr>
    </w:tbl>
    <w:p>
      <w:pPr>
        <w:pStyle w:val="TextBody"/>
        <w:spacing w:before="0" w:after="0"/>
        <w:jc w:val="left"/>
        <w:rPr/>
      </w:pPr>
      <w:r>
        <w:rPr/>
      </w:r>
    </w:p>
    <w:p>
      <w:pPr>
        <w:pStyle w:val="TextBody"/>
        <w:spacing w:before="0" w:after="0"/>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b w:val="false"/>
            <w:i/>
            <w:color w:val="000000"/>
            <w:sz w:val="16"/>
          </w:rPr>
          <w:t>Table of Contents</w:t>
        </w:r>
      </w:hyperlink>
    </w:p>
    <w:p>
      <w:pPr>
        <w:pStyle w:val="TextBody"/>
        <w:spacing w:before="0" w:after="0"/>
        <w:jc w:val="center"/>
        <w:rPr>
          <w:rFonts w:ascii="Times New Roman" w:hAnsi="Times New Roman"/>
          <w:b/>
          <w:color w:val="000000"/>
          <w:sz w:val="20"/>
        </w:rPr>
      </w:pPr>
      <w:r>
        <w:rPr>
          <w:rFonts w:ascii="Times New Roman" w:hAnsi="Times New Roman"/>
          <w:b/>
          <w:color w:val="000000"/>
          <w:sz w:val="20"/>
        </w:rPr>
        <w:t>SOUTH PLAINS FINANCIAL, INC. AND SUBSIDIARIES</w:t>
      </w:r>
    </w:p>
    <w:p>
      <w:pPr>
        <w:pStyle w:val="TextBody"/>
        <w:spacing w:before="0" w:after="0"/>
        <w:jc w:val="center"/>
        <w:rPr>
          <w:rFonts w:ascii="Times New Roman" w:hAnsi="Times New Roman"/>
          <w:b/>
          <w:color w:val="000000"/>
          <w:sz w:val="20"/>
        </w:rPr>
      </w:pPr>
      <w:bookmarkStart w:id="8" w:name="NOTESTOCONSOLIDATEDFINANC"/>
      <w:bookmarkEnd w:id="8"/>
      <w:r>
        <w:rPr>
          <w:rFonts w:ascii="Times New Roman" w:hAnsi="Times New Roman"/>
          <w:b/>
          <w:color w:val="000000"/>
          <w:sz w:val="20"/>
        </w:rPr>
        <w:t>NOTES TO CONSOLIDATED FINANCIAL STATEMENTS</w:t>
      </w:r>
    </w:p>
    <w:p>
      <w:pPr>
        <w:pStyle w:val="TextBody"/>
        <w:spacing w:before="0" w:after="0"/>
        <w:jc w:val="center"/>
        <w:rPr>
          <w:rFonts w:ascii="Times New Roman" w:hAnsi="Times New Roman"/>
          <w:b/>
          <w:color w:val="000000"/>
          <w:sz w:val="20"/>
        </w:rPr>
      </w:pPr>
      <w:r>
        <w:rPr>
          <w:rFonts w:ascii="Times New Roman" w:hAnsi="Times New Roman"/>
          <w:b/>
          <w:color w:val="000000"/>
          <w:sz w:val="20"/>
        </w:rPr>
        <w:t>(Unaudited)</w:t>
      </w:r>
    </w:p>
    <w:p>
      <w:pPr>
        <w:pStyle w:val="TextBody"/>
        <w:spacing w:before="0" w:after="0"/>
        <w:jc w:val="left"/>
        <w:rPr>
          <w:rFonts w:ascii="Times New Roman" w:hAnsi="Times New Roman"/>
          <w:b/>
          <w:color w:val="000000"/>
          <w:sz w:val="20"/>
        </w:rPr>
      </w:pPr>
      <w:r>
        <w:rPr>
          <w:rFonts w:ascii="Times New Roman" w:hAnsi="Times New Roman"/>
          <w:b/>
          <w:color w:val="000000"/>
          <w:sz w:val="20"/>
        </w:rPr>
        <w:t>1.  SUMMARY OF SIGNIFICANT ACCOUNTING POLICIES</w:t>
      </w:r>
    </w:p>
    <w:p>
      <w:pPr>
        <w:pStyle w:val="TextBody"/>
        <w:spacing w:before="0" w:after="0"/>
        <w:jc w:val="left"/>
        <w:rPr/>
      </w:pPr>
      <w:r>
        <w:rPr/>
      </w:r>
    </w:p>
    <w:p>
      <w:pPr>
        <w:pStyle w:val="TextBody"/>
        <w:spacing w:before="0" w:after="0"/>
        <w:jc w:val="left"/>
        <w:rPr/>
      </w:pPr>
      <w:r>
        <w:rPr/>
      </w:r>
    </w:p>
    <w:p>
      <w:pPr>
        <w:pStyle w:val="TextBody"/>
        <w:spacing w:before="0" w:after="0"/>
        <w:ind w:left="0" w:right="0" w:firstLine="1"/>
        <w:jc w:val="both"/>
        <w:rPr>
          <w:rFonts w:ascii="Times New Roman" w:hAnsi="Times New Roman"/>
          <w:color w:val="000000"/>
          <w:sz w:val="20"/>
        </w:rPr>
      </w:pPr>
      <w:r>
        <w:rPr>
          <w:rFonts w:ascii="Times New Roman" w:hAnsi="Times New Roman"/>
          <w:i/>
          <w:color w:val="000000"/>
          <w:sz w:val="20"/>
          <w:u w:val="single"/>
        </w:rPr>
        <w:t>Nature of Operations</w:t>
      </w:r>
      <w:r>
        <w:rPr>
          <w:rFonts w:ascii="Times New Roman" w:hAnsi="Times New Roman"/>
          <w:color w:val="000000"/>
          <w:sz w:val="20"/>
        </w:rPr>
        <w:t xml:space="preserve"> – South Plains Financial, Inc. (“SPFI”) is a Texas corporation and registered bank holding company that conducts its principal activities through its subsidiaries from offices located throughout Texas and Eastern New Mexico. Principal activities include commercial and retail banking, along with investment, trust, and mortgage services. The following were subsidiaries of SPFI as of March 31, 2023:</w:t>
      </w:r>
    </w:p>
    <w:p>
      <w:pPr>
        <w:pStyle w:val="TextBody"/>
        <w:spacing w:before="0" w:after="0"/>
        <w:jc w:val="left"/>
        <w:rPr/>
      </w:pPr>
      <w:r>
        <w:rPr/>
      </w:r>
    </w:p>
    <w:tbl>
      <w:tblPr>
        <w:tblW w:w="6055" w:type="dxa"/>
        <w:jc w:val="left"/>
        <w:tblInd w:w="0" w:type="dxa"/>
        <w:tblCellMar>
          <w:top w:w="0" w:type="dxa"/>
          <w:left w:w="0" w:type="dxa"/>
          <w:bottom w:w="0" w:type="dxa"/>
          <w:right w:w="0" w:type="dxa"/>
        </w:tblCellMar>
      </w:tblPr>
      <w:tblGrid>
        <w:gridCol w:w="4205"/>
        <w:gridCol w:w="1850"/>
      </w:tblGrid>
      <w:tr>
        <w:trPr/>
        <w:tc>
          <w:tcPr>
            <w:tcW w:w="4205" w:type="dxa"/>
            <w:tcBorders/>
            <w:shd w:fill="auto" w:val="clear"/>
            <w:vAlign w:val="center"/>
          </w:tcPr>
          <w:p>
            <w:pPr>
              <w:pStyle w:val="TableContents"/>
              <w:spacing w:before="0" w:after="0"/>
              <w:ind w:left="180" w:right="0" w:hanging="180"/>
              <w:jc w:val="left"/>
              <w:rPr>
                <w:rFonts w:ascii="Times New Roman" w:hAnsi="Times New Roman"/>
                <w:sz w:val="20"/>
              </w:rPr>
            </w:pPr>
            <w:r>
              <w:rPr>
                <w:rFonts w:ascii="Times New Roman" w:hAnsi="Times New Roman"/>
                <w:sz w:val="20"/>
              </w:rPr>
              <w:t>Wholly-Owned, Consolidated Subsidiaries:</w:t>
            </w:r>
          </w:p>
        </w:tc>
        <w:tc>
          <w:tcPr>
            <w:tcW w:w="1850" w:type="dxa"/>
            <w:tcBorders/>
            <w:shd w:fill="auto" w:val="clear"/>
            <w:vAlign w:val="center"/>
          </w:tcPr>
          <w:p>
            <w:pPr>
              <w:pStyle w:val="TableContents"/>
              <w:spacing w:before="0" w:after="283"/>
              <w:rPr/>
            </w:pPr>
            <w:r>
              <w:rPr/>
              <w:t> </w:t>
            </w:r>
          </w:p>
        </w:tc>
      </w:tr>
      <w:tr>
        <w:trPr/>
        <w:tc>
          <w:tcPr>
            <w:tcW w:w="4205" w:type="dxa"/>
            <w:tcBorders/>
            <w:shd w:fill="CCEEFF" w:val="clear"/>
            <w:vAlign w:val="center"/>
          </w:tcPr>
          <w:p>
            <w:pPr>
              <w:pStyle w:val="TableContents"/>
              <w:spacing w:before="0" w:after="0"/>
              <w:ind w:left="288" w:right="0" w:hanging="0"/>
              <w:jc w:val="left"/>
              <w:rPr>
                <w:rFonts w:ascii="Times New Roman" w:hAnsi="Times New Roman"/>
                <w:sz w:val="20"/>
              </w:rPr>
            </w:pPr>
            <w:r>
              <w:rPr>
                <w:rFonts w:ascii="Times New Roman" w:hAnsi="Times New Roman"/>
                <w:sz w:val="20"/>
              </w:rPr>
              <w:t>City Bank</w:t>
            </w:r>
          </w:p>
        </w:tc>
        <w:tc>
          <w:tcPr>
            <w:tcW w:w="1850" w:type="dxa"/>
            <w:tcBorders/>
            <w:shd w:fill="CCEEFF" w:val="clear"/>
            <w:vAlign w:val="center"/>
          </w:tcPr>
          <w:p>
            <w:pPr>
              <w:pStyle w:val="TableContents"/>
              <w:spacing w:before="0" w:after="0"/>
              <w:jc w:val="both"/>
              <w:rPr>
                <w:rFonts w:ascii="Times New Roman" w:hAnsi="Times New Roman"/>
                <w:sz w:val="20"/>
              </w:rPr>
            </w:pPr>
            <w:r>
              <w:rPr>
                <w:rFonts w:ascii="Times New Roman" w:hAnsi="Times New Roman"/>
                <w:sz w:val="20"/>
              </w:rPr>
              <w:t>Bank subsidiary</w:t>
            </w:r>
          </w:p>
        </w:tc>
      </w:tr>
      <w:tr>
        <w:trPr/>
        <w:tc>
          <w:tcPr>
            <w:tcW w:w="4205" w:type="dxa"/>
            <w:tcBorders/>
            <w:shd w:fill="auto" w:val="clear"/>
            <w:vAlign w:val="center"/>
          </w:tcPr>
          <w:p>
            <w:pPr>
              <w:pStyle w:val="TableContents"/>
              <w:spacing w:before="0" w:after="0"/>
              <w:ind w:left="288" w:right="0" w:hanging="0"/>
              <w:jc w:val="left"/>
              <w:rPr>
                <w:rFonts w:ascii="Times New Roman" w:hAnsi="Times New Roman"/>
                <w:sz w:val="20"/>
              </w:rPr>
            </w:pPr>
            <w:r>
              <w:rPr>
                <w:rFonts w:ascii="Times New Roman" w:hAnsi="Times New Roman"/>
                <w:sz w:val="20"/>
              </w:rPr>
              <w:t>Windmark Insurance Agency, Inc. (“Windmark”)</w:t>
            </w:r>
          </w:p>
        </w:tc>
        <w:tc>
          <w:tcPr>
            <w:tcW w:w="185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Non-bank subsidiary</w:t>
            </w:r>
          </w:p>
        </w:tc>
      </w:tr>
      <w:tr>
        <w:trPr/>
        <w:tc>
          <w:tcPr>
            <w:tcW w:w="4205" w:type="dxa"/>
            <w:tcBorders/>
            <w:shd w:fill="CCEEFF" w:val="clear"/>
            <w:vAlign w:val="center"/>
          </w:tcPr>
          <w:p>
            <w:pPr>
              <w:pStyle w:val="TableContents"/>
              <w:spacing w:before="0" w:after="0"/>
              <w:ind w:left="288" w:right="0" w:hanging="0"/>
              <w:jc w:val="left"/>
              <w:rPr>
                <w:rFonts w:ascii="Times New Roman" w:hAnsi="Times New Roman"/>
                <w:sz w:val="20"/>
              </w:rPr>
            </w:pPr>
            <w:r>
              <w:rPr>
                <w:rFonts w:ascii="Times New Roman" w:hAnsi="Times New Roman"/>
                <w:sz w:val="20"/>
              </w:rPr>
              <w:t>Ruidoso Retail, Inc.</w:t>
            </w:r>
          </w:p>
        </w:tc>
        <w:tc>
          <w:tcPr>
            <w:tcW w:w="1850" w:type="dxa"/>
            <w:tcBorders/>
            <w:shd w:fill="CCEEFF" w:val="clear"/>
            <w:vAlign w:val="center"/>
          </w:tcPr>
          <w:p>
            <w:pPr>
              <w:pStyle w:val="TableContents"/>
              <w:spacing w:before="0" w:after="0"/>
              <w:jc w:val="both"/>
              <w:rPr>
                <w:rFonts w:ascii="Times New Roman" w:hAnsi="Times New Roman"/>
                <w:sz w:val="20"/>
              </w:rPr>
            </w:pPr>
            <w:r>
              <w:rPr>
                <w:rFonts w:ascii="Times New Roman" w:hAnsi="Times New Roman"/>
                <w:sz w:val="20"/>
              </w:rPr>
              <w:t>Non-bank subsidiary</w:t>
            </w:r>
          </w:p>
        </w:tc>
      </w:tr>
      <w:tr>
        <w:trPr/>
        <w:tc>
          <w:tcPr>
            <w:tcW w:w="4205" w:type="dxa"/>
            <w:tcBorders/>
            <w:shd w:fill="auto" w:val="clear"/>
            <w:vAlign w:val="center"/>
          </w:tcPr>
          <w:p>
            <w:pPr>
              <w:pStyle w:val="TableContents"/>
              <w:spacing w:before="0" w:after="0"/>
              <w:ind w:left="288" w:right="0" w:hanging="0"/>
              <w:jc w:val="left"/>
              <w:rPr>
                <w:rFonts w:ascii="Times New Roman" w:hAnsi="Times New Roman"/>
                <w:sz w:val="20"/>
              </w:rPr>
            </w:pPr>
            <w:r>
              <w:rPr>
                <w:rFonts w:ascii="Times New Roman" w:hAnsi="Times New Roman"/>
                <w:sz w:val="20"/>
              </w:rPr>
              <w:t>CB Provence, LLC</w:t>
            </w:r>
          </w:p>
        </w:tc>
        <w:tc>
          <w:tcPr>
            <w:tcW w:w="185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Non-bank subsidiary</w:t>
            </w:r>
          </w:p>
        </w:tc>
      </w:tr>
      <w:tr>
        <w:trPr/>
        <w:tc>
          <w:tcPr>
            <w:tcW w:w="4205" w:type="dxa"/>
            <w:tcBorders/>
            <w:shd w:fill="CCEEFF" w:val="clear"/>
            <w:vAlign w:val="center"/>
          </w:tcPr>
          <w:p>
            <w:pPr>
              <w:pStyle w:val="TableContents"/>
              <w:spacing w:before="0" w:after="0"/>
              <w:ind w:left="288" w:right="0" w:hanging="0"/>
              <w:jc w:val="left"/>
              <w:rPr>
                <w:rFonts w:ascii="Times New Roman" w:hAnsi="Times New Roman"/>
                <w:sz w:val="20"/>
              </w:rPr>
            </w:pPr>
            <w:r>
              <w:rPr>
                <w:rFonts w:ascii="Times New Roman" w:hAnsi="Times New Roman"/>
                <w:sz w:val="20"/>
              </w:rPr>
              <w:t>CBT Brushy Creek, LLC</w:t>
            </w:r>
          </w:p>
        </w:tc>
        <w:tc>
          <w:tcPr>
            <w:tcW w:w="1850" w:type="dxa"/>
            <w:tcBorders/>
            <w:shd w:fill="CCEEFF" w:val="clear"/>
            <w:vAlign w:val="center"/>
          </w:tcPr>
          <w:p>
            <w:pPr>
              <w:pStyle w:val="TableContents"/>
              <w:spacing w:before="0" w:after="0"/>
              <w:jc w:val="both"/>
              <w:rPr>
                <w:rFonts w:ascii="Times New Roman" w:hAnsi="Times New Roman"/>
                <w:sz w:val="20"/>
              </w:rPr>
            </w:pPr>
            <w:r>
              <w:rPr>
                <w:rFonts w:ascii="Times New Roman" w:hAnsi="Times New Roman"/>
                <w:sz w:val="20"/>
              </w:rPr>
              <w:t>Non-bank subsidiary</w:t>
            </w:r>
          </w:p>
        </w:tc>
      </w:tr>
      <w:tr>
        <w:trPr/>
        <w:tc>
          <w:tcPr>
            <w:tcW w:w="4205" w:type="dxa"/>
            <w:tcBorders/>
            <w:shd w:fill="auto" w:val="clear"/>
            <w:vAlign w:val="center"/>
          </w:tcPr>
          <w:p>
            <w:pPr>
              <w:pStyle w:val="TableContents"/>
              <w:spacing w:before="0" w:after="0"/>
              <w:ind w:left="288" w:right="0" w:hanging="0"/>
              <w:jc w:val="left"/>
              <w:rPr>
                <w:rFonts w:ascii="Times New Roman" w:hAnsi="Times New Roman"/>
                <w:sz w:val="20"/>
              </w:rPr>
            </w:pPr>
            <w:r>
              <w:rPr>
                <w:rFonts w:ascii="Times New Roman" w:hAnsi="Times New Roman"/>
                <w:sz w:val="20"/>
              </w:rPr>
              <w:t>CBT Properties, LLC</w:t>
            </w:r>
          </w:p>
        </w:tc>
        <w:tc>
          <w:tcPr>
            <w:tcW w:w="185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Non-bank subsidiary</w:t>
            </w:r>
          </w:p>
        </w:tc>
      </w:tr>
      <w:tr>
        <w:trPr/>
        <w:tc>
          <w:tcPr>
            <w:tcW w:w="4205" w:type="dxa"/>
            <w:tcBorders/>
            <w:shd w:fill="CCEEFF" w:val="clear"/>
            <w:vAlign w:val="center"/>
          </w:tcPr>
          <w:p>
            <w:pPr>
              <w:pStyle w:val="TableContents"/>
              <w:spacing w:before="0" w:after="0"/>
              <w:ind w:left="180" w:right="0" w:hanging="0"/>
              <w:jc w:val="left"/>
              <w:rPr>
                <w:rFonts w:ascii="Times New Roman" w:hAnsi="Times New Roman"/>
                <w:sz w:val="20"/>
              </w:rPr>
            </w:pPr>
            <w:r>
              <w:rPr>
                <w:rFonts w:ascii="Times New Roman" w:hAnsi="Times New Roman"/>
                <w:sz w:val="20"/>
              </w:rPr>
              <w:t>Wholly-Owned, Equity Method Subsidiaries:</w:t>
            </w:r>
          </w:p>
        </w:tc>
        <w:tc>
          <w:tcPr>
            <w:tcW w:w="1850" w:type="dxa"/>
            <w:tcBorders/>
            <w:shd w:fill="CCEEFF" w:val="clear"/>
            <w:vAlign w:val="center"/>
          </w:tcPr>
          <w:p>
            <w:pPr>
              <w:pStyle w:val="TableContents"/>
              <w:spacing w:before="0" w:after="283"/>
              <w:rPr/>
            </w:pPr>
            <w:r>
              <w:rPr/>
              <w:t> </w:t>
            </w:r>
          </w:p>
        </w:tc>
      </w:tr>
      <w:tr>
        <w:trPr/>
        <w:tc>
          <w:tcPr>
            <w:tcW w:w="4205" w:type="dxa"/>
            <w:tcBorders/>
            <w:shd w:fill="auto" w:val="clear"/>
            <w:vAlign w:val="center"/>
          </w:tcPr>
          <w:p>
            <w:pPr>
              <w:pStyle w:val="TableContents"/>
              <w:spacing w:before="0" w:after="0"/>
              <w:ind w:left="288" w:right="0" w:hanging="0"/>
              <w:jc w:val="left"/>
              <w:rPr>
                <w:rFonts w:ascii="Times New Roman" w:hAnsi="Times New Roman"/>
                <w:sz w:val="20"/>
              </w:rPr>
            </w:pPr>
            <w:r>
              <w:rPr>
                <w:rFonts w:ascii="Times New Roman" w:hAnsi="Times New Roman"/>
                <w:sz w:val="20"/>
              </w:rPr>
              <w:t>South Plains Financial Capital Trusts (SPFCT) III-V</w:t>
            </w:r>
          </w:p>
        </w:tc>
        <w:tc>
          <w:tcPr>
            <w:tcW w:w="1850"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sz w:val="20"/>
              </w:rPr>
              <w:t>Non-bank subsidiaries</w:t>
            </w:r>
          </w:p>
        </w:tc>
      </w:tr>
    </w:tbl>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i/>
          <w:color w:val="000000"/>
          <w:sz w:val="20"/>
          <w:u w:val="single"/>
        </w:rPr>
        <w:t>Basis of Presentation and Consolidation</w:t>
      </w:r>
      <w:r>
        <w:rPr>
          <w:rFonts w:ascii="Times New Roman" w:hAnsi="Times New Roman"/>
          <w:color w:val="000000"/>
          <w:sz w:val="20"/>
        </w:rPr>
        <w:t xml:space="preserve"> – The consolidated financial statements in this Quarterly Report on Form 10-Q for the three months ended March 31, 2023 (this “Form 10-Q”) include the accounts of SPFI and its wholly-owned consolidated subsidiaries (collectively referred to as the “Company”) identified above. All significant intercompany balances and transactions have been eliminated in consolidation.</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interim consolidated financial statements in this Form 10-Q have not been audited by an independent registered public accounting firm, but in the opinion of management, reflect all adjustments necessary for a fair presentation of the Company’s financial position, results of operations, and cash flows. All such adjustments were of a normal and recurring nature. The consolidated financial statements have been prepared in accordance with accounting principles generally accepted in the United States of America (“GAAP”) for interim financial information and with the instructions to Form 10-Q adopted by the Securities and Exchange Commission (“SEC”). Accordingly, the financial statements do not include all of the information and notes required by GAAP for complete financial statements and should be read in conjunction with the Company’s audited consolidated financial statements, and notes thereto in the Company’s Annual Report on Form 10-K for the year ended December 31, 2022. Operating results for the interim periods disclosed herein are not necessarily indicative of the results that may be expected for a full year or any future period.</w:t>
      </w:r>
    </w:p>
    <w:p>
      <w:pPr>
        <w:pStyle w:val="TextBody"/>
        <w:spacing w:before="0" w:after="0"/>
        <w:jc w:val="left"/>
        <w:rPr/>
      </w:pPr>
      <w:r>
        <w:rPr/>
      </w:r>
    </w:p>
    <w:p>
      <w:pPr>
        <w:pStyle w:val="TextBody"/>
        <w:spacing w:before="0" w:after="0"/>
        <w:ind w:left="0" w:right="0" w:hanging="0"/>
        <w:jc w:val="both"/>
        <w:rPr>
          <w:rFonts w:ascii="Times New Roman" w:hAnsi="Times New Roman"/>
          <w:color w:val="000000"/>
          <w:sz w:val="20"/>
        </w:rPr>
      </w:pPr>
      <w:r>
        <w:rPr>
          <w:rFonts w:ascii="Times New Roman" w:hAnsi="Times New Roman"/>
          <w:i/>
          <w:color w:val="000000"/>
          <w:sz w:val="20"/>
          <w:u w:val="single"/>
        </w:rPr>
        <w:t>Use of Estimates</w:t>
      </w:r>
      <w:r>
        <w:rPr>
          <w:rFonts w:ascii="Times New Roman" w:hAnsi="Times New Roman"/>
          <w:color w:val="000000"/>
          <w:sz w:val="20"/>
        </w:rPr>
        <w:t xml:space="preserve"> – 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Determination of the adequacy of the allowance for credit losses </w:t>
      </w:r>
      <w:r>
        <w:rPr>
          <w:rFonts w:ascii="Times New Roman" w:hAnsi="Times New Roman"/>
          <w:b w:val="false"/>
          <w:i w:val="false"/>
          <w:caps w:val="false"/>
          <w:smallCaps w:val="false"/>
          <w:color w:val="000000"/>
          <w:spacing w:val="0"/>
          <w:sz w:val="20"/>
        </w:rPr>
        <w:t>(“ACL”)</w:t>
      </w:r>
      <w:r>
        <w:rPr>
          <w:rFonts w:ascii="Times New Roman" w:hAnsi="Times New Roman"/>
          <w:caps w:val="false"/>
          <w:smallCaps w:val="false"/>
          <w:color w:val="000000"/>
          <w:sz w:val="20"/>
        </w:rPr>
        <w:t xml:space="preserve"> </w:t>
      </w:r>
      <w:r>
        <w:rPr>
          <w:rFonts w:ascii="Times New Roman" w:hAnsi="Times New Roman"/>
          <w:color w:val="000000"/>
          <w:sz w:val="20"/>
        </w:rPr>
        <w:t>is a material estimate that is particularly susceptible to significant change in the near term; the assumptions used in stock-based compensation, derivatives, mortgage servicing rights, and fair values of financial instruments can also involve significant management estimates.</w:t>
      </w:r>
    </w:p>
    <w:p>
      <w:pPr>
        <w:pStyle w:val="TextBody"/>
        <w:spacing w:before="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r>
    </w:p>
    <w:p>
      <w:pPr>
        <w:pStyle w:val="TextBody"/>
        <w:spacing w:before="0" w:after="0"/>
        <w:jc w:val="both"/>
        <w:rPr>
          <w:rFonts w:ascii="Times New Roman" w:hAnsi="Times New Roman"/>
          <w:b w:val="false"/>
          <w:i w:val="false"/>
          <w:caps w:val="false"/>
          <w:smallCaps w:val="false"/>
          <w:color w:val="000000"/>
          <w:sz w:val="20"/>
        </w:rPr>
      </w:pPr>
      <w:r>
        <w:rPr>
          <w:rFonts w:ascii="Times New Roman" w:hAnsi="Times New Roman"/>
          <w:b w:val="false"/>
          <w:i/>
          <w:caps w:val="false"/>
          <w:smallCaps w:val="false"/>
          <w:color w:val="000000"/>
          <w:sz w:val="20"/>
          <w:u w:val="single"/>
        </w:rPr>
        <w:t>Accounting Changes</w:t>
      </w:r>
      <w:r>
        <w:rPr>
          <w:rFonts w:ascii="Times New Roman" w:hAnsi="Times New Roman"/>
          <w:b w:val="false"/>
          <w:i w:val="false"/>
          <w:caps w:val="false"/>
          <w:smallCaps w:val="false"/>
          <w:color w:val="000000"/>
          <w:sz w:val="20"/>
        </w:rPr>
        <w:t xml:space="preserve"> – Updates to the Financial Accounting Standards Board (“FASB”) Accounting Standards Codification (“ASC”) are prescribed in Accounting Standards Updates (“ASUs”), which are not authoritative until incorporated into the ASC.</w:t>
      </w:r>
    </w:p>
    <w:p>
      <w:pPr>
        <w:pStyle w:val="TextBody"/>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r>
    </w:p>
    <w:p>
      <w:pPr>
        <w:pStyle w:val="TextBody"/>
        <w:spacing w:before="0" w:after="0"/>
        <w:jc w:val="both"/>
        <w:rPr/>
      </w:pPr>
      <w:r>
        <w:rPr/>
      </w:r>
    </w:p>
    <w:p>
      <w:pPr>
        <w:pStyle w:val="TextBody"/>
        <w:spacing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caps w:val="false"/>
          <w:smallCaps w:val="false"/>
          <w:color w:val="000000"/>
          <w:spacing w:val="0"/>
          <w:sz w:val="20"/>
        </w:rPr>
        <w:t>ASU 2016-13 Financial Instruments - Credit Losses (Topic 326).</w:t>
      </w:r>
      <w:r>
        <w:rPr>
          <w:rFonts w:ascii="Times New Roman" w:hAnsi="Times New Roman"/>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The FASB issued guidance to replace the incurred loss model with an expected loss model, which is referred to as the current expected credit loss (“CECL”) model. The CECL model is applicable to the measurement of credit losses on financial assets measured at amortized cost, including loan receivables and held to maturity debt securities. The CECL model also applies to off-balance sheet credit exposures not accounted for as insurance (loan commitments, standby letters of credit, financial guarantees, and other similar instruments) and net investments in sales type and direct financing leases recognized by a lessor in accordance with Topic 842 on leases.  In addition, Topic 326 made changes to the accounting for securities available for sale. One such change is to require credit losses to be presented as an allowance rather than as a write-down on securities available for sale management does not intend to sell or believes that it is more likely than not they will be required to sell.  The Company adopted the CECL model on January 1, 2023 using the modified retrospective approach, as a result, the Company recognized a one-time, after tax cumulative effect debit adjustment of $997 thousand to retained earnings, increased the ACL for loans by approximately $100 thousand and increased the ACL for off-balance sheet credit exposures by approximately $1.2 million.  Results for reporting periods beginning after January 1, 2023 are presented under Topic 326, while prior period amounts continue to be reported in accordance with previously applicable GAAP.</w:t>
      </w:r>
    </w:p>
    <w:p>
      <w:pPr>
        <w:pStyle w:val="TextBody"/>
        <w:spacing w:before="0" w:after="0"/>
        <w:jc w:val="both"/>
        <w:rPr/>
      </w:pPr>
      <w:r>
        <w:rPr/>
      </w:r>
    </w:p>
    <w:p>
      <w:pPr>
        <w:pStyle w:val="TextBody"/>
        <w:spacing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w:t>
      </w:r>
    </w:p>
    <w:p>
      <w:pPr>
        <w:pStyle w:val="HorizontalLine"/>
        <w:spacing w:before="200" w:after="200"/>
        <w:jc w:val="both"/>
        <w:rPr/>
      </w:pPr>
      <w:r>
        <w:rPr/>
      </w:r>
    </w:p>
    <w:p>
      <w:pPr>
        <w:pStyle w:val="TextBody"/>
        <w:spacing w:before="200" w:after="200"/>
        <w:jc w:val="both"/>
        <w:rPr/>
      </w:pPr>
      <w:hyperlink w:anchor="TABLEOFCONTENTS">
        <w:r>
          <w:rPr>
            <w:rStyle w:val="InternetLink"/>
            <w:rFonts w:ascii="Times New Roman" w:hAnsi="Times New Roman"/>
            <w:b w:val="false"/>
            <w:i/>
            <w:caps w:val="false"/>
            <w:smallCaps w:val="false"/>
            <w:color w:val="000000"/>
            <w:sz w:val="16"/>
          </w:rPr>
          <w:t>Table of Contents</w:t>
        </w:r>
      </w:hyperlink>
    </w:p>
    <w:p>
      <w:pPr>
        <w:pStyle w:val="TextBody"/>
        <w:spacing w:before="0" w:after="0"/>
        <w:ind w:left="0" w:right="0" w:hanging="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pacing w:val="0"/>
          <w:sz w:val="20"/>
        </w:rPr>
        <w:t>The Company made the following policy elections related to the adoption of the CECL model: (i) accrued interest will be written off against interest income when financial assets are placed into nonaccrual status.  Therefore, accrued interest will be excluded from the amortized cost basis for purposes of calculating the ACL.  Accrued interest receivable is presented in a separate line item in the Company’s Consolidated Balance Sheets. (ii) The fair value of collateral practical expedient has been elected on certain loans in determining the ACL, for which the repayment is expected to be provided substantially through the operation or sale of the collateral when the borrower is experiencing financial difficulty.</w:t>
      </w:r>
      <w:r>
        <w:rPr>
          <w:rFonts w:ascii="Times New Roman" w:hAnsi="Times New Roman"/>
          <w:b w:val="false"/>
          <w:i w:val="false"/>
          <w:caps w:val="false"/>
          <w:smallCaps w:val="false"/>
          <w:color w:val="000000"/>
          <w:sz w:val="20"/>
        </w:rPr>
        <w:t xml:space="preserve"> </w:t>
      </w:r>
    </w:p>
    <w:p>
      <w:pPr>
        <w:pStyle w:val="TextBody"/>
        <w:spacing w:before="0" w:after="0"/>
        <w:jc w:val="both"/>
        <w:rPr/>
      </w:pPr>
      <w:r>
        <w:rPr/>
      </w:r>
    </w:p>
    <w:p>
      <w:pPr>
        <w:pStyle w:val="TextBody"/>
        <w:spacing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spacing w:before="0" w:after="0"/>
        <w:jc w:val="both"/>
        <w:rPr/>
      </w:pPr>
      <w:r>
        <w:rPr/>
      </w:r>
    </w:p>
    <w:p>
      <w:pPr>
        <w:pStyle w:val="TextBody"/>
        <w:spacing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 impact on the ACL resulting from the adoption of the CECL model is shown below.</w:t>
      </w:r>
      <w:r>
        <w:rPr>
          <w:rFonts w:ascii="Times New Roman" w:hAnsi="Times New Roman"/>
          <w:b w:val="false"/>
          <w:i w:val="false"/>
          <w:caps w:val="false"/>
          <w:smallCaps w:val="false"/>
          <w:color w:val="000000"/>
          <w:spacing w:val="0"/>
          <w:sz w:val="20"/>
        </w:rPr>
        <w:t xml:space="preserve"> </w:t>
      </w:r>
    </w:p>
    <w:p>
      <w:pPr>
        <w:pStyle w:val="TextBody"/>
        <w:spacing w:before="0" w:after="0"/>
        <w:jc w:val="both"/>
        <w:rPr/>
      </w:pPr>
      <w:r>
        <w:rPr/>
      </w:r>
    </w:p>
    <w:p>
      <w:pPr>
        <w:pStyle w:val="TextBody"/>
        <w:spacing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spacing w:before="0" w:after="0"/>
        <w:jc w:val="both"/>
        <w:rPr/>
      </w:pPr>
      <w:r>
        <w:rPr/>
      </w:r>
    </w:p>
    <w:tbl>
      <w:tblPr>
        <w:tblW w:w="8364" w:type="dxa"/>
        <w:jc w:val="left"/>
        <w:tblInd w:w="0" w:type="dxa"/>
        <w:tblCellMar>
          <w:top w:w="0" w:type="dxa"/>
          <w:left w:w="0" w:type="dxa"/>
          <w:bottom w:w="0" w:type="dxa"/>
          <w:right w:w="0" w:type="dxa"/>
        </w:tblCellMar>
      </w:tblPr>
      <w:tblGrid>
        <w:gridCol w:w="4760"/>
        <w:gridCol w:w="60"/>
        <w:gridCol w:w="202"/>
        <w:gridCol w:w="958"/>
        <w:gridCol w:w="60"/>
        <w:gridCol w:w="60"/>
        <w:gridCol w:w="154"/>
        <w:gridCol w:w="675"/>
        <w:gridCol w:w="80"/>
        <w:gridCol w:w="60"/>
        <w:gridCol w:w="213"/>
        <w:gridCol w:w="1007"/>
        <w:gridCol w:w="75"/>
      </w:tblGrid>
      <w:tr>
        <w:trPr/>
        <w:tc>
          <w:tcPr>
            <w:tcW w:w="4760" w:type="dxa"/>
            <w:tcBorders/>
            <w:shd w:fill="auto" w:val="clear"/>
            <w:vAlign w:val="bottom"/>
          </w:tcPr>
          <w:p>
            <w:pPr>
              <w:pStyle w:val="TableContents"/>
              <w:spacing w:before="0" w:after="283"/>
              <w:rPr/>
            </w:pPr>
            <w:r>
              <w:rPr/>
              <w:t> </w:t>
            </w:r>
            <w:r>
              <w:rPr/>
              <w:t xml:space="preserve">(Dollars in </w:t>
            </w:r>
            <w:r>
              <w:rPr>
                <w:rFonts w:ascii="Times New Roman" w:hAnsi="Times New Roman"/>
                <w:sz w:val="20"/>
              </w:rPr>
              <w:t>thousand</w:t>
            </w:r>
            <w:r>
              <w:rPr/>
              <w:t>s)</w:t>
            </w:r>
          </w:p>
        </w:tc>
        <w:tc>
          <w:tcPr>
            <w:tcW w:w="60" w:type="dxa"/>
            <w:tcBorders/>
            <w:shd w:fill="auto" w:val="clear"/>
            <w:vAlign w:val="bottom"/>
          </w:tcPr>
          <w:p>
            <w:pPr>
              <w:pStyle w:val="TableContents"/>
              <w:spacing w:before="0" w:after="283"/>
              <w:rPr/>
            </w:pPr>
            <w:r>
              <w:rPr/>
              <w:t> </w:t>
            </w:r>
          </w:p>
        </w:tc>
        <w:tc>
          <w:tcPr>
            <w:tcW w:w="3469" w:type="dxa"/>
            <w:gridSpan w:val="10"/>
            <w:tcBorders>
              <w:bottom w:val="single" w:sz="12" w:space="0" w:color="000000"/>
            </w:tcBorders>
            <w:shd w:fill="auto" w:val="clear"/>
            <w:tcMar>
              <w:bottom w:w="28" w:type="dxa"/>
            </w:tcMar>
            <w:vAlign w:val="bottom"/>
          </w:tcPr>
          <w:p>
            <w:pPr>
              <w:pStyle w:val="TableContents"/>
              <w:spacing w:before="0" w:after="0"/>
              <w:jc w:val="center"/>
              <w:rPr>
                <w:b/>
              </w:rPr>
            </w:pPr>
            <w:r>
              <w:rPr>
                <w:b/>
              </w:rPr>
              <w:t>January 1, 2023</w:t>
            </w:r>
          </w:p>
        </w:tc>
        <w:tc>
          <w:tcPr>
            <w:tcW w:w="75" w:type="dxa"/>
            <w:tcBorders/>
            <w:shd w:fill="auto" w:val="clear"/>
            <w:vAlign w:val="bottom"/>
          </w:tcPr>
          <w:p>
            <w:pPr>
              <w:pStyle w:val="TableContents"/>
              <w:spacing w:before="0" w:after="283"/>
              <w:jc w:val="left"/>
              <w:rPr/>
            </w:pPr>
            <w:r>
              <w:rPr/>
              <w:t> </w:t>
            </w:r>
          </w:p>
        </w:tc>
      </w:tr>
      <w:tr>
        <w:trPr/>
        <w:tc>
          <w:tcPr>
            <w:tcW w:w="4760" w:type="dxa"/>
            <w:tcBorders/>
            <w:shd w:fill="auto" w:val="clear"/>
            <w:vAlign w:val="bottom"/>
          </w:tcPr>
          <w:p>
            <w:pPr>
              <w:pStyle w:val="TableContents"/>
              <w:spacing w:before="0" w:after="283"/>
              <w:rPr/>
            </w:pPr>
            <w:r>
              <w:rPr/>
            </w:r>
          </w:p>
        </w:tc>
        <w:tc>
          <w:tcPr>
            <w:tcW w:w="60" w:type="dxa"/>
            <w:tcBorders/>
            <w:shd w:fill="auto" w:val="clear"/>
            <w:vAlign w:val="bottom"/>
          </w:tcPr>
          <w:p>
            <w:pPr>
              <w:pStyle w:val="TableContents"/>
              <w:spacing w:before="0" w:after="283"/>
              <w:rPr/>
            </w:pPr>
            <w:r>
              <w:rPr/>
              <w:t> </w:t>
            </w:r>
          </w:p>
        </w:tc>
        <w:tc>
          <w:tcPr>
            <w:tcW w:w="1160" w:type="dxa"/>
            <w:gridSpan w:val="2"/>
            <w:tcBorders>
              <w:bottom w:val="single" w:sz="12" w:space="0" w:color="000000"/>
            </w:tcBorders>
            <w:shd w:fill="auto" w:val="clear"/>
            <w:tcMar>
              <w:bottom w:w="28" w:type="dxa"/>
            </w:tcMar>
            <w:vAlign w:val="bottom"/>
          </w:tcPr>
          <w:p>
            <w:pPr>
              <w:pStyle w:val="TableContents"/>
              <w:spacing w:before="0" w:after="0"/>
              <w:rPr/>
            </w:pPr>
            <w:r>
              <w:rPr/>
            </w:r>
          </w:p>
          <w:p>
            <w:pPr>
              <w:pStyle w:val="TableContents"/>
              <w:spacing w:before="0" w:after="0"/>
              <w:jc w:val="center"/>
              <w:rPr>
                <w:rFonts w:ascii="Times New Roman" w:hAnsi="Times New Roman"/>
                <w:b/>
                <w:sz w:val="20"/>
              </w:rPr>
            </w:pPr>
            <w:r>
              <w:rPr>
                <w:rFonts w:ascii="Times New Roman" w:hAnsi="Times New Roman"/>
                <w:b/>
                <w:sz w:val="20"/>
              </w:rPr>
              <w:t>Pre-Adoption</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29"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Impact of</w:t>
            </w:r>
          </w:p>
          <w:p>
            <w:pPr>
              <w:pStyle w:val="TableContents"/>
              <w:spacing w:before="0" w:after="0"/>
              <w:jc w:val="center"/>
              <w:rPr>
                <w:rFonts w:ascii="Times New Roman" w:hAnsi="Times New Roman"/>
                <w:b/>
                <w:sz w:val="20"/>
              </w:rPr>
            </w:pPr>
            <w:r>
              <w:rPr>
                <w:rFonts w:ascii="Times New Roman" w:hAnsi="Times New Roman"/>
                <w:b/>
                <w:sz w:val="20"/>
              </w:rPr>
              <w:t>Adoption</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20" w:type="dxa"/>
            <w:gridSpan w:val="2"/>
            <w:tcBorders>
              <w:bottom w:val="single" w:sz="12" w:space="0" w:color="000000"/>
            </w:tcBorders>
            <w:shd w:fill="auto" w:val="clear"/>
            <w:tcMar>
              <w:bottom w:w="28" w:type="dxa"/>
            </w:tcMar>
            <w:vAlign w:val="bottom"/>
          </w:tcPr>
          <w:p>
            <w:pPr>
              <w:pStyle w:val="TableContents"/>
              <w:spacing w:before="0" w:after="0"/>
              <w:rPr/>
            </w:pPr>
            <w:r>
              <w:rPr/>
            </w:r>
          </w:p>
          <w:p>
            <w:pPr>
              <w:pStyle w:val="TableContents"/>
              <w:spacing w:before="0" w:after="0"/>
              <w:jc w:val="center"/>
              <w:rPr>
                <w:rFonts w:ascii="Times New Roman" w:hAnsi="Times New Roman"/>
                <w:b/>
                <w:sz w:val="20"/>
              </w:rPr>
            </w:pPr>
            <w:r>
              <w:rPr>
                <w:rFonts w:ascii="Times New Roman" w:hAnsi="Times New Roman"/>
                <w:b/>
                <w:sz w:val="20"/>
              </w:rPr>
              <w:t>Post-Adoption</w:t>
            </w:r>
          </w:p>
        </w:tc>
        <w:tc>
          <w:tcPr>
            <w:tcW w:w="75" w:type="dxa"/>
            <w:tcBorders/>
            <w:shd w:fill="auto" w:val="clear"/>
            <w:vAlign w:val="bottom"/>
          </w:tcPr>
          <w:p>
            <w:pPr>
              <w:pStyle w:val="TableContents"/>
              <w:spacing w:before="0" w:after="283"/>
              <w:jc w:val="left"/>
              <w:rPr/>
            </w:pPr>
            <w:r>
              <w:rPr/>
              <w:t> </w:t>
            </w:r>
          </w:p>
        </w:tc>
      </w:tr>
      <w:tr>
        <w:trPr/>
        <w:tc>
          <w:tcPr>
            <w:tcW w:w="4760" w:type="dxa"/>
            <w:tcBorders/>
            <w:shd w:fill="CCEEFF" w:val="clear"/>
            <w:vAlign w:val="bottom"/>
          </w:tcPr>
          <w:p>
            <w:pPr>
              <w:pStyle w:val="TableContents"/>
              <w:spacing w:before="0" w:after="0"/>
              <w:rPr>
                <w:rFonts w:ascii="Times New Roman" w:hAnsi="Times New Roman"/>
                <w:sz w:val="20"/>
              </w:rPr>
            </w:pPr>
            <w:r>
              <w:rPr>
                <w:rFonts w:ascii="Times New Roman" w:hAnsi="Times New Roman"/>
                <w:sz w:val="20"/>
              </w:rPr>
              <w:t>Commercial real estate</w:t>
            </w:r>
          </w:p>
        </w:tc>
        <w:tc>
          <w:tcPr>
            <w:tcW w:w="60"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958"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13,029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75"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827</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1007"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13,856</w:t>
            </w:r>
          </w:p>
        </w:tc>
        <w:tc>
          <w:tcPr>
            <w:tcW w:w="75" w:type="dxa"/>
            <w:tcBorders/>
            <w:shd w:fill="CCEEFF" w:val="clear"/>
            <w:vAlign w:val="bottom"/>
          </w:tcPr>
          <w:p>
            <w:pPr>
              <w:pStyle w:val="TableContents"/>
              <w:spacing w:before="0" w:after="283"/>
              <w:jc w:val="left"/>
              <w:rPr/>
            </w:pPr>
            <w:r>
              <w:rPr/>
              <w:t> </w:t>
            </w:r>
          </w:p>
        </w:tc>
      </w:tr>
      <w:tr>
        <w:trPr/>
        <w:tc>
          <w:tcPr>
            <w:tcW w:w="4760"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Commercial – specialized</w:t>
            </w:r>
          </w:p>
        </w:tc>
        <w:tc>
          <w:tcPr>
            <w:tcW w:w="60"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jc w:val="left"/>
              <w:rPr/>
            </w:pPr>
            <w:r>
              <w:rPr/>
              <w:t> </w:t>
            </w:r>
          </w:p>
        </w:tc>
        <w:tc>
          <w:tcPr>
            <w:tcW w:w="958"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3,425</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675"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33</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jc w:val="left"/>
              <w:rPr/>
            </w:pPr>
            <w:r>
              <w:rPr/>
              <w:t> </w:t>
            </w:r>
          </w:p>
        </w:tc>
        <w:tc>
          <w:tcPr>
            <w:tcW w:w="1007"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3,458</w:t>
            </w:r>
          </w:p>
        </w:tc>
        <w:tc>
          <w:tcPr>
            <w:tcW w:w="75" w:type="dxa"/>
            <w:tcBorders/>
            <w:shd w:fill="auto" w:val="clear"/>
            <w:vAlign w:val="bottom"/>
          </w:tcPr>
          <w:p>
            <w:pPr>
              <w:pStyle w:val="TableContents"/>
              <w:spacing w:before="0" w:after="283"/>
              <w:jc w:val="left"/>
              <w:rPr/>
            </w:pPr>
            <w:r>
              <w:rPr/>
              <w:t> </w:t>
            </w:r>
          </w:p>
        </w:tc>
      </w:tr>
      <w:tr>
        <w:trPr/>
        <w:tc>
          <w:tcPr>
            <w:tcW w:w="4760" w:type="dxa"/>
            <w:tcBorders/>
            <w:shd w:fill="CCEEFF" w:val="clear"/>
            <w:vAlign w:val="bottom"/>
          </w:tcPr>
          <w:p>
            <w:pPr>
              <w:pStyle w:val="TableContents"/>
              <w:spacing w:before="0" w:after="0"/>
              <w:rPr>
                <w:rFonts w:ascii="Times New Roman" w:hAnsi="Times New Roman"/>
                <w:sz w:val="20"/>
              </w:rPr>
            </w:pPr>
            <w:r>
              <w:rPr>
                <w:rFonts w:ascii="Times New Roman" w:hAnsi="Times New Roman"/>
                <w:sz w:val="20"/>
              </w:rPr>
              <w:t>Commercial - general</w:t>
            </w:r>
          </w:p>
        </w:tc>
        <w:tc>
          <w:tcPr>
            <w:tcW w:w="60"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jc w:val="left"/>
              <w:rPr/>
            </w:pPr>
            <w:r>
              <w:rPr/>
              <w:t> </w:t>
            </w:r>
          </w:p>
        </w:tc>
        <w:tc>
          <w:tcPr>
            <w:tcW w:w="958"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9,215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 </w:t>
            </w:r>
          </w:p>
        </w:tc>
        <w:tc>
          <w:tcPr>
            <w:tcW w:w="675"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(2,574</w:t>
            </w:r>
          </w:p>
        </w:tc>
        <w:tc>
          <w:tcPr>
            <w:tcW w:w="80"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jc w:val="left"/>
              <w:rPr/>
            </w:pPr>
            <w:r>
              <w:rPr/>
              <w:t> </w:t>
            </w:r>
          </w:p>
        </w:tc>
        <w:tc>
          <w:tcPr>
            <w:tcW w:w="1007"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6,641</w:t>
            </w:r>
          </w:p>
        </w:tc>
        <w:tc>
          <w:tcPr>
            <w:tcW w:w="75" w:type="dxa"/>
            <w:tcBorders/>
            <w:shd w:fill="CCEEFF" w:val="clear"/>
            <w:vAlign w:val="bottom"/>
          </w:tcPr>
          <w:p>
            <w:pPr>
              <w:pStyle w:val="TableContents"/>
              <w:spacing w:before="0" w:after="283"/>
              <w:jc w:val="left"/>
              <w:rPr/>
            </w:pPr>
            <w:r>
              <w:rPr/>
              <w:t> </w:t>
            </w:r>
          </w:p>
        </w:tc>
      </w:tr>
      <w:tr>
        <w:trPr/>
        <w:tc>
          <w:tcPr>
            <w:tcW w:w="4760" w:type="dxa"/>
            <w:tcBorders/>
            <w:shd w:fill="auto" w:val="clear"/>
            <w:vAlign w:val="bottom"/>
          </w:tcPr>
          <w:p>
            <w:pPr>
              <w:pStyle w:val="TableContents"/>
              <w:spacing w:before="0" w:after="0"/>
              <w:ind w:left="20" w:right="0" w:hanging="0"/>
              <w:rPr>
                <w:rFonts w:ascii="Times New Roman" w:hAnsi="Times New Roman"/>
                <w:sz w:val="20"/>
              </w:rPr>
            </w:pPr>
            <w:r>
              <w:rPr>
                <w:rFonts w:ascii="Times New Roman" w:hAnsi="Times New Roman"/>
                <w:sz w:val="20"/>
              </w:rPr>
              <w:t>Consumer:</w:t>
            </w:r>
          </w:p>
        </w:tc>
        <w:tc>
          <w:tcPr>
            <w:tcW w:w="60"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jc w:val="left"/>
              <w:rPr/>
            </w:pPr>
            <w:r>
              <w:rPr/>
              <w:t> </w:t>
            </w:r>
          </w:p>
        </w:tc>
        <w:tc>
          <w:tcPr>
            <w:tcW w:w="958"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675"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jc w:val="left"/>
              <w:rPr/>
            </w:pPr>
            <w:r>
              <w:rPr/>
              <w:t> </w:t>
            </w:r>
          </w:p>
        </w:tc>
        <w:tc>
          <w:tcPr>
            <w:tcW w:w="1007" w:type="dxa"/>
            <w:tcBorders/>
            <w:shd w:fill="auto" w:val="clear"/>
            <w:vAlign w:val="bottom"/>
          </w:tcPr>
          <w:p>
            <w:pPr>
              <w:pStyle w:val="TableContents"/>
              <w:spacing w:before="0" w:after="283"/>
              <w:jc w:val="right"/>
              <w:rPr/>
            </w:pPr>
            <w:r>
              <w:rPr/>
              <w:t> </w:t>
            </w:r>
          </w:p>
        </w:tc>
        <w:tc>
          <w:tcPr>
            <w:tcW w:w="75" w:type="dxa"/>
            <w:tcBorders/>
            <w:shd w:fill="auto" w:val="clear"/>
            <w:vAlign w:val="bottom"/>
          </w:tcPr>
          <w:p>
            <w:pPr>
              <w:pStyle w:val="TableContents"/>
              <w:spacing w:before="0" w:after="283"/>
              <w:jc w:val="left"/>
              <w:rPr/>
            </w:pPr>
            <w:r>
              <w:rPr/>
              <w:t> </w:t>
            </w:r>
          </w:p>
        </w:tc>
      </w:tr>
      <w:tr>
        <w:trPr/>
        <w:tc>
          <w:tcPr>
            <w:tcW w:w="4760" w:type="dxa"/>
            <w:tcBorders/>
            <w:shd w:fill="CCEEFF" w:val="clear"/>
            <w:vAlign w:val="bottom"/>
          </w:tcPr>
          <w:p>
            <w:pPr>
              <w:pStyle w:val="TableContents"/>
              <w:spacing w:before="0" w:after="0"/>
              <w:ind w:left="180" w:right="0" w:hanging="0"/>
              <w:rPr>
                <w:rFonts w:ascii="Times New Roman" w:hAnsi="Times New Roman"/>
                <w:sz w:val="20"/>
              </w:rPr>
            </w:pPr>
            <w:r>
              <w:rPr>
                <w:rFonts w:ascii="Times New Roman" w:hAnsi="Times New Roman"/>
                <w:sz w:val="20"/>
              </w:rPr>
              <w:t>1-4 family residential</w:t>
            </w:r>
          </w:p>
        </w:tc>
        <w:tc>
          <w:tcPr>
            <w:tcW w:w="60"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jc w:val="left"/>
              <w:rPr/>
            </w:pPr>
            <w:r>
              <w:rPr/>
              <w:t> </w:t>
            </w:r>
          </w:p>
        </w:tc>
        <w:tc>
          <w:tcPr>
            <w:tcW w:w="958"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6,194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 </w:t>
            </w:r>
          </w:p>
        </w:tc>
        <w:tc>
          <w:tcPr>
            <w:tcW w:w="675"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1,700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jc w:val="left"/>
              <w:rPr/>
            </w:pPr>
            <w:r>
              <w:rPr/>
              <w:t> </w:t>
            </w:r>
          </w:p>
        </w:tc>
        <w:tc>
          <w:tcPr>
            <w:tcW w:w="1007"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7,894</w:t>
            </w:r>
          </w:p>
        </w:tc>
        <w:tc>
          <w:tcPr>
            <w:tcW w:w="75" w:type="dxa"/>
            <w:tcBorders/>
            <w:shd w:fill="CCEEFF" w:val="clear"/>
            <w:vAlign w:val="bottom"/>
          </w:tcPr>
          <w:p>
            <w:pPr>
              <w:pStyle w:val="TableContents"/>
              <w:spacing w:before="0" w:after="283"/>
              <w:jc w:val="left"/>
              <w:rPr/>
            </w:pPr>
            <w:r>
              <w:rPr/>
              <w:t> </w:t>
            </w:r>
          </w:p>
        </w:tc>
      </w:tr>
      <w:tr>
        <w:trPr/>
        <w:tc>
          <w:tcPr>
            <w:tcW w:w="4760" w:type="dxa"/>
            <w:tcBorders/>
            <w:shd w:fill="auto" w:val="clear"/>
            <w:vAlign w:val="bottom"/>
          </w:tcPr>
          <w:p>
            <w:pPr>
              <w:pStyle w:val="TableContents"/>
              <w:spacing w:before="0" w:after="0"/>
              <w:ind w:left="180" w:right="0" w:hanging="0"/>
              <w:rPr>
                <w:rFonts w:ascii="Times New Roman" w:hAnsi="Times New Roman"/>
                <w:sz w:val="20"/>
              </w:rPr>
            </w:pPr>
            <w:r>
              <w:rPr>
                <w:rFonts w:ascii="Times New Roman" w:hAnsi="Times New Roman"/>
                <w:sz w:val="20"/>
              </w:rPr>
              <w:t>Auto loans</w:t>
            </w:r>
          </w:p>
        </w:tc>
        <w:tc>
          <w:tcPr>
            <w:tcW w:w="60"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jc w:val="left"/>
              <w:rPr/>
            </w:pPr>
            <w:r>
              <w:rPr/>
              <w:t> </w:t>
            </w:r>
          </w:p>
        </w:tc>
        <w:tc>
          <w:tcPr>
            <w:tcW w:w="958"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3,926</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jc w:val="left"/>
              <w:rPr/>
            </w:pPr>
            <w:r>
              <w:rPr/>
              <w:t> </w:t>
            </w:r>
          </w:p>
        </w:tc>
        <w:tc>
          <w:tcPr>
            <w:tcW w:w="675"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(332</w:t>
            </w:r>
          </w:p>
        </w:tc>
        <w:tc>
          <w:tcPr>
            <w:tcW w:w="80"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jc w:val="left"/>
              <w:rPr/>
            </w:pPr>
            <w:r>
              <w:rPr/>
              <w:t> </w:t>
            </w:r>
          </w:p>
        </w:tc>
        <w:tc>
          <w:tcPr>
            <w:tcW w:w="1007"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3,594</w:t>
            </w:r>
          </w:p>
        </w:tc>
        <w:tc>
          <w:tcPr>
            <w:tcW w:w="75" w:type="dxa"/>
            <w:tcBorders/>
            <w:shd w:fill="auto" w:val="clear"/>
            <w:vAlign w:val="bottom"/>
          </w:tcPr>
          <w:p>
            <w:pPr>
              <w:pStyle w:val="TableContents"/>
              <w:spacing w:before="0" w:after="283"/>
              <w:jc w:val="left"/>
              <w:rPr/>
            </w:pPr>
            <w:r>
              <w:rPr/>
              <w:t> </w:t>
            </w:r>
          </w:p>
        </w:tc>
      </w:tr>
      <w:tr>
        <w:trPr/>
        <w:tc>
          <w:tcPr>
            <w:tcW w:w="4760" w:type="dxa"/>
            <w:tcBorders/>
            <w:shd w:fill="CCEEFF" w:val="clear"/>
            <w:vAlign w:val="bottom"/>
          </w:tcPr>
          <w:p>
            <w:pPr>
              <w:pStyle w:val="TableContents"/>
              <w:spacing w:before="0" w:after="0"/>
              <w:ind w:left="180" w:right="0" w:hanging="0"/>
              <w:rPr>
                <w:rFonts w:ascii="Times New Roman" w:hAnsi="Times New Roman"/>
                <w:sz w:val="20"/>
              </w:rPr>
            </w:pPr>
            <w:r>
              <w:rPr>
                <w:rFonts w:ascii="Times New Roman" w:hAnsi="Times New Roman"/>
                <w:sz w:val="20"/>
              </w:rPr>
              <w:t>Other consumer</w:t>
            </w:r>
          </w:p>
        </w:tc>
        <w:tc>
          <w:tcPr>
            <w:tcW w:w="60"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jc w:val="left"/>
              <w:rPr/>
            </w:pPr>
            <w:r>
              <w:rPr/>
              <w:t> </w:t>
            </w:r>
          </w:p>
        </w:tc>
        <w:tc>
          <w:tcPr>
            <w:tcW w:w="958"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1,376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 </w:t>
            </w:r>
          </w:p>
        </w:tc>
        <w:tc>
          <w:tcPr>
            <w:tcW w:w="675"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(235</w:t>
            </w:r>
          </w:p>
        </w:tc>
        <w:tc>
          <w:tcPr>
            <w:tcW w:w="80"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jc w:val="left"/>
              <w:rPr/>
            </w:pPr>
            <w:r>
              <w:rPr/>
              <w:t> </w:t>
            </w:r>
          </w:p>
        </w:tc>
        <w:tc>
          <w:tcPr>
            <w:tcW w:w="1007"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1,141</w:t>
            </w:r>
          </w:p>
        </w:tc>
        <w:tc>
          <w:tcPr>
            <w:tcW w:w="75" w:type="dxa"/>
            <w:tcBorders/>
            <w:shd w:fill="CCEEFF" w:val="clear"/>
            <w:vAlign w:val="bottom"/>
          </w:tcPr>
          <w:p>
            <w:pPr>
              <w:pStyle w:val="TableContents"/>
              <w:spacing w:before="0" w:after="283"/>
              <w:jc w:val="left"/>
              <w:rPr/>
            </w:pPr>
            <w:r>
              <w:rPr/>
              <w:t> </w:t>
            </w:r>
          </w:p>
        </w:tc>
      </w:tr>
      <w:tr>
        <w:trPr/>
        <w:tc>
          <w:tcPr>
            <w:tcW w:w="4760" w:type="dxa"/>
            <w:tcBorders/>
            <w:shd w:fill="auto" w:val="clear"/>
            <w:vAlign w:val="bottom"/>
          </w:tcPr>
          <w:p>
            <w:pPr>
              <w:pStyle w:val="TableContents"/>
              <w:spacing w:before="0" w:after="0"/>
              <w:ind w:left="20" w:right="0" w:hanging="0"/>
              <w:rPr>
                <w:rFonts w:ascii="Times New Roman" w:hAnsi="Times New Roman"/>
                <w:sz w:val="20"/>
              </w:rPr>
            </w:pPr>
            <w:r>
              <w:rPr>
                <w:rFonts w:ascii="Times New Roman" w:hAnsi="Times New Roman"/>
                <w:sz w:val="20"/>
              </w:rPr>
              <w:t>Construction</w:t>
            </w:r>
          </w:p>
        </w:tc>
        <w:tc>
          <w:tcPr>
            <w:tcW w:w="60" w:type="dxa"/>
            <w:tcBorders/>
            <w:shd w:fill="auto" w:val="clear"/>
            <w:vAlign w:val="bottom"/>
          </w:tcPr>
          <w:p>
            <w:pPr>
              <w:pStyle w:val="TableContents"/>
              <w:spacing w:before="0" w:after="283"/>
              <w:rPr/>
            </w:pPr>
            <w:r>
              <w:rPr/>
              <w:t> </w:t>
            </w:r>
          </w:p>
        </w:tc>
        <w:tc>
          <w:tcPr>
            <w:tcW w:w="202"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958"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2,123</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54"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75"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683</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13"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007"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2,806</w:t>
            </w:r>
          </w:p>
        </w:tc>
        <w:tc>
          <w:tcPr>
            <w:tcW w:w="75" w:type="dxa"/>
            <w:tcBorders/>
            <w:shd w:fill="auto" w:val="clear"/>
            <w:vAlign w:val="bottom"/>
          </w:tcPr>
          <w:p>
            <w:pPr>
              <w:pStyle w:val="TableContents"/>
              <w:spacing w:before="0" w:after="283"/>
              <w:jc w:val="left"/>
              <w:rPr/>
            </w:pPr>
            <w:r>
              <w:rPr/>
              <w:t> </w:t>
            </w:r>
          </w:p>
        </w:tc>
      </w:tr>
      <w:tr>
        <w:trPr/>
        <w:tc>
          <w:tcPr>
            <w:tcW w:w="47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jc w:val="left"/>
              <w:rPr/>
            </w:pPr>
            <w:r>
              <w:rPr/>
              <w:t> </w:t>
            </w:r>
          </w:p>
        </w:tc>
        <w:tc>
          <w:tcPr>
            <w:tcW w:w="958"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 </w:t>
            </w:r>
          </w:p>
        </w:tc>
        <w:tc>
          <w:tcPr>
            <w:tcW w:w="67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jc w:val="left"/>
              <w:rPr/>
            </w:pPr>
            <w:r>
              <w:rPr/>
              <w:t> </w:t>
            </w:r>
          </w:p>
        </w:tc>
        <w:tc>
          <w:tcPr>
            <w:tcW w:w="1007"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jc w:val="left"/>
              <w:rPr/>
            </w:pPr>
            <w:r>
              <w:rPr/>
              <w:t> </w:t>
            </w:r>
          </w:p>
        </w:tc>
      </w:tr>
      <w:tr>
        <w:trPr/>
        <w:tc>
          <w:tcPr>
            <w:tcW w:w="4760" w:type="dxa"/>
            <w:tcBorders/>
            <w:shd w:fill="auto" w:val="clear"/>
            <w:vAlign w:val="bottom"/>
          </w:tcPr>
          <w:p>
            <w:pPr>
              <w:pStyle w:val="TableContents"/>
              <w:spacing w:before="0" w:after="0"/>
              <w:ind w:left="20" w:right="0" w:hanging="0"/>
              <w:rPr>
                <w:rFonts w:ascii="Times New Roman" w:hAnsi="Times New Roman"/>
                <w:sz w:val="20"/>
              </w:rPr>
            </w:pPr>
            <w:r>
              <w:rPr>
                <w:rFonts w:ascii="Times New Roman" w:hAnsi="Times New Roman"/>
                <w:sz w:val="20"/>
              </w:rPr>
              <w:t>Total allowance for credit losses on loans</w:t>
            </w:r>
          </w:p>
        </w:tc>
        <w:tc>
          <w:tcPr>
            <w:tcW w:w="60" w:type="dxa"/>
            <w:tcBorders/>
            <w:shd w:fill="auto" w:val="clear"/>
            <w:vAlign w:val="bottom"/>
          </w:tcPr>
          <w:p>
            <w:pPr>
              <w:pStyle w:val="TableContents"/>
              <w:spacing w:before="0" w:after="283"/>
              <w:rPr/>
            </w:pPr>
            <w:r>
              <w:rPr/>
              <w:t> </w:t>
            </w:r>
          </w:p>
        </w:tc>
        <w:tc>
          <w:tcPr>
            <w:tcW w:w="202"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958"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39,288</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54"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75"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102</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13"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1007"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39,390</w:t>
            </w:r>
          </w:p>
        </w:tc>
        <w:tc>
          <w:tcPr>
            <w:tcW w:w="75" w:type="dxa"/>
            <w:tcBorders/>
            <w:shd w:fill="auto" w:val="clear"/>
            <w:vAlign w:val="bottom"/>
          </w:tcPr>
          <w:p>
            <w:pPr>
              <w:pStyle w:val="TableContents"/>
              <w:spacing w:before="0" w:after="283"/>
              <w:jc w:val="left"/>
              <w:rPr/>
            </w:pPr>
            <w:r>
              <w:rPr/>
              <w:t> </w:t>
            </w:r>
          </w:p>
        </w:tc>
      </w:tr>
      <w:tr>
        <w:trPr/>
        <w:tc>
          <w:tcPr>
            <w:tcW w:w="47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jc w:val="left"/>
              <w:rPr/>
            </w:pPr>
            <w:r>
              <w:rPr/>
              <w:t> </w:t>
            </w:r>
          </w:p>
        </w:tc>
        <w:tc>
          <w:tcPr>
            <w:tcW w:w="958"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jc w:val="left"/>
              <w:rPr/>
            </w:pPr>
            <w:r>
              <w:rPr/>
              <w:t> </w:t>
            </w:r>
          </w:p>
        </w:tc>
        <w:tc>
          <w:tcPr>
            <w:tcW w:w="67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jc w:val="left"/>
              <w:rPr/>
            </w:pPr>
            <w:r>
              <w:rPr/>
              <w:t> </w:t>
            </w:r>
          </w:p>
        </w:tc>
        <w:tc>
          <w:tcPr>
            <w:tcW w:w="1007"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jc w:val="left"/>
              <w:rPr/>
            </w:pPr>
            <w:r>
              <w:rPr/>
              <w:t> </w:t>
            </w:r>
          </w:p>
        </w:tc>
      </w:tr>
      <w:tr>
        <w:trPr/>
        <w:tc>
          <w:tcPr>
            <w:tcW w:w="4760" w:type="dxa"/>
            <w:tcBorders/>
            <w:shd w:fill="auto" w:val="clear"/>
            <w:vAlign w:val="bottom"/>
          </w:tcPr>
          <w:p>
            <w:pPr>
              <w:pStyle w:val="TableContents"/>
              <w:spacing w:before="0" w:after="0"/>
              <w:ind w:left="20" w:right="0" w:hanging="0"/>
              <w:rPr>
                <w:rFonts w:ascii="Times New Roman" w:hAnsi="Times New Roman"/>
                <w:sz w:val="20"/>
              </w:rPr>
            </w:pPr>
            <w:r>
              <w:rPr>
                <w:rFonts w:ascii="Times New Roman" w:hAnsi="Times New Roman"/>
                <w:sz w:val="20"/>
              </w:rPr>
              <w:t>Allowance for credit losses for off-balance sheet exposures</w:t>
            </w:r>
          </w:p>
        </w:tc>
        <w:tc>
          <w:tcPr>
            <w:tcW w:w="60" w:type="dxa"/>
            <w:tcBorders/>
            <w:shd w:fill="auto" w:val="clear"/>
            <w:vAlign w:val="bottom"/>
          </w:tcPr>
          <w:p>
            <w:pPr>
              <w:pStyle w:val="TableContents"/>
              <w:spacing w:before="0" w:after="283"/>
              <w:rPr/>
            </w:pPr>
            <w:r>
              <w:rPr/>
              <w:t> </w:t>
            </w:r>
          </w:p>
        </w:tc>
        <w:tc>
          <w:tcPr>
            <w:tcW w:w="202"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958"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580</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54"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75"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1,160</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13"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1007"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1,740</w:t>
            </w:r>
          </w:p>
        </w:tc>
        <w:tc>
          <w:tcPr>
            <w:tcW w:w="75" w:type="dxa"/>
            <w:tcBorders/>
            <w:shd w:fill="auto" w:val="clear"/>
            <w:vAlign w:val="bottom"/>
          </w:tcPr>
          <w:p>
            <w:pPr>
              <w:pStyle w:val="TableContents"/>
              <w:spacing w:before="0" w:after="283"/>
              <w:jc w:val="left"/>
              <w:rPr/>
            </w:pPr>
            <w:r>
              <w:rPr/>
              <w:t> </w:t>
            </w:r>
          </w:p>
        </w:tc>
      </w:tr>
    </w:tbl>
    <w:p>
      <w:pPr>
        <w:pStyle w:val="TextBody"/>
        <w:spacing w:before="0" w:after="0"/>
        <w:jc w:val="both"/>
        <w:rPr/>
      </w:pPr>
      <w:r>
        <w:rPr/>
      </w:r>
    </w:p>
    <w:p>
      <w:pPr>
        <w:pStyle w:val="TextBody"/>
        <w:spacing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br/>
      </w:r>
      <w:r>
        <w:rPr>
          <w:rFonts w:ascii="Times New Roman" w:hAnsi="Times New Roman"/>
          <w:b w:val="false"/>
          <w:i/>
          <w:caps w:val="false"/>
          <w:smallCaps w:val="false"/>
          <w:color w:val="000000"/>
          <w:spacing w:val="0"/>
          <w:sz w:val="20"/>
        </w:rPr>
        <w:t xml:space="preserve">ASU 2022-02 Financial Instruments - Credit Losses (Topic 326): </w:t>
      </w:r>
      <w:r>
        <w:rPr>
          <w:rFonts w:ascii="Times New Roman" w:hAnsi="Times New Roman"/>
          <w:b w:val="false"/>
          <w:i w:val="false"/>
          <w:caps w:val="false"/>
          <w:smallCaps w:val="false"/>
          <w:color w:val="000000"/>
          <w:spacing w:val="0"/>
          <w:sz w:val="20"/>
        </w:rPr>
        <w:t>Troubled Debt Restructurings and Vintage Disclosures.</w:t>
      </w:r>
      <w:r>
        <w:rPr>
          <w:rFonts w:ascii="Times New Roman" w:hAnsi="Times New Roman"/>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This ASU eliminates guidance for troubled debt restructurings by creditors and enhances disclosure requirements for certain loan modifications by creditors for borrowers experiencing financial distress.  This ASU defines types of modifications as principal forgiveness, interest rate reduction, other than insignificant payment delays, or a term extension.  In addition, the ASU requires disclosure of current-period gross charge-offs, by year of origination, in the vintage disclosure. The Company adopted the provisions of ASU 2022-02 as of January 1, 2023 on a prospective basis. The adoption of this amendment did not have a material impact on the Company’s consolidated financial statements.</w:t>
      </w:r>
    </w:p>
    <w:p>
      <w:pPr>
        <w:pStyle w:val="TextBody"/>
        <w:spacing w:before="0" w:after="0"/>
        <w:jc w:val="both"/>
        <w:rPr/>
      </w:pPr>
      <w:r>
        <w:rPr/>
      </w:r>
    </w:p>
    <w:p>
      <w:pPr>
        <w:pStyle w:val="TextBody"/>
        <w:spacing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spacing w:before="0" w:after="0"/>
        <w:jc w:val="both"/>
        <w:rPr/>
      </w:pPr>
      <w:r>
        <w:rPr/>
      </w:r>
    </w:p>
    <w:p>
      <w:pPr>
        <w:pStyle w:val="TextBody"/>
        <w:spacing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In connection with the adoption of the CECL model, the Company revised certain accounting policies and implemented certain accounting policy elections.</w:t>
      </w:r>
    </w:p>
    <w:p>
      <w:pPr>
        <w:pStyle w:val="TextBody"/>
        <w:spacing w:before="0" w:after="0"/>
        <w:jc w:val="both"/>
        <w:rPr/>
      </w:pPr>
      <w:r>
        <w:rPr/>
      </w:r>
    </w:p>
    <w:p>
      <w:pPr>
        <w:pStyle w:val="TextBody"/>
        <w:spacing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spacing w:before="0" w:after="0"/>
        <w:ind w:left="0" w:right="0" w:hanging="0"/>
        <w:jc w:val="both"/>
        <w:rPr>
          <w:rFonts w:ascii="Times New Roman" w:hAnsi="Times New Roman"/>
          <w:color w:val="000000"/>
          <w:sz w:val="20"/>
        </w:rPr>
      </w:pPr>
      <w:r>
        <w:rPr>
          <w:rFonts w:ascii="Times New Roman" w:hAnsi="Times New Roman"/>
          <w:b w:val="false"/>
          <w:i/>
          <w:caps w:val="false"/>
          <w:smallCaps w:val="false"/>
          <w:color w:val="000000"/>
          <w:sz w:val="20"/>
          <w:u w:val="single"/>
        </w:rPr>
        <w:t>Securities</w:t>
      </w:r>
      <w:r>
        <w:rPr>
          <w:rFonts w:ascii="Times New Roman" w:hAnsi="Times New Roman"/>
          <w:caps w:val="false"/>
          <w:smallCaps w:val="false"/>
          <w:color w:val="000000"/>
          <w:sz w:val="20"/>
          <w:u w:val="single"/>
        </w:rPr>
        <w:t xml:space="preserve"> </w:t>
      </w:r>
      <w:r>
        <w:rPr>
          <w:rFonts w:ascii="Times New Roman" w:hAnsi="Times New Roman"/>
          <w:caps w:val="false"/>
          <w:smallCaps w:val="false"/>
          <w:color w:val="000000"/>
          <w:sz w:val="20"/>
        </w:rPr>
        <w:t xml:space="preserve">– </w:t>
      </w:r>
      <w:r>
        <w:rPr>
          <w:rFonts w:ascii="Times New Roman" w:hAnsi="Times New Roman"/>
          <w:b w:val="false"/>
          <w:i w:val="false"/>
          <w:caps w:val="false"/>
          <w:smallCaps w:val="false"/>
          <w:color w:val="000000"/>
          <w:sz w:val="20"/>
        </w:rPr>
        <w:t xml:space="preserve">Investment </w:t>
      </w:r>
      <w:r>
        <w:rPr>
          <w:rFonts w:ascii="Times New Roman" w:hAnsi="Times New Roman"/>
          <w:b w:val="false"/>
          <w:i w:val="false"/>
          <w:caps w:val="false"/>
          <w:smallCaps w:val="false"/>
          <w:color w:val="000000"/>
          <w:spacing w:val="0"/>
          <w:sz w:val="20"/>
        </w:rPr>
        <w:t>securities may be classified into trading, held to maturity (“HTM”) or available for sale (“AFS”) portfolios. Securities that are held principally for resale in the near term are classified as trading. Securities that management has the ability and positive intent to hold to maturity are classified as HTM and recorded at amortized cost. Securities not classified as trading or HTM are AFS and are carried at fair value with unrealized gains and losses reported as a component of other comprehensive income (loss), net of tax. Management uses these assets as part of its asset/liability management strategy; they may be sold in response to changes in liquidity needs, interest rates, resultant prepayment risk changes, and other factors. Management determines the appropriate classification of securities at the time of purchase. Purchase premiums and discounts are recognized in interest income using the interest method over the terms of the securities.  Gains and losses on sales are recorded on the trade date, are derived from the amortized cost of the security sold and are determined using the specific identification method. A security is placed on nonaccrual status if principal or interest has been in default for a period of 90 days or more, or if full payment of principal and interest is not expected.  The Company has made a policy election to exclude accrued interest receivable from the amortized cost basis of AFS securities and report the accrued interest in accrued interest receivable in the Company’s Consolidated  Balance Sheets. Interest accrued but not received for a security placed on nonaccrual status is reversed against interest income.</w:t>
      </w:r>
    </w:p>
    <w:p>
      <w:pPr>
        <w:pStyle w:val="TextBody"/>
        <w:spacing w:before="0" w:after="0"/>
        <w:jc w:val="both"/>
        <w:rPr>
          <w:rFonts w:ascii="Times New Roman" w:hAnsi="Times New Roman"/>
          <w:sz w:val="20"/>
        </w:rPr>
      </w:pPr>
      <w:r>
        <w:rPr>
          <w:rFonts w:ascii="Times New Roman" w:hAnsi="Times New Roman"/>
          <w:sz w:val="20"/>
        </w:rPr>
      </w:r>
    </w:p>
    <w:p>
      <w:pPr>
        <w:pStyle w:val="TextBody"/>
        <w:spacing w:before="0" w:after="0"/>
        <w:ind w:left="0" w:right="0" w:hanging="0"/>
        <w:jc w:val="both"/>
        <w:rPr>
          <w:rFonts w:ascii="Times New Roman" w:hAnsi="Times New Roman"/>
          <w:color w:val="000000"/>
          <w:sz w:val="20"/>
        </w:rPr>
      </w:pPr>
      <w:r>
        <w:rPr>
          <w:rFonts w:ascii="Times New Roman" w:hAnsi="Times New Roman"/>
          <w:b w:val="false"/>
          <w:i/>
          <w:caps w:val="false"/>
          <w:smallCaps w:val="false"/>
          <w:color w:val="000000"/>
          <w:spacing w:val="0"/>
          <w:sz w:val="20"/>
          <w:u w:val="single"/>
        </w:rPr>
        <w:t>ACL (AFS Securities) </w:t>
      </w:r>
      <w:r>
        <w:rPr>
          <w:rFonts w:ascii="Times New Roman" w:hAnsi="Times New Roman"/>
          <w:caps w:val="false"/>
          <w:smallCaps w:val="false"/>
          <w:color w:val="000000"/>
          <w:spacing w:val="0"/>
          <w:sz w:val="20"/>
        </w:rPr>
        <w:t xml:space="preserve">– </w:t>
      </w:r>
      <w:r>
        <w:rPr>
          <w:rFonts w:ascii="Times New Roman" w:hAnsi="Times New Roman"/>
          <w:b w:val="false"/>
          <w:i w:val="false"/>
          <w:caps w:val="false"/>
          <w:smallCaps w:val="false"/>
          <w:color w:val="000000"/>
          <w:spacing w:val="0"/>
          <w:sz w:val="20"/>
        </w:rPr>
        <w:t>For AFS securities in an unrealized loss position, the Company first assesses whether it intends to sell, or it is more likely than not that it will be required to sell the security before recovery of its amortized cost basis.  If either of the criteria regarding intent or requirement to sell is met, the security’s amortized costs basis is written down to fair value through income.  For AFS securities that do not meet the aforementioned criteria, the Company evaluates whether the decline in fair value has resulted from credit losses or other factors.  In making this assessment, management considers the extent to which fair value is less than amortized cost, any changes to the rating of the security by rating agency, and adverse conditions specifically related to the security, among other factors.  If this assessment indicates that a credit loss exists, the present value of cash flows expected to be collected from the security are compared to the amortized cost basis of the security.  If the present value of cash flows expected to be collected is less than the amortized cost basis, a credit loss exists and an ACL is recorded for the credit loss, limited by the amount that the fair value is less than the amortized cost basis.  Any impairment that has not been recorded through an ACL is recognized in other comprehensive income (loss).  Changes in the ACL are recorded as provision for credit losses.  Losses are charged against the allowance when management believes the uncollectibility of an AFS security is confirmed or when either of the criteria regarding intent or requirement to sell is met. Accrued interest is excluded from the estimate of credit losses.</w:t>
      </w:r>
      <w:r>
        <w:rPr>
          <w:rFonts w:ascii="Times New Roman" w:hAnsi="Times New Roman"/>
          <w:color w:val="000000"/>
          <w:sz w:val="20"/>
        </w:rPr>
        <w:t xml:space="preserve"> </w:t>
      </w:r>
    </w:p>
    <w:p>
      <w:pPr>
        <w:pStyle w:val="TextBody"/>
        <w:spacing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b w:val="false"/>
            <w:i/>
            <w:color w:val="000000"/>
            <w:sz w:val="16"/>
          </w:rPr>
          <w:t>Table of Contents</w:t>
        </w:r>
      </w:hyperlink>
    </w:p>
    <w:p>
      <w:pPr>
        <w:pStyle w:val="TextBody"/>
        <w:spacing w:before="0" w:after="0"/>
        <w:ind w:left="0" w:right="0" w:hanging="0"/>
        <w:jc w:val="both"/>
        <w:rPr>
          <w:rFonts w:ascii="Times New Roman" w:hAnsi="Times New Roman"/>
          <w:color w:val="000000"/>
          <w:sz w:val="20"/>
        </w:rPr>
      </w:pPr>
      <w:r>
        <w:rPr>
          <w:rFonts w:ascii="Times New Roman" w:hAnsi="Times New Roman"/>
          <w:i/>
          <w:color w:val="000000"/>
          <w:sz w:val="20"/>
          <w:u w:val="single"/>
        </w:rPr>
        <w:t>Loans</w:t>
      </w:r>
      <w:r>
        <w:rPr>
          <w:rFonts w:ascii="Times New Roman" w:hAnsi="Times New Roman"/>
          <w:color w:val="000000"/>
          <w:sz w:val="20"/>
        </w:rPr>
        <w:t xml:space="preserve"> – Loans </w:t>
      </w:r>
      <w:r>
        <w:rPr>
          <w:rFonts w:ascii="Times New Roman" w:hAnsi="Times New Roman"/>
          <w:b w:val="false"/>
          <w:i w:val="false"/>
          <w:caps w:val="false"/>
          <w:smallCaps w:val="false"/>
          <w:color w:val="000000"/>
          <w:spacing w:val="0"/>
          <w:sz w:val="20"/>
        </w:rPr>
        <w:t>that management has the intent and ability to hold for the foreseeable future or until maturity or payoff are reported at their amortized cost. Amortized cost is the outstanding unpaid principal balances, net of any unearned income, charge-offs, unamortized deferred fees and costs on originated loans, and unamortized premiums or discounts on purchased loans.  The Company has made a policy election to exclude accrued interest from the amortized cost basis of loans and report accrued interest separately from the related loan balance in accrued interest receivable on the Company’s Consolidated Balance Sheets. Accrued interest receivable is excluded from the estimate of credit losses. Interest income is accrued on the unpaid principal balance. Loan origination fees, net of certain direct origination costs, are deferred and recognized as an adjustment of the related loan yield using the straight-line method, which is not materially different from the effective interest method required by GAAP. </w:t>
      </w:r>
    </w:p>
    <w:p>
      <w:pPr>
        <w:pStyle w:val="TextBody"/>
        <w:spacing w:before="0" w:after="0"/>
        <w:jc w:val="left"/>
        <w:rPr>
          <w:rFonts w:ascii="Times New Roman" w:hAnsi="Times New Roman"/>
          <w:b w:val="false"/>
          <w:i w:val="false"/>
          <w:caps w:val="false"/>
          <w:smallCaps w:val="false"/>
          <w:color w:val="000000"/>
        </w:rPr>
      </w:pPr>
      <w:r>
        <w:rPr>
          <w:rFonts w:ascii="Times New Roman" w:hAnsi="Times New Roman"/>
          <w:b w:val="false"/>
          <w:i w:val="false"/>
          <w:caps w:val="false"/>
          <w:smallCaps w:val="false"/>
          <w:color w:val="000000"/>
        </w:rPr>
      </w:r>
    </w:p>
    <w:p>
      <w:pPr>
        <w:pStyle w:val="TextBody"/>
        <w:spacing w:before="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Loans are placed on nonaccrual status when, in management’s opinion, collection of interest is unlikely, which typically occurs when principal or interest payments are more than ninety days past due. When interest accrual is discontinued, all unpaid accrued interest is reversed against interest income. The interest on these loans is accounted for on the cash-basis or cost-recovery method, until qualifying for return to accrual. Loans are returned to accrual status when all the principal and interest amounts contractually due are brought current and future payments are reasonably assured.</w:t>
      </w:r>
    </w:p>
    <w:p>
      <w:pPr>
        <w:pStyle w:val="TextBody"/>
        <w:spacing w:before="0" w:after="0"/>
        <w:jc w:val="left"/>
        <w:rPr/>
      </w:pPr>
      <w:r>
        <w:rPr/>
      </w:r>
    </w:p>
    <w:p>
      <w:pPr>
        <w:pStyle w:val="TextBody"/>
        <w:spacing w:before="0" w:after="0"/>
        <w:ind w:left="0" w:right="0" w:hanging="0"/>
        <w:jc w:val="both"/>
        <w:rPr>
          <w:rFonts w:ascii="Times New Roman" w:hAnsi="Times New Roman"/>
          <w:color w:val="000000"/>
          <w:sz w:val="20"/>
        </w:rPr>
      </w:pPr>
      <w:r>
        <w:rPr>
          <w:rFonts w:ascii="Times New Roman" w:hAnsi="Times New Roman"/>
          <w:b w:val="false"/>
          <w:i/>
          <w:caps w:val="false"/>
          <w:smallCaps w:val="false"/>
          <w:color w:val="000000"/>
          <w:sz w:val="20"/>
          <w:u w:val="single"/>
        </w:rPr>
        <w:t>ACL (Loans)</w:t>
      </w:r>
      <w:r>
        <w:rPr>
          <w:rFonts w:ascii="Times New Roman" w:hAnsi="Times New Roman"/>
          <w:caps w:val="false"/>
          <w:smallCaps w:val="false"/>
          <w:color w:val="000000"/>
          <w:sz w:val="20"/>
          <w:u w:val="single"/>
        </w:rPr>
        <w:t xml:space="preserve"> </w:t>
      </w:r>
      <w:r>
        <w:rPr>
          <w:rFonts w:ascii="Times New Roman" w:hAnsi="Times New Roman"/>
          <w:caps w:val="false"/>
          <w:smallCaps w:val="false"/>
          <w:color w:val="000000"/>
          <w:sz w:val="20"/>
        </w:rPr>
        <w:t xml:space="preserve">– </w:t>
      </w:r>
      <w:r>
        <w:rPr>
          <w:rFonts w:ascii="Times New Roman" w:hAnsi="Times New Roman"/>
          <w:b w:val="false"/>
          <w:caps w:val="false"/>
          <w:smallCaps w:val="false"/>
          <w:color w:val="000000"/>
          <w:sz w:val="20"/>
        </w:rPr>
        <w:t xml:space="preserve">The </w:t>
      </w:r>
      <w:r>
        <w:rPr>
          <w:rFonts w:ascii="Times New Roman" w:hAnsi="Times New Roman"/>
          <w:b w:val="false"/>
          <w:i w:val="false"/>
          <w:caps w:val="false"/>
          <w:smallCaps w:val="false"/>
          <w:color w:val="000000"/>
          <w:spacing w:val="0"/>
          <w:sz w:val="20"/>
        </w:rPr>
        <w:t>ACL is a valuation account established by management as an estimate to cover expected credit losses through a provision for credit losses charged to earnings. Credit losses on loans are charged against the allowance when management believes the uncollectibility of a loan balance is confirmed. Subsequent recoveries, if any, are credited to the allowance. Expected losses are calculated using comparable and quantifiable information from both internal and external sources about past events, including historical experience, current conditions, and reasonable and supportable forecasts that affect the collectability of the reported amount. Expected credit losses are estimated over the contractual term of the loans and adjusted for expected prepayments.</w:t>
      </w:r>
    </w:p>
    <w:p>
      <w:pPr>
        <w:pStyle w:val="TextBody"/>
        <w:spacing w:before="0" w:after="0"/>
        <w:ind w:left="0" w:right="0" w:hanging="0"/>
        <w:jc w:val="both"/>
        <w:rPr>
          <w:rFonts w:ascii="Times New Roman" w:hAnsi="Times New Roman"/>
          <w:b w:val="false"/>
          <w:i w:val="false"/>
          <w:caps w:val="false"/>
          <w:smallCaps w:val="false"/>
          <w:color w:val="000000"/>
          <w:spacing w:val="0"/>
          <w:sz w:val="20"/>
          <w:highlight w:val="white"/>
        </w:rPr>
      </w:pPr>
      <w:r>
        <w:rPr>
          <w:rFonts w:ascii="Times New Roman" w:hAnsi="Times New Roman"/>
          <w:b w:val="false"/>
          <w:i w:val="false"/>
          <w:caps w:val="false"/>
          <w:smallCaps w:val="false"/>
          <w:color w:val="000000"/>
          <w:spacing w:val="0"/>
          <w:sz w:val="20"/>
          <w:highlight w:val="white"/>
        </w:rPr>
      </w:r>
    </w:p>
    <w:p>
      <w:pPr>
        <w:pStyle w:val="TextBody"/>
        <w:spacing w:before="0" w:after="0"/>
        <w:ind w:left="0" w:right="0" w:hanging="0"/>
        <w:jc w:val="both"/>
        <w:rPr>
          <w:rFonts w:ascii="Times New Roman" w:hAnsi="Times New Roman"/>
          <w:color w:val="000000"/>
          <w:sz w:val="20"/>
        </w:rPr>
      </w:pPr>
      <w:r>
        <w:rPr>
          <w:rFonts w:ascii="Times New Roman" w:hAnsi="Times New Roman"/>
          <w:b w:val="false"/>
          <w:i w:val="false"/>
          <w:caps w:val="false"/>
          <w:smallCaps w:val="false"/>
          <w:color w:val="000000"/>
          <w:spacing w:val="0"/>
          <w:sz w:val="20"/>
          <w:highlight w:val="white"/>
        </w:rPr>
        <w:t xml:space="preserve">The ACL is evaluated on a quarterly basis by management. The Company applied a dual credit risk rating (“DCRR”) methodology that estimates each loan’s probability of default and loss given default to calculate the expected credit loss to non-analyzed loans at January 1 and March 31, 2023.  The DCRR process quantifies the expected credit loss at the loan level for the entire loan portfolio.  Loan grades are assigned by a customized scorecard that risk rates each loan based on multiple probability of default and loss given default elements to measure the credit risk of the loan portfolio.  The ACL estimate incorporates the Company’s DCRR loan level risk rating methodology and the expected default rate frequency term structure to derive loan level life of loan estimates of credit losses for every loan in the portfolio.  The estimated credit loss for each loan is adjusted based on its one-year through the cycle estimate of expected credit loss to a life of loan measurement that reflects current conditions and reasonable and supportable forecasts. The life of loan expected loss is determined using the contractual weighted average life of the loan adjusted for prepayments.  Prepayment speeds are determined by grouping the loans into pools based on segments and risk rating.  After the life of loan expected losses are determined, they are adjusted to reflect the Company’s reasonable and supportable economic forecast over a selected range of one to two years. The Company has developed regression models to project net charge-off rates based on macroeconomic variables (“MEVs”), </w:t>
      </w:r>
      <w:r>
        <w:rPr>
          <w:rFonts w:ascii="Times New Roman" w:hAnsi="Times New Roman"/>
          <w:b w:val="false"/>
          <w:i w:val="false"/>
          <w:caps w:val="false"/>
          <w:smallCaps w:val="false"/>
          <w:color w:val="000000"/>
          <w:sz w:val="20"/>
          <w:highlight w:val="white"/>
        </w:rPr>
        <w:t>typically a one-year forecast period is used. MEV’s considered in the analysis consist of data gathered from the St. Louis Federal Reserve Research Database (“FRED”), such as, federal funds rate, 10-year treasury rates, 30-year mortgage rates, crude oil prices, consumer price index, housing price index, unemployment rates, housing starts, gross domestic product, and disposable personal income.</w:t>
      </w:r>
      <w:r>
        <w:rPr>
          <w:rFonts w:ascii="Times New Roman" w:hAnsi="Times New Roman"/>
          <w:b w:val="false"/>
          <w:i w:val="false"/>
          <w:caps w:val="false"/>
          <w:smallCaps w:val="false"/>
          <w:color w:val="000000"/>
          <w:spacing w:val="0"/>
          <w:sz w:val="20"/>
          <w:highlight w:val="white"/>
        </w:rPr>
        <w:t xml:space="preserve"> These regression models are applied to the Company’s economic forecast to determine the corresponding net charge-off rates. The projected net charge-off rates for the given economic scenario are used to adjust the life of loan expected losses. Qualitative adjustments are also made to ACL results for additional risk factors that are relevant in assessing the expected credit losses within our loan segments. These qualitative factor (“Q-Factor”) adjustments may increase or decrease management’s estimate of the ACL by a calculated percentage based upon the estimated level of risk within a particular segment. Q-Factor risk decisions consider concentrations of the loan portfolio, expected changes to the economic forecasts, large relationships, and other factors related to credit administration, such as borrower’s risk rating and the potential effect of delayed credit score migrations. Management quantifiably identifies segment percentage Q-Factor adjustments using a scorecard risk rating system scaled to historical loss experience within a segment and management’s perceived risk for that particular segment.</w:t>
      </w:r>
      <w:r>
        <w:rPr>
          <w:rFonts w:ascii="Times New Roman" w:hAnsi="Times New Roman"/>
          <w:color w:val="000000"/>
          <w:sz w:val="20"/>
        </w:rPr>
        <w:t xml:space="preserve"> </w:t>
      </w:r>
    </w:p>
    <w:p>
      <w:pPr>
        <w:pStyle w:val="TextBody"/>
        <w:spacing w:before="0" w:after="0"/>
        <w:jc w:val="both"/>
        <w:rPr>
          <w:rFonts w:ascii="Times New Roman;Times;serif" w:hAnsi="Times New Roman;Times;serif"/>
          <w:color w:val="000000"/>
          <w:sz w:val="20"/>
        </w:rPr>
      </w:pPr>
      <w:r>
        <w:rPr>
          <w:rFonts w:ascii="Times New Roman;Times;serif" w:hAnsi="Times New Roman;Times;serif"/>
          <w:color w:val="000000"/>
          <w:sz w:val="20"/>
        </w:rPr>
      </w:r>
    </w:p>
    <w:p>
      <w:pPr>
        <w:pStyle w:val="TextBody"/>
        <w:spacing w:before="0" w:after="0"/>
        <w:jc w:val="both"/>
        <w:rPr>
          <w:rFonts w:ascii="Times New Roman" w:hAnsi="Times New Roman"/>
          <w:b w:val="false"/>
          <w:caps w:val="false"/>
          <w:smallCaps w:val="false"/>
          <w:color w:val="000000"/>
          <w:sz w:val="20"/>
        </w:rPr>
      </w:pPr>
      <w:r>
        <w:rPr>
          <w:rFonts w:ascii="Times New Roman" w:hAnsi="Times New Roman"/>
          <w:b w:val="false"/>
          <w:caps w:val="false"/>
          <w:smallCaps w:val="false"/>
          <w:color w:val="000000"/>
          <w:sz w:val="20"/>
        </w:rPr>
        <w:t>While management uses available information to recognize credit losses on loans, further reductions in the carrying amounts of loans may be necessary based on various factors. In addition, regulatory agencies, as an integral part of their examination process, periodically review the estimated credit losses on loans. Such agencies may require the bank subsidiary to recognize additional credit losses based on their judgments about information available to them at the time of their examination. Because of these factors, it is reasonably possible that the estimated credit losses on loans may change materially in the near term. However, the amount of the change that is reasonably possible cannot be estimated.</w:t>
      </w:r>
    </w:p>
    <w:p>
      <w:pPr>
        <w:pStyle w:val="TextBody"/>
        <w:spacing w:before="0" w:after="0"/>
        <w:jc w:val="both"/>
        <w:rPr>
          <w:rFonts w:ascii="Times New Roman" w:hAnsi="Times New Roman"/>
          <w:b w:val="false"/>
          <w:caps w:val="false"/>
          <w:smallCaps w:val="false"/>
          <w:color w:val="000000"/>
          <w:sz w:val="20"/>
        </w:rPr>
      </w:pPr>
      <w:r>
        <w:rPr>
          <w:rFonts w:ascii="Times New Roman" w:hAnsi="Times New Roman"/>
          <w:b w:val="false"/>
          <w:caps w:val="false"/>
          <w:smallCaps w:val="false"/>
          <w:color w:val="000000"/>
          <w:sz w:val="20"/>
        </w:rPr>
      </w:r>
    </w:p>
    <w:p>
      <w:pPr>
        <w:pStyle w:val="TextBody"/>
        <w:spacing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Loans that exhibit characteristics different from their pool characteristics are evaluated on an individual basis. Loans evaluated individually are not included in the collective ACL evaluation.  When management determines that foreclosure is probable, or if certain of these loans are considered to be collateral dependent with the borrower experiencing financial difficulty, the Company elects the fair value of collateral practical expedient, whereby the allowance is calculated as the amount by which the amortized cost exceeds the fair value of collateral, less costs to sell.</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b w:val="false"/>
            <w:i/>
            <w:color w:val="000000"/>
            <w:sz w:val="16"/>
          </w:rPr>
          <w:t>Table of Contents</w:t>
        </w:r>
      </w:hyperlink>
    </w:p>
    <w:p>
      <w:pPr>
        <w:pStyle w:val="TextBody"/>
        <w:spacing w:before="0" w:after="0"/>
        <w:ind w:left="0" w:right="0" w:hanging="0"/>
        <w:jc w:val="both"/>
        <w:rPr>
          <w:rFonts w:ascii="Times New Roman" w:hAnsi="Times New Roman"/>
          <w:color w:val="000000"/>
          <w:sz w:val="20"/>
        </w:rPr>
      </w:pPr>
      <w:r>
        <w:rPr>
          <w:rFonts w:ascii="Times New Roman" w:hAnsi="Times New Roman"/>
          <w:b w:val="false"/>
          <w:i/>
          <w:caps w:val="false"/>
          <w:smallCaps w:val="false"/>
          <w:color w:val="000000"/>
          <w:spacing w:val="0"/>
          <w:sz w:val="20"/>
          <w:u w:val="single"/>
        </w:rPr>
        <w:t>ACL (Off-Balance Sheet Credit Exposures)</w:t>
      </w:r>
      <w:r>
        <w:rPr>
          <w:rFonts w:ascii="Times New Roman" w:hAnsi="Times New Roman"/>
          <w:caps w:val="false"/>
          <w:smallCaps w:val="false"/>
          <w:color w:val="000000"/>
          <w:spacing w:val="0"/>
          <w:sz w:val="20"/>
          <w:u w:val="single"/>
        </w:rPr>
        <w:t> </w:t>
      </w:r>
      <w:r>
        <w:rPr>
          <w:rFonts w:ascii="Times New Roman" w:hAnsi="Times New Roman"/>
          <w:caps w:val="false"/>
          <w:smallCaps w:val="false"/>
          <w:color w:val="000000"/>
          <w:spacing w:val="0"/>
          <w:sz w:val="20"/>
        </w:rPr>
        <w:t xml:space="preserve">– </w:t>
      </w:r>
      <w:r>
        <w:rPr>
          <w:rFonts w:ascii="Times New Roman" w:hAnsi="Times New Roman"/>
          <w:b w:val="false"/>
          <w:i w:val="false"/>
          <w:caps w:val="false"/>
          <w:smallCaps w:val="false"/>
          <w:color w:val="000000"/>
          <w:spacing w:val="0"/>
          <w:sz w:val="20"/>
        </w:rPr>
        <w:t>The Company estimates expected credit losses over the contractual period in which the Company is exposed to credit risk via a contractual obligation to extend credit, unless that obligation is unconditionally cancellable by the Company.  The ACL for off-balance sheet credit exposures is adjusted through provision for credit losses.  The estimate includes consideration of the likelihood that funding will occur and an estimate of expected credit losses on commitments expected to be funded over its estimated life.  Utilization rates are determined based on a two-year rolling average of historical usage. Expected loss rates for all pass rated loans are used to determine the ACL for off-balance sheet credit exposures. The ACL for off-balance sheet credit exposures is included in accrued expenses and other liabilities on the Company’s Consolidated Balance Sheets.</w:t>
      </w:r>
      <w:r>
        <w:rPr>
          <w:rFonts w:ascii="Times New Roman" w:hAnsi="Times New Roman"/>
          <w:color w:val="000000"/>
          <w:sz w:val="20"/>
        </w:rPr>
        <w:t xml:space="preserve"> </w:t>
      </w:r>
    </w:p>
    <w:p>
      <w:pPr>
        <w:pStyle w:val="TextBody"/>
        <w:spacing w:before="0" w:after="0"/>
        <w:ind w:left="0" w:right="0" w:hanging="0"/>
        <w:jc w:val="both"/>
        <w:rPr>
          <w:rFonts w:ascii="Times New Roman" w:hAnsi="Times New Roman"/>
          <w:b w:val="false"/>
          <w:i w:val="false"/>
          <w:caps w:val="false"/>
          <w:smallCaps w:val="false"/>
          <w:color w:val="000000"/>
          <w:spacing w:val="0"/>
          <w:sz w:val="20"/>
          <w:highlight w:val="white"/>
        </w:rPr>
      </w:pPr>
      <w:r>
        <w:rPr>
          <w:rFonts w:ascii="Times New Roman" w:hAnsi="Times New Roman"/>
          <w:b w:val="false"/>
          <w:i w:val="false"/>
          <w:caps w:val="false"/>
          <w:smallCaps w:val="false"/>
          <w:color w:val="000000"/>
          <w:spacing w:val="0"/>
          <w:sz w:val="20"/>
          <w:highlight w:val="white"/>
        </w:rPr>
      </w:r>
    </w:p>
    <w:p>
      <w:pPr>
        <w:pStyle w:val="TextBody"/>
        <w:spacing w:before="0" w:after="0"/>
        <w:ind w:left="0" w:right="0" w:hanging="0"/>
        <w:jc w:val="both"/>
        <w:rPr>
          <w:rFonts w:ascii="Times New Roman" w:hAnsi="Times New Roman"/>
          <w:color w:val="000000"/>
          <w:sz w:val="20"/>
        </w:rPr>
      </w:pPr>
      <w:r>
        <w:rPr>
          <w:rFonts w:ascii="Times New Roman" w:hAnsi="Times New Roman"/>
          <w:b w:val="false"/>
          <w:i/>
          <w:caps w:val="false"/>
          <w:smallCaps w:val="false"/>
          <w:color w:val="000000"/>
          <w:sz w:val="20"/>
          <w:u w:val="single"/>
        </w:rPr>
        <w:t>Acquired Loans</w:t>
      </w:r>
      <w:r>
        <w:rPr>
          <w:rFonts w:ascii="Times New Roman" w:hAnsi="Times New Roman"/>
          <w:caps w:val="false"/>
          <w:smallCaps w:val="false"/>
          <w:color w:val="000000"/>
          <w:sz w:val="20"/>
        </w:rPr>
        <w:t xml:space="preserve"> – </w:t>
      </w:r>
      <w:r>
        <w:rPr>
          <w:rFonts w:ascii="Times New Roman" w:hAnsi="Times New Roman"/>
          <w:b w:val="false"/>
          <w:caps w:val="false"/>
          <w:smallCaps w:val="false"/>
          <w:color w:val="000000"/>
          <w:sz w:val="20"/>
        </w:rPr>
        <w:t>Loans</w:t>
      </w:r>
      <w:r>
        <w:rPr>
          <w:rFonts w:ascii="Times New Roman" w:hAnsi="Times New Roman"/>
          <w:b w:val="false"/>
          <w:caps w:val="false"/>
          <w:smallCaps w:val="false"/>
          <w:color w:val="000000"/>
          <w:spacing w:val="0"/>
          <w:sz w:val="20"/>
        </w:rPr>
        <w:t xml:space="preserve"> </w:t>
      </w:r>
      <w:r>
        <w:rPr>
          <w:rFonts w:ascii="Times New Roman" w:hAnsi="Times New Roman"/>
          <w:b w:val="false"/>
          <w:i w:val="false"/>
          <w:caps w:val="false"/>
          <w:smallCaps w:val="false"/>
          <w:color w:val="000000"/>
          <w:spacing w:val="0"/>
          <w:sz w:val="20"/>
        </w:rPr>
        <w:t xml:space="preserve">that the Company acquires in connection with business combinations are recorded at fair value with no carryover of the acquired entity’s related ACL. The fair value of the acquired loans involves estimating the amount and timing of principal and interest cash flows expected to be collected on the loans and discounting those cash flows at a market rate of interest, adjusted for estimated prepayments and credit losses.  In accordance with Topic 326, the fair value adjustment is recorded as premium or discount to the unpaid principal balance of each acquired loan. </w:t>
      </w:r>
      <w:r>
        <w:rPr>
          <w:rFonts w:ascii="Times New Roman;Times;serif" w:hAnsi="Times New Roman;Times;serif"/>
          <w:b w:val="false"/>
          <w:i w:val="false"/>
          <w:caps w:val="false"/>
          <w:smallCaps w:val="false"/>
          <w:color w:val="000000"/>
          <w:spacing w:val="0"/>
          <w:sz w:val="20"/>
        </w:rPr>
        <w:t>In addition, the Company also records an ACL on each acquired loan.</w:t>
      </w:r>
      <w:r>
        <w:rPr>
          <w:rFonts w:ascii="Times New Roman" w:hAnsi="Times New Roman"/>
          <w:b w:val="false"/>
          <w:i w:val="false"/>
          <w:caps w:val="false"/>
          <w:smallCaps w:val="false"/>
          <w:color w:val="000000"/>
          <w:spacing w:val="0"/>
          <w:sz w:val="20"/>
        </w:rPr>
        <w:t xml:space="preserve"> </w:t>
      </w:r>
    </w:p>
    <w:p>
      <w:pPr>
        <w:pStyle w:val="TextBody"/>
        <w:spacing w:before="0" w:after="0"/>
        <w:ind w:left="0" w:right="0" w:hanging="0"/>
        <w:jc w:val="both"/>
        <w:rPr>
          <w:rFonts w:ascii="Times New Roman;Times;serif" w:hAnsi="Times New Roman;Times;serif"/>
          <w:b w:val="false"/>
          <w:i w:val="false"/>
          <w:caps w:val="false"/>
          <w:smallCaps w:val="false"/>
          <w:color w:val="000000"/>
          <w:spacing w:val="0"/>
          <w:sz w:val="20"/>
        </w:rPr>
      </w:pPr>
      <w:r>
        <w:rPr>
          <w:rFonts w:ascii="Times New Roman;Times;serif" w:hAnsi="Times New Roman;Times;serif"/>
          <w:b w:val="false"/>
          <w:i w:val="false"/>
          <w:caps w:val="false"/>
          <w:smallCaps w:val="false"/>
          <w:color w:val="000000"/>
          <w:spacing w:val="0"/>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 xml:space="preserve">Any acquired loans the Company determines have evidence of a more than insignificant deterioration in credit quality since origination, are considered to be purchase credit deteriorated (“PCD”) loans. The Company evaluates acquired loans for deterioration in credit quality based on any of, but not limited to, the following:  (i) non-accrual status; (ii) risk rating, (iii) watchlist credits; and (iv) delinquency status.  An ACL is determined using the same methodology as other individually evaluated loans. The sum of the PCD loan’s purchase price and ACL becomes its initial amortized cost basis.  The difference between the initial amortized cost basis and the par value of the loan is a non-credit discount or premium, which is amortized into interest income over the life of the loan. Subsequent changes to the ACL are recorded through provision for credit losses. </w:t>
      </w:r>
    </w:p>
    <w:p>
      <w:pPr>
        <w:pStyle w:val="TextBody"/>
        <w:spacing w:before="0" w:after="0"/>
        <w:jc w:val="left"/>
        <w:rPr/>
      </w:pPr>
      <w:r>
        <w:rPr/>
      </w:r>
    </w:p>
    <w:p>
      <w:pPr>
        <w:pStyle w:val="TextBody"/>
        <w:spacing w:before="0" w:after="0"/>
        <w:ind w:left="0" w:right="0" w:hanging="0"/>
        <w:jc w:val="both"/>
        <w:rPr>
          <w:rFonts w:ascii="Times New Roman" w:hAnsi="Times New Roman"/>
          <w:color w:val="000000"/>
          <w:sz w:val="20"/>
        </w:rPr>
      </w:pPr>
      <w:r>
        <w:rPr>
          <w:rFonts w:ascii="Times New Roman" w:hAnsi="Times New Roman"/>
          <w:b w:val="false"/>
          <w:i/>
          <w:caps w:val="false"/>
          <w:smallCaps w:val="false"/>
          <w:color w:val="000000"/>
          <w:sz w:val="20"/>
          <w:u w:val="single"/>
        </w:rPr>
        <w:t>Goodwill and Other Intangible Assets </w:t>
      </w:r>
      <w:r>
        <w:rPr>
          <w:rFonts w:ascii="Times New Roman" w:hAnsi="Times New Roman"/>
          <w:caps w:val="false"/>
          <w:smallCaps w:val="false"/>
          <w:color w:val="000000"/>
          <w:sz w:val="20"/>
        </w:rPr>
        <w:t xml:space="preserve">– </w:t>
      </w:r>
      <w:r>
        <w:rPr>
          <w:rFonts w:ascii="Times New Roman" w:hAnsi="Times New Roman"/>
          <w:b w:val="false"/>
          <w:caps w:val="false"/>
          <w:smallCaps w:val="false"/>
          <w:color w:val="000000"/>
          <w:sz w:val="20"/>
        </w:rPr>
        <w:t xml:space="preserve">Goodwill resulting from business combinations is generally determined as the excess of the fair value of the consideration transferred over the fair value of the net assets acquired and liabilities assumed as of the acquisition date. Goodwill is not amortized, but is tested for impairment on October 31 of each year or more frequently if events and circumstances exist that indicate that an impairment test should be performed. </w:t>
      </w:r>
      <w:r>
        <w:rPr>
          <w:rFonts w:ascii="Times New Roman" w:hAnsi="Times New Roman"/>
          <w:b w:val="false"/>
          <w:i w:val="false"/>
          <w:caps w:val="false"/>
          <w:smallCaps w:val="false"/>
          <w:color w:val="000000"/>
          <w:spacing w:val="0"/>
          <w:sz w:val="20"/>
        </w:rPr>
        <w:t>During the three months ended March 31, 2023, economic uncertainty and liquidity concerns surrounding the Company’s industry of operations resulted in a decrease in the Company’s stock price.  The Company believed this resulted in a triggering event requiring an interim goodwill impairment quantitative analysis.  The Company’s estimated fair value as of March 31, 2023 exceeded its carrying amount resulting in no impairment charge for the three months ended March 31, 2023.  In addition, there was no goodwill impairment recorded for the year ended December 31, 2022.</w:t>
      </w:r>
    </w:p>
    <w:p>
      <w:pPr>
        <w:pStyle w:val="TextBody"/>
        <w:spacing w:before="0" w:after="0"/>
        <w:jc w:val="left"/>
        <w:rPr>
          <w:rFonts w:ascii="Times New Roman" w:hAnsi="Times New Roman"/>
          <w:b w:val="false"/>
          <w:caps w:val="false"/>
          <w:smallCaps w:val="false"/>
          <w:color w:val="000000"/>
          <w:sz w:val="20"/>
        </w:rPr>
      </w:pPr>
      <w:r>
        <w:rPr>
          <w:rFonts w:ascii="Times New Roman" w:hAnsi="Times New Roman"/>
          <w:b w:val="false"/>
          <w:caps w:val="false"/>
          <w:smallCaps w:val="false"/>
          <w:color w:val="000000"/>
          <w:sz w:val="20"/>
        </w:rPr>
      </w:r>
    </w:p>
    <w:p>
      <w:pPr>
        <w:pStyle w:val="TextBody"/>
        <w:spacing w:before="0" w:after="0"/>
        <w:jc w:val="both"/>
        <w:rPr>
          <w:rFonts w:ascii="Times New Roman" w:hAnsi="Times New Roman"/>
          <w:b w:val="false"/>
          <w:caps w:val="false"/>
          <w:smallCaps w:val="false"/>
          <w:color w:val="000000"/>
          <w:sz w:val="20"/>
        </w:rPr>
      </w:pPr>
      <w:r>
        <w:rPr>
          <w:rFonts w:ascii="Times New Roman" w:hAnsi="Times New Roman"/>
          <w:b w:val="false"/>
          <w:caps w:val="false"/>
          <w:smallCaps w:val="false"/>
          <w:color w:val="000000"/>
          <w:sz w:val="20"/>
        </w:rPr>
        <w:t>Core deposit intangible (“CDI”) is a measure of the value of checking and savings deposit relationships acquired in a business combination. The fair value of the CDI stemming from any given business combination is based on the present value of the expected cost savings attributable to the core deposit funding relative to an alternative source of funding. CDI is amortized over the estimated useful lives of the existing deposit relationships acquired, but does not exceed 10 years. Substantially all CDI is amortized using the sum of the years’ digits method.</w:t>
      </w:r>
    </w:p>
    <w:p>
      <w:pPr>
        <w:pStyle w:val="TextBody"/>
        <w:spacing w:before="0" w:after="0"/>
        <w:jc w:val="both"/>
        <w:rPr>
          <w:rFonts w:ascii="Times New Roman" w:hAnsi="Times New Roman"/>
          <w:b w:val="false"/>
          <w:i/>
          <w:caps w:val="false"/>
          <w:smallCaps w:val="false"/>
          <w:color w:val="000000"/>
          <w:sz w:val="20"/>
          <w:u w:val="single"/>
        </w:rPr>
      </w:pPr>
      <w:r>
        <w:rPr>
          <w:rFonts w:ascii="Times New Roman" w:hAnsi="Times New Roman"/>
          <w:b w:val="false"/>
          <w:i/>
          <w:caps w:val="false"/>
          <w:smallCaps w:val="false"/>
          <w:color w:val="000000"/>
          <w:sz w:val="20"/>
          <w:u w:val="single"/>
        </w:rPr>
      </w:r>
    </w:p>
    <w:p>
      <w:pPr>
        <w:pStyle w:val="TextBody"/>
        <w:spacing w:before="0" w:after="0"/>
        <w:jc w:val="both"/>
        <w:rPr>
          <w:rFonts w:ascii="Times New Roman" w:hAnsi="Times New Roman"/>
          <w:color w:val="000000"/>
          <w:sz w:val="20"/>
        </w:rPr>
      </w:pPr>
      <w:r>
        <w:rPr>
          <w:rFonts w:ascii="Times New Roman" w:hAnsi="Times New Roman"/>
          <w:b w:val="false"/>
          <w:i/>
          <w:caps w:val="false"/>
          <w:smallCaps w:val="false"/>
          <w:color w:val="000000"/>
          <w:sz w:val="20"/>
          <w:u w:val="single"/>
        </w:rPr>
        <w:t>Earnings per Share</w:t>
      </w:r>
      <w:r>
        <w:rPr>
          <w:rFonts w:ascii="Times New Roman" w:hAnsi="Times New Roman"/>
          <w:caps w:val="false"/>
          <w:smallCaps w:val="false"/>
          <w:color w:val="000000"/>
          <w:sz w:val="20"/>
        </w:rPr>
        <w:t xml:space="preserve"> – </w:t>
      </w:r>
      <w:r>
        <w:rPr>
          <w:rFonts w:ascii="Times New Roman" w:hAnsi="Times New Roman"/>
          <w:b w:val="false"/>
          <w:i w:val="false"/>
          <w:caps w:val="false"/>
          <w:smallCaps w:val="false"/>
          <w:color w:val="000000"/>
          <w:sz w:val="20"/>
        </w:rPr>
        <w:t>Basic earnings per share is net income divided by the weighted average number of common shares outstanding during the period. Diluted earnings per share includes the dilutive effect of additional potential shares issuable under stock options. Earnings and dividends per share are restated for all stock splits and stock dividends through the date of issuance of the consolidated financial statements.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b w:val="false"/>
          <w:i/>
          <w:caps w:val="false"/>
          <w:smallCaps w:val="false"/>
          <w:color w:val="000000"/>
          <w:sz w:val="20"/>
          <w:u w:val="single"/>
        </w:rPr>
        <w:t>Segment Information</w:t>
      </w:r>
      <w:r>
        <w:rPr>
          <w:rFonts w:ascii="Times New Roman" w:hAnsi="Times New Roman"/>
          <w:caps w:val="false"/>
          <w:smallCaps w:val="false"/>
          <w:color w:val="000000"/>
          <w:sz w:val="20"/>
        </w:rPr>
        <w:t xml:space="preserve"> – </w:t>
      </w:r>
      <w:r>
        <w:rPr>
          <w:rFonts w:ascii="Times New Roman" w:hAnsi="Times New Roman"/>
          <w:b w:val="false"/>
          <w:i w:val="false"/>
          <w:caps w:val="false"/>
          <w:smallCaps w:val="false"/>
          <w:color w:val="000000"/>
          <w:sz w:val="20"/>
        </w:rPr>
        <w:t>The Company previously identified two operating segments: banking and insurance. The accounting policies for each of the segments were the same as those described in the summary of significant accounting policies. Effective January 1, 2023, operations and financial performance of the insurance segment were being performed and evaluated on a Company-wide basis based on not being significant to the operating results of the Company. Furthermore, the insurance segment was sold on April 1, 2023 (see Note 14). As a result, segment reporting disclosures have been removed.</w:t>
      </w:r>
    </w:p>
    <w:p>
      <w:pPr>
        <w:pStyle w:val="TextBody"/>
        <w:spacing w:before="0" w:after="0"/>
        <w:jc w:val="left"/>
        <w:rPr/>
      </w:pPr>
      <w:r>
        <w:rPr/>
      </w:r>
    </w:p>
    <w:p>
      <w:pPr>
        <w:pStyle w:val="TextBody"/>
        <w:spacing w:before="0" w:after="0"/>
        <w:ind w:left="0" w:right="0" w:hanging="0"/>
        <w:jc w:val="both"/>
        <w:rPr>
          <w:rFonts w:ascii="Times New Roman" w:hAnsi="Times New Roman"/>
          <w:color w:val="000000"/>
          <w:sz w:val="20"/>
        </w:rPr>
      </w:pPr>
      <w:r>
        <w:rPr>
          <w:rFonts w:ascii="Times New Roman" w:hAnsi="Times New Roman"/>
          <w:b w:val="false"/>
          <w:i/>
          <w:caps w:val="false"/>
          <w:smallCaps w:val="false"/>
          <w:color w:val="000000"/>
          <w:sz w:val="20"/>
          <w:u w:val="single"/>
        </w:rPr>
        <w:t>Subsequent Events</w:t>
      </w:r>
      <w:r>
        <w:rPr>
          <w:rFonts w:ascii="Times New Roman" w:hAnsi="Times New Roman"/>
          <w:caps w:val="false"/>
          <w:smallCaps w:val="false"/>
          <w:color w:val="000000"/>
          <w:sz w:val="20"/>
        </w:rPr>
        <w:t xml:space="preserve"> – </w:t>
      </w:r>
      <w:r>
        <w:rPr>
          <w:rFonts w:ascii="Times New Roman" w:hAnsi="Times New Roman"/>
          <w:b w:val="false"/>
          <w:i w:val="false"/>
          <w:caps w:val="false"/>
          <w:smallCaps w:val="false"/>
          <w:color w:val="000000"/>
          <w:spacing w:val="0"/>
          <w:sz w:val="20"/>
        </w:rPr>
        <w:t>The Company has evaluated subsequent events and transactions from March 31,2023 through the date this Form 10-Q was filed with the SEC for potential recognition or disclosure as required by GAAP.</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b w:val="false"/>
            <w:i/>
            <w:color w:val="000000"/>
            <w:sz w:val="16"/>
          </w:rPr>
          <w:t>Table of Contents</w:t>
        </w:r>
      </w:hyperlink>
    </w:p>
    <w:p>
      <w:pPr>
        <w:pStyle w:val="TextBody"/>
        <w:spacing w:before="0" w:after="0"/>
        <w:jc w:val="left"/>
        <w:rPr>
          <w:rFonts w:ascii="Times New Roman" w:hAnsi="Times New Roman"/>
          <w:b/>
          <w:color w:val="000000"/>
          <w:sz w:val="20"/>
        </w:rPr>
      </w:pPr>
      <w:r>
        <w:rPr>
          <w:rFonts w:ascii="Times New Roman" w:hAnsi="Times New Roman"/>
          <w:b/>
          <w:color w:val="000000"/>
          <w:sz w:val="20"/>
        </w:rPr>
        <w:t>2.  SECURITIES</w:t>
      </w:r>
    </w:p>
    <w:p>
      <w:pPr>
        <w:pStyle w:val="TextBody"/>
        <w:spacing w:before="0" w:after="0"/>
        <w:jc w:val="left"/>
        <w:rPr/>
      </w:pPr>
      <w:r>
        <w:rPr/>
      </w:r>
    </w:p>
    <w:p>
      <w:pPr>
        <w:pStyle w:val="TextBody"/>
        <w:spacing w:before="0" w:after="0"/>
        <w:ind w:left="0" w:right="0" w:hanging="0"/>
        <w:jc w:val="both"/>
        <w:rPr>
          <w:rFonts w:ascii="Times New Roman" w:hAnsi="Times New Roman"/>
          <w:color w:val="000000"/>
          <w:sz w:val="20"/>
        </w:rPr>
      </w:pPr>
      <w:r>
        <w:rPr>
          <w:rFonts w:ascii="Times New Roman" w:hAnsi="Times New Roman"/>
          <w:b w:val="false"/>
          <w:i w:val="false"/>
          <w:caps w:val="false"/>
          <w:smallCaps w:val="false"/>
          <w:color w:val="000000"/>
          <w:spacing w:val="0"/>
          <w:sz w:val="20"/>
          <w:highlight w:val="white"/>
        </w:rPr>
        <w:t>The amortized cost, related gross unrealized gains and losses,</w:t>
      </w:r>
      <w:r>
        <w:rPr>
          <w:rFonts w:ascii="Times New Roman" w:hAnsi="Times New Roman"/>
          <w:color w:val="000000"/>
          <w:sz w:val="20"/>
        </w:rPr>
        <w:t xml:space="preserve"> allowance for credit losses, and estimated fair value of securities available for sale at the dates indicated follows (dollars in thousands)</w:t>
      </w:r>
      <w:r>
        <w:rPr>
          <w:rFonts w:ascii="Times New Roman" w:hAnsi="Times New Roman"/>
          <w:b w:val="false"/>
          <w:i w:val="false"/>
          <w:caps w:val="false"/>
          <w:smallCaps w:val="false"/>
          <w:color w:val="000000"/>
          <w:spacing w:val="0"/>
          <w:sz w:val="20"/>
          <w:highlight w:val="white"/>
        </w:rPr>
        <w:t>:</w:t>
      </w:r>
    </w:p>
    <w:p>
      <w:pPr>
        <w:pStyle w:val="TextBody"/>
        <w:spacing w:before="0" w:after="0"/>
        <w:jc w:val="left"/>
        <w:rPr/>
      </w:pPr>
      <w:r>
        <w:rPr/>
      </w:r>
    </w:p>
    <w:tbl>
      <w:tblPr>
        <w:tblW w:w="9824" w:type="dxa"/>
        <w:jc w:val="left"/>
        <w:tblInd w:w="0" w:type="dxa"/>
        <w:tblCellMar>
          <w:top w:w="0" w:type="dxa"/>
          <w:left w:w="0" w:type="dxa"/>
          <w:bottom w:w="0" w:type="dxa"/>
          <w:right w:w="0" w:type="dxa"/>
        </w:tblCellMar>
      </w:tblPr>
      <w:tblGrid>
        <w:gridCol w:w="4220"/>
        <w:gridCol w:w="60"/>
        <w:gridCol w:w="125"/>
        <w:gridCol w:w="800"/>
        <w:gridCol w:w="60"/>
        <w:gridCol w:w="60"/>
        <w:gridCol w:w="235"/>
        <w:gridCol w:w="715"/>
        <w:gridCol w:w="60"/>
        <w:gridCol w:w="60"/>
        <w:gridCol w:w="134"/>
        <w:gridCol w:w="816"/>
        <w:gridCol w:w="95"/>
        <w:gridCol w:w="60"/>
        <w:gridCol w:w="420"/>
        <w:gridCol w:w="784"/>
        <w:gridCol w:w="60"/>
        <w:gridCol w:w="60"/>
        <w:gridCol w:w="125"/>
        <w:gridCol w:w="800"/>
        <w:gridCol w:w="75"/>
      </w:tblGrid>
      <w:tr>
        <w:trPr/>
        <w:tc>
          <w:tcPr>
            <w:tcW w:w="422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2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Amortized</w:t>
            </w:r>
          </w:p>
          <w:p>
            <w:pPr>
              <w:pStyle w:val="TableContents"/>
              <w:spacing w:before="0" w:after="0"/>
              <w:jc w:val="center"/>
              <w:rPr>
                <w:rFonts w:ascii="Times New Roman" w:hAnsi="Times New Roman"/>
                <w:b/>
                <w:sz w:val="20"/>
              </w:rPr>
            </w:pPr>
            <w:r>
              <w:rPr>
                <w:rFonts w:ascii="Times New Roman" w:hAnsi="Times New Roman"/>
                <w:b/>
                <w:sz w:val="20"/>
              </w:rPr>
              <w:t>Cost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5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Gross</w:t>
            </w:r>
          </w:p>
          <w:p>
            <w:pPr>
              <w:pStyle w:val="TableContents"/>
              <w:spacing w:before="0" w:after="0"/>
              <w:jc w:val="center"/>
              <w:rPr>
                <w:rFonts w:ascii="Times New Roman" w:hAnsi="Times New Roman"/>
                <w:b/>
                <w:sz w:val="20"/>
              </w:rPr>
            </w:pPr>
            <w:r>
              <w:rPr>
                <w:rFonts w:ascii="Times New Roman" w:hAnsi="Times New Roman"/>
                <w:b/>
                <w:sz w:val="20"/>
              </w:rPr>
              <w:t>Unrealized</w:t>
            </w:r>
          </w:p>
          <w:p>
            <w:pPr>
              <w:pStyle w:val="TableContents"/>
              <w:spacing w:before="0" w:after="0"/>
              <w:jc w:val="center"/>
              <w:rPr>
                <w:rFonts w:ascii="Times New Roman" w:hAnsi="Times New Roman"/>
                <w:b/>
                <w:sz w:val="20"/>
              </w:rPr>
            </w:pPr>
            <w:r>
              <w:rPr>
                <w:rFonts w:ascii="Times New Roman" w:hAnsi="Times New Roman"/>
                <w:b/>
                <w:sz w:val="20"/>
              </w:rPr>
              <w:t>Gains</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5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Gross</w:t>
            </w:r>
          </w:p>
          <w:p>
            <w:pPr>
              <w:pStyle w:val="TableContents"/>
              <w:spacing w:before="0" w:after="0"/>
              <w:jc w:val="center"/>
              <w:rPr>
                <w:rFonts w:ascii="Times New Roman" w:hAnsi="Times New Roman"/>
                <w:b/>
                <w:sz w:val="20"/>
              </w:rPr>
            </w:pPr>
            <w:r>
              <w:rPr>
                <w:rFonts w:ascii="Times New Roman" w:hAnsi="Times New Roman"/>
                <w:b/>
                <w:sz w:val="20"/>
              </w:rPr>
              <w:t>Unrealized</w:t>
            </w:r>
          </w:p>
          <w:p>
            <w:pPr>
              <w:pStyle w:val="TableContents"/>
              <w:spacing w:before="0" w:after="0"/>
              <w:jc w:val="center"/>
              <w:rPr>
                <w:rFonts w:ascii="Times New Roman" w:hAnsi="Times New Roman"/>
                <w:b/>
                <w:sz w:val="20"/>
              </w:rPr>
            </w:pPr>
            <w:r>
              <w:rPr>
                <w:rFonts w:ascii="Times New Roman" w:hAnsi="Times New Roman"/>
                <w:b/>
                <w:sz w:val="20"/>
              </w:rPr>
              <w:t>Losses</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center"/>
              <w:rPr/>
            </w:pPr>
            <w:r>
              <w:rPr/>
              <w:t> </w:t>
            </w:r>
          </w:p>
        </w:tc>
        <w:tc>
          <w:tcPr>
            <w:tcW w:w="1204" w:type="dxa"/>
            <w:gridSpan w:val="2"/>
            <w:tcBorders>
              <w:bottom w:val="single" w:sz="12" w:space="0" w:color="000000"/>
            </w:tcBorders>
            <w:shd w:fill="auto" w:val="clear"/>
            <w:tcMar>
              <w:bottom w:w="28" w:type="dxa"/>
            </w:tcMar>
            <w:vAlign w:val="bottom"/>
          </w:tcPr>
          <w:p>
            <w:pPr>
              <w:pStyle w:val="TableContents"/>
              <w:spacing w:before="0" w:after="0"/>
              <w:jc w:val="center"/>
              <w:rPr/>
            </w:pPr>
            <w:r>
              <w:rPr/>
              <w:t> </w:t>
            </w:r>
            <w:r>
              <w:rPr>
                <w:b/>
              </w:rPr>
              <w:t xml:space="preserve">Allowance </w:t>
            </w:r>
          </w:p>
          <w:p>
            <w:pPr>
              <w:pStyle w:val="TableContents"/>
              <w:spacing w:before="0" w:after="0"/>
              <w:jc w:val="center"/>
              <w:rPr>
                <w:b/>
              </w:rPr>
            </w:pPr>
            <w:r>
              <w:rPr>
                <w:b/>
              </w:rPr>
              <w:t xml:space="preserve">for Credit </w:t>
            </w:r>
          </w:p>
          <w:p>
            <w:pPr>
              <w:pStyle w:val="TableContents"/>
              <w:spacing w:before="0" w:after="0"/>
              <w:jc w:val="center"/>
              <w:rPr>
                <w:b/>
              </w:rPr>
            </w:pPr>
            <w:r>
              <w:rPr>
                <w:b/>
              </w:rPr>
              <w:t>Losses</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2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Fair</w:t>
            </w:r>
          </w:p>
          <w:p>
            <w:pPr>
              <w:pStyle w:val="TableContents"/>
              <w:spacing w:before="0" w:after="0"/>
              <w:jc w:val="center"/>
              <w:rPr>
                <w:rFonts w:ascii="Times New Roman" w:hAnsi="Times New Roman"/>
                <w:b/>
                <w:sz w:val="20"/>
              </w:rPr>
            </w:pPr>
            <w:r>
              <w:rPr>
                <w:rFonts w:ascii="Times New Roman" w:hAnsi="Times New Roman"/>
                <w:b/>
                <w:sz w:val="20"/>
              </w:rPr>
              <w:t>Value</w:t>
            </w:r>
          </w:p>
        </w:tc>
        <w:tc>
          <w:tcPr>
            <w:tcW w:w="75" w:type="dxa"/>
            <w:tcBorders/>
            <w:shd w:fill="auto" w:val="clear"/>
            <w:vAlign w:val="bottom"/>
          </w:tcPr>
          <w:p>
            <w:pPr>
              <w:pStyle w:val="TableContents"/>
              <w:spacing w:before="0" w:after="283"/>
              <w:jc w:val="left"/>
              <w:rPr/>
            </w:pPr>
            <w:r>
              <w:rPr/>
              <w:t> </w:t>
            </w:r>
          </w:p>
        </w:tc>
      </w:tr>
      <w:tr>
        <w:trPr/>
        <w:tc>
          <w:tcPr>
            <w:tcW w:w="4220" w:type="dxa"/>
            <w:tcBorders/>
            <w:shd w:fill="auto" w:val="clear"/>
            <w:vAlign w:val="bottom"/>
          </w:tcPr>
          <w:p>
            <w:pPr>
              <w:pStyle w:val="TableContents"/>
              <w:spacing w:before="0" w:after="0"/>
              <w:ind w:left="180" w:right="0" w:hanging="0"/>
              <w:jc w:val="left"/>
              <w:rPr>
                <w:rFonts w:ascii="Times New Roman" w:hAnsi="Times New Roman"/>
                <w:sz w:val="20"/>
                <w:u w:val="single"/>
              </w:rPr>
            </w:pPr>
            <w:r>
              <w:rPr>
                <w:rFonts w:ascii="Times New Roman" w:hAnsi="Times New Roman"/>
                <w:sz w:val="20"/>
                <w:u w:val="single"/>
              </w:rPr>
              <w:t>March 31, 2023</w:t>
            </w:r>
          </w:p>
        </w:tc>
        <w:tc>
          <w:tcPr>
            <w:tcW w:w="60" w:type="dxa"/>
            <w:tcBorders/>
            <w:shd w:fill="auto" w:val="clear"/>
            <w:vAlign w:val="bottom"/>
          </w:tcPr>
          <w:p>
            <w:pPr>
              <w:pStyle w:val="TableContents"/>
              <w:spacing w:before="0" w:after="283"/>
              <w:rPr/>
            </w:pPr>
            <w:r>
              <w:rPr/>
              <w:t> </w:t>
            </w:r>
          </w:p>
        </w:tc>
        <w:tc>
          <w:tcPr>
            <w:tcW w:w="92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5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50" w:type="dxa"/>
            <w:gridSpan w:val="2"/>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04"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25"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jc w:val="left"/>
              <w:rPr/>
            </w:pPr>
            <w:r>
              <w:rPr/>
              <w:t> </w:t>
            </w:r>
          </w:p>
        </w:tc>
      </w:tr>
      <w:tr>
        <w:trPr/>
        <w:tc>
          <w:tcPr>
            <w:tcW w:w="4220" w:type="dxa"/>
            <w:tcBorders/>
            <w:shd w:fill="auto"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Available for sale:</w:t>
            </w:r>
          </w:p>
        </w:tc>
        <w:tc>
          <w:tcPr>
            <w:tcW w:w="60" w:type="dxa"/>
            <w:tcBorders/>
            <w:shd w:fill="auto" w:val="clear"/>
            <w:vAlign w:val="bottom"/>
          </w:tcPr>
          <w:p>
            <w:pPr>
              <w:pStyle w:val="TableContents"/>
              <w:spacing w:before="0" w:after="283"/>
              <w:rPr/>
            </w:pPr>
            <w:r>
              <w:rPr/>
              <w:t> </w:t>
            </w:r>
          </w:p>
        </w:tc>
        <w:tc>
          <w:tcPr>
            <w:tcW w:w="92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5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50" w:type="dxa"/>
            <w:gridSpan w:val="2"/>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04"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25"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jc w:val="left"/>
              <w:rPr/>
            </w:pPr>
            <w:r>
              <w:rPr/>
              <w:t> </w:t>
            </w:r>
          </w:p>
        </w:tc>
      </w:tr>
      <w:tr>
        <w:trPr/>
        <w:tc>
          <w:tcPr>
            <w:tcW w:w="4220" w:type="dxa"/>
            <w:tcBorders/>
            <w:shd w:fill="CCEEFF" w:val="clear"/>
            <w:vAlign w:val="bottom"/>
          </w:tcPr>
          <w:p>
            <w:pPr>
              <w:pStyle w:val="TableContents"/>
              <w:spacing w:before="0" w:after="0"/>
              <w:ind w:left="288" w:right="0" w:hanging="144"/>
              <w:jc w:val="left"/>
              <w:rPr>
                <w:rFonts w:ascii="Times New Roman" w:hAnsi="Times New Roman"/>
                <w:sz w:val="20"/>
              </w:rPr>
            </w:pPr>
            <w:r>
              <w:rPr>
                <w:rFonts w:ascii="Times New Roman" w:hAnsi="Times New Roman"/>
                <w:sz w:val="20"/>
              </w:rPr>
              <w:t>State and municipal</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800"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258,575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3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715"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26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34"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816"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(27,424</w:t>
            </w:r>
          </w:p>
        </w:tc>
        <w:tc>
          <w:tcPr>
            <w:tcW w:w="9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right"/>
              <w:rPr/>
            </w:pPr>
            <w:r>
              <w:rPr/>
              <w:t> </w:t>
            </w:r>
          </w:p>
        </w:tc>
        <w:tc>
          <w:tcPr>
            <w:tcW w:w="420" w:type="dxa"/>
            <w:tcBorders/>
            <w:shd w:fill="CCEEFF" w:val="clear"/>
            <w:vAlign w:val="bottom"/>
          </w:tcPr>
          <w:p>
            <w:pPr>
              <w:pStyle w:val="TableContents"/>
              <w:spacing w:before="0" w:after="283"/>
              <w:jc w:val="left"/>
              <w:rPr/>
            </w:pPr>
            <w:r>
              <w:rPr/>
              <w:t>$</w:t>
            </w:r>
          </w:p>
        </w:tc>
        <w:tc>
          <w:tcPr>
            <w:tcW w:w="784"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800"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231,177</w:t>
            </w:r>
          </w:p>
        </w:tc>
        <w:tc>
          <w:tcPr>
            <w:tcW w:w="75" w:type="dxa"/>
            <w:tcBorders/>
            <w:shd w:fill="CCEEFF" w:val="clear"/>
            <w:vAlign w:val="bottom"/>
          </w:tcPr>
          <w:p>
            <w:pPr>
              <w:pStyle w:val="TableContents"/>
              <w:spacing w:before="0" w:after="283"/>
              <w:jc w:val="left"/>
              <w:rPr/>
            </w:pPr>
            <w:r>
              <w:rPr/>
              <w:t> </w:t>
            </w:r>
          </w:p>
        </w:tc>
      </w:tr>
      <w:tr>
        <w:trPr/>
        <w:tc>
          <w:tcPr>
            <w:tcW w:w="4220" w:type="dxa"/>
            <w:tcBorders/>
            <w:shd w:fill="auto" w:val="clear"/>
            <w:vAlign w:val="bottom"/>
          </w:tcPr>
          <w:p>
            <w:pPr>
              <w:pStyle w:val="TableContents"/>
              <w:spacing w:before="0" w:after="0"/>
              <w:ind w:left="180" w:right="0" w:hanging="0"/>
              <w:jc w:val="left"/>
              <w:rPr>
                <w:rFonts w:ascii="Times New Roman;Times;serif" w:hAnsi="Times New Roman;Times;serif"/>
                <w:color w:val="000000"/>
                <w:sz w:val="20"/>
              </w:rPr>
            </w:pPr>
            <w:r>
              <w:rPr>
                <w:rFonts w:ascii="Times New Roman;Times;serif" w:hAnsi="Times New Roman;Times;serif"/>
                <w:color w:val="000000"/>
                <w:sz w:val="20"/>
              </w:rPr>
              <w:t>Residential mortgage-backed securities</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283"/>
              <w:jc w:val="right"/>
              <w:rPr/>
            </w:pPr>
            <w:r>
              <w:rPr/>
              <w:t>380,008</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35" w:type="dxa"/>
            <w:tcBorders/>
            <w:shd w:fill="auto" w:val="clear"/>
            <w:vAlign w:val="bottom"/>
          </w:tcPr>
          <w:p>
            <w:pPr>
              <w:pStyle w:val="TableContents"/>
              <w:spacing w:before="0" w:after="283"/>
              <w:jc w:val="left"/>
              <w:rPr/>
            </w:pPr>
            <w:r>
              <w:rPr/>
              <w:t> </w:t>
            </w:r>
          </w:p>
        </w:tc>
        <w:tc>
          <w:tcPr>
            <w:tcW w:w="715" w:type="dxa"/>
            <w:tcBorders/>
            <w:shd w:fill="auto" w:val="clear"/>
            <w:vAlign w:val="bottom"/>
          </w:tcPr>
          <w:p>
            <w:pPr>
              <w:pStyle w:val="TableContents"/>
              <w:spacing w:before="0" w:after="283"/>
              <w:jc w:val="right"/>
              <w:rPr/>
            </w:pPr>
            <w:r>
              <w:rPr/>
              <w:t>946</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34" w:type="dxa"/>
            <w:tcBorders/>
            <w:shd w:fill="auto" w:val="clear"/>
            <w:vAlign w:val="bottom"/>
          </w:tcPr>
          <w:p>
            <w:pPr>
              <w:pStyle w:val="TableContents"/>
              <w:spacing w:before="0" w:after="283"/>
              <w:jc w:val="left"/>
              <w:rPr/>
            </w:pPr>
            <w:r>
              <w:rPr/>
              <w:t> </w:t>
            </w:r>
          </w:p>
        </w:tc>
        <w:tc>
          <w:tcPr>
            <w:tcW w:w="816" w:type="dxa"/>
            <w:tcBorders/>
            <w:shd w:fill="auto" w:val="clear"/>
            <w:vAlign w:val="bottom"/>
          </w:tcPr>
          <w:p>
            <w:pPr>
              <w:pStyle w:val="TableContents"/>
              <w:spacing w:before="0" w:after="283"/>
              <w:jc w:val="right"/>
              <w:rPr/>
            </w:pPr>
            <w:r>
              <w:rPr/>
              <w:t>(53,431</w:t>
            </w:r>
          </w:p>
        </w:tc>
        <w:tc>
          <w:tcPr>
            <w:tcW w:w="95" w:type="dxa"/>
            <w:tcBorders/>
            <w:shd w:fill="auto" w:val="clear"/>
            <w:vAlign w:val="bottom"/>
          </w:tcPr>
          <w:p>
            <w:pPr>
              <w:pStyle w:val="TableContents"/>
              <w:spacing w:before="0" w:after="283"/>
              <w:jc w:val="left"/>
              <w:rPr/>
            </w:pPr>
            <w:r>
              <w:rPr/>
              <w:t>)</w:t>
            </w:r>
          </w:p>
        </w:tc>
        <w:tc>
          <w:tcPr>
            <w:tcW w:w="60" w:type="dxa"/>
            <w:tcBorders/>
            <w:shd w:fill="auto" w:val="clear"/>
            <w:vAlign w:val="bottom"/>
          </w:tcPr>
          <w:p>
            <w:pPr>
              <w:pStyle w:val="TableContents"/>
              <w:spacing w:before="0" w:after="283"/>
              <w:jc w:val="right"/>
              <w:rPr/>
            </w:pPr>
            <w:r>
              <w:rPr/>
              <w:t> </w:t>
            </w:r>
          </w:p>
        </w:tc>
        <w:tc>
          <w:tcPr>
            <w:tcW w:w="420" w:type="dxa"/>
            <w:tcBorders/>
            <w:shd w:fill="auto" w:val="clear"/>
            <w:vAlign w:val="bottom"/>
          </w:tcPr>
          <w:p>
            <w:pPr>
              <w:pStyle w:val="TableContents"/>
              <w:spacing w:before="0" w:after="283"/>
              <w:jc w:val="left"/>
              <w:rPr/>
            </w:pPr>
            <w:r>
              <w:rPr/>
              <w:t> </w:t>
            </w:r>
          </w:p>
        </w:tc>
        <w:tc>
          <w:tcPr>
            <w:tcW w:w="784"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283"/>
              <w:jc w:val="right"/>
              <w:rPr/>
            </w:pPr>
            <w:r>
              <w:rPr/>
              <w:t>327,523</w:t>
            </w:r>
          </w:p>
        </w:tc>
        <w:tc>
          <w:tcPr>
            <w:tcW w:w="75" w:type="dxa"/>
            <w:tcBorders/>
            <w:shd w:fill="auto" w:val="clear"/>
            <w:vAlign w:val="bottom"/>
          </w:tcPr>
          <w:p>
            <w:pPr>
              <w:pStyle w:val="TableContents"/>
              <w:spacing w:before="0" w:after="283"/>
              <w:jc w:val="left"/>
              <w:rPr/>
            </w:pPr>
            <w:r>
              <w:rPr/>
              <w:t> </w:t>
            </w:r>
          </w:p>
        </w:tc>
      </w:tr>
      <w:tr>
        <w:trPr/>
        <w:tc>
          <w:tcPr>
            <w:tcW w:w="4220" w:type="dxa"/>
            <w:tcBorders/>
            <w:shd w:fill="CCEEFF" w:val="clear"/>
            <w:vAlign w:val="bottom"/>
          </w:tcPr>
          <w:p>
            <w:pPr>
              <w:pStyle w:val="TableContents"/>
              <w:spacing w:before="0" w:after="0"/>
              <w:ind w:left="180" w:right="0" w:hanging="0"/>
              <w:jc w:val="left"/>
              <w:rPr>
                <w:rFonts w:ascii="Times New Roman;Times;serif" w:hAnsi="Times New Roman;Times;serif"/>
                <w:color w:val="000000"/>
                <w:sz w:val="20"/>
              </w:rPr>
            </w:pPr>
            <w:r>
              <w:rPr>
                <w:rFonts w:ascii="Times New Roman;Times;serif" w:hAnsi="Times New Roman;Times;serif"/>
                <w:color w:val="000000"/>
                <w:sz w:val="20"/>
              </w:rPr>
              <w:t>Commercial mortgage-backed securities</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800" w:type="dxa"/>
            <w:tcBorders/>
            <w:shd w:fill="CCEEFF" w:val="clear"/>
            <w:vAlign w:val="bottom"/>
          </w:tcPr>
          <w:p>
            <w:pPr>
              <w:pStyle w:val="TableContents"/>
              <w:spacing w:before="0" w:after="283"/>
              <w:jc w:val="right"/>
              <w:rPr/>
            </w:pPr>
            <w:r>
              <w:rPr/>
              <w:t>48,843</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35" w:type="dxa"/>
            <w:tcBorders/>
            <w:shd w:fill="CCEEFF" w:val="clear"/>
            <w:vAlign w:val="bottom"/>
          </w:tcPr>
          <w:p>
            <w:pPr>
              <w:pStyle w:val="TableContents"/>
              <w:spacing w:before="0" w:after="283"/>
              <w:jc w:val="left"/>
              <w:rPr/>
            </w:pPr>
            <w:r>
              <w:rPr/>
              <w:t> </w:t>
            </w:r>
          </w:p>
        </w:tc>
        <w:tc>
          <w:tcPr>
            <w:tcW w:w="715"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34"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283"/>
              <w:jc w:val="right"/>
              <w:rPr/>
            </w:pPr>
            <w:r>
              <w:rPr/>
              <w:t>(6,176</w:t>
            </w:r>
          </w:p>
        </w:tc>
        <w:tc>
          <w:tcPr>
            <w:tcW w:w="95" w:type="dxa"/>
            <w:tcBorders/>
            <w:shd w:fill="CCEEFF" w:val="clear"/>
            <w:vAlign w:val="bottom"/>
          </w:tcPr>
          <w:p>
            <w:pPr>
              <w:pStyle w:val="TableContents"/>
              <w:spacing w:before="0" w:after="283"/>
              <w:jc w:val="left"/>
              <w:rPr/>
            </w:pPr>
            <w:r>
              <w:rPr/>
              <w:t>)</w:t>
            </w:r>
          </w:p>
        </w:tc>
        <w:tc>
          <w:tcPr>
            <w:tcW w:w="60" w:type="dxa"/>
            <w:tcBorders/>
            <w:shd w:fill="CCEEFF" w:val="clear"/>
            <w:vAlign w:val="bottom"/>
          </w:tcPr>
          <w:p>
            <w:pPr>
              <w:pStyle w:val="TableContents"/>
              <w:spacing w:before="0" w:after="283"/>
              <w:jc w:val="right"/>
              <w:rPr/>
            </w:pPr>
            <w:r>
              <w:rPr/>
              <w:t> </w:t>
            </w:r>
          </w:p>
        </w:tc>
        <w:tc>
          <w:tcPr>
            <w:tcW w:w="420" w:type="dxa"/>
            <w:tcBorders/>
            <w:shd w:fill="CCEEFF" w:val="clear"/>
            <w:vAlign w:val="bottom"/>
          </w:tcPr>
          <w:p>
            <w:pPr>
              <w:pStyle w:val="TableContents"/>
              <w:spacing w:before="0" w:after="283"/>
              <w:jc w:val="left"/>
              <w:rPr/>
            </w:pPr>
            <w:r>
              <w:rPr/>
              <w:t> </w:t>
            </w:r>
          </w:p>
        </w:tc>
        <w:tc>
          <w:tcPr>
            <w:tcW w:w="784"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800" w:type="dxa"/>
            <w:tcBorders/>
            <w:shd w:fill="CCEEFF" w:val="clear"/>
            <w:vAlign w:val="bottom"/>
          </w:tcPr>
          <w:p>
            <w:pPr>
              <w:pStyle w:val="TableContents"/>
              <w:spacing w:before="0" w:after="283"/>
              <w:jc w:val="right"/>
              <w:rPr/>
            </w:pPr>
            <w:r>
              <w:rPr/>
              <w:t>42,667</w:t>
            </w:r>
          </w:p>
        </w:tc>
        <w:tc>
          <w:tcPr>
            <w:tcW w:w="75" w:type="dxa"/>
            <w:tcBorders/>
            <w:shd w:fill="CCEEFF" w:val="clear"/>
            <w:vAlign w:val="bottom"/>
          </w:tcPr>
          <w:p>
            <w:pPr>
              <w:pStyle w:val="TableContents"/>
              <w:spacing w:before="0" w:after="283"/>
              <w:jc w:val="left"/>
              <w:rPr/>
            </w:pPr>
            <w:r>
              <w:rPr/>
              <w:t> </w:t>
            </w:r>
          </w:p>
        </w:tc>
      </w:tr>
      <w:tr>
        <w:trPr/>
        <w:tc>
          <w:tcPr>
            <w:tcW w:w="4220" w:type="dxa"/>
            <w:tcBorders/>
            <w:shd w:fill="auto" w:val="clear"/>
            <w:vAlign w:val="bottom"/>
          </w:tcPr>
          <w:p>
            <w:pPr>
              <w:pStyle w:val="TableContents"/>
              <w:spacing w:before="0" w:after="0"/>
              <w:ind w:left="180" w:right="0" w:hanging="0"/>
              <w:rPr/>
            </w:pPr>
            <w:r>
              <w:rPr>
                <w:rFonts w:ascii="Times New Roman;Times;serif" w:hAnsi="Times New Roman;Times;serif"/>
                <w:sz w:val="20"/>
              </w:rPr>
              <w:t>Commercial collateralized</w:t>
            </w:r>
            <w:r>
              <w:rPr/>
              <w:t xml:space="preserve"> mortgage obligations</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73,024</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35" w:type="dxa"/>
            <w:tcBorders/>
            <w:shd w:fill="auto" w:val="clear"/>
            <w:vAlign w:val="bottom"/>
          </w:tcPr>
          <w:p>
            <w:pPr>
              <w:pStyle w:val="TableContents"/>
              <w:spacing w:before="0" w:after="283"/>
              <w:jc w:val="left"/>
              <w:rPr/>
            </w:pPr>
            <w:r>
              <w:rPr/>
              <w:t> </w:t>
            </w:r>
          </w:p>
        </w:tc>
        <w:tc>
          <w:tcPr>
            <w:tcW w:w="715" w:type="dxa"/>
            <w:tcBorders/>
            <w:shd w:fill="auto" w:val="clear"/>
            <w:vAlign w:val="bottom"/>
          </w:tcPr>
          <w:p>
            <w:pPr>
              <w:pStyle w:val="TableContents"/>
              <w:spacing w:before="0" w:after="0"/>
              <w:jc w:val="right"/>
              <w:rPr/>
            </w:pPr>
            <w:r>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34" w:type="dxa"/>
            <w:tcBorders/>
            <w:shd w:fill="auto" w:val="clear"/>
            <w:vAlign w:val="bottom"/>
          </w:tcPr>
          <w:p>
            <w:pPr>
              <w:pStyle w:val="TableContents"/>
              <w:spacing w:before="0" w:after="283"/>
              <w:jc w:val="left"/>
              <w:rPr/>
            </w:pPr>
            <w:r>
              <w:rPr/>
              <w:t> </w:t>
            </w:r>
          </w:p>
        </w:tc>
        <w:tc>
          <w:tcPr>
            <w:tcW w:w="816"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(5,473</w:t>
            </w:r>
          </w:p>
        </w:tc>
        <w:tc>
          <w:tcPr>
            <w:tcW w:w="95"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auto" w:val="clear"/>
            <w:vAlign w:val="bottom"/>
          </w:tcPr>
          <w:p>
            <w:pPr>
              <w:pStyle w:val="TableContents"/>
              <w:spacing w:before="0" w:after="283"/>
              <w:jc w:val="right"/>
              <w:rPr/>
            </w:pPr>
            <w:r>
              <w:rPr/>
              <w:t> </w:t>
            </w:r>
          </w:p>
        </w:tc>
        <w:tc>
          <w:tcPr>
            <w:tcW w:w="420" w:type="dxa"/>
            <w:tcBorders/>
            <w:shd w:fill="auto" w:val="clear"/>
            <w:vAlign w:val="bottom"/>
          </w:tcPr>
          <w:p>
            <w:pPr>
              <w:pStyle w:val="TableContents"/>
              <w:spacing w:before="0" w:after="283"/>
              <w:jc w:val="left"/>
              <w:rPr/>
            </w:pPr>
            <w:r>
              <w:rPr/>
              <w:t> </w:t>
            </w:r>
          </w:p>
        </w:tc>
        <w:tc>
          <w:tcPr>
            <w:tcW w:w="784"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67,551</w:t>
            </w:r>
          </w:p>
        </w:tc>
        <w:tc>
          <w:tcPr>
            <w:tcW w:w="75" w:type="dxa"/>
            <w:tcBorders/>
            <w:shd w:fill="auto" w:val="clear"/>
            <w:vAlign w:val="bottom"/>
          </w:tcPr>
          <w:p>
            <w:pPr>
              <w:pStyle w:val="TableContents"/>
              <w:spacing w:before="0" w:after="283"/>
              <w:jc w:val="left"/>
              <w:rPr/>
            </w:pPr>
            <w:r>
              <w:rPr/>
              <w:t> </w:t>
            </w:r>
          </w:p>
        </w:tc>
      </w:tr>
      <w:tr>
        <w:trPr/>
        <w:tc>
          <w:tcPr>
            <w:tcW w:w="4220" w:type="dxa"/>
            <w:tcBorders/>
            <w:shd w:fill="CCEEFF" w:val="cle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Asset-backed and other amortizing securities</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800"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20,263</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35" w:type="dxa"/>
            <w:tcBorders/>
            <w:shd w:fill="CCEEFF" w:val="clear"/>
            <w:vAlign w:val="bottom"/>
          </w:tcPr>
          <w:p>
            <w:pPr>
              <w:pStyle w:val="TableContents"/>
              <w:spacing w:before="0" w:after="283"/>
              <w:jc w:val="left"/>
              <w:rPr/>
            </w:pPr>
            <w:r>
              <w:rPr/>
              <w:t> </w:t>
            </w:r>
          </w:p>
        </w:tc>
        <w:tc>
          <w:tcPr>
            <w:tcW w:w="715"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34"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(1,594</w:t>
            </w:r>
          </w:p>
        </w:tc>
        <w:tc>
          <w:tcPr>
            <w:tcW w:w="9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right"/>
              <w:rPr/>
            </w:pPr>
            <w:r>
              <w:rPr/>
              <w:t> </w:t>
            </w:r>
          </w:p>
        </w:tc>
        <w:tc>
          <w:tcPr>
            <w:tcW w:w="420" w:type="dxa"/>
            <w:tcBorders/>
            <w:shd w:fill="CCEEFF" w:val="clear"/>
            <w:vAlign w:val="bottom"/>
          </w:tcPr>
          <w:p>
            <w:pPr>
              <w:pStyle w:val="TableContents"/>
              <w:spacing w:before="0" w:after="283"/>
              <w:jc w:val="left"/>
              <w:rPr/>
            </w:pPr>
            <w:r>
              <w:rPr/>
              <w:t> </w:t>
            </w:r>
          </w:p>
        </w:tc>
        <w:tc>
          <w:tcPr>
            <w:tcW w:w="784"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800"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18,669</w:t>
            </w:r>
          </w:p>
        </w:tc>
        <w:tc>
          <w:tcPr>
            <w:tcW w:w="75" w:type="dxa"/>
            <w:tcBorders/>
            <w:shd w:fill="CCEEFF" w:val="clear"/>
            <w:vAlign w:val="bottom"/>
          </w:tcPr>
          <w:p>
            <w:pPr>
              <w:pStyle w:val="TableContents"/>
              <w:spacing w:before="0" w:after="283"/>
              <w:jc w:val="left"/>
              <w:rPr/>
            </w:pPr>
            <w:r>
              <w:rPr/>
              <w:t> </w:t>
            </w:r>
          </w:p>
        </w:tc>
      </w:tr>
      <w:tr>
        <w:trPr/>
        <w:tc>
          <w:tcPr>
            <w:tcW w:w="4220" w:type="dxa"/>
            <w:tcBorders/>
            <w:shd w:fill="auto" w:val="cle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Other securities</w:t>
            </w:r>
          </w:p>
        </w:tc>
        <w:tc>
          <w:tcPr>
            <w:tcW w:w="60" w:type="dxa"/>
            <w:tcBorders/>
            <w:shd w:fill="auto" w:val="clear"/>
            <w:vAlign w:val="bottom"/>
          </w:tcPr>
          <w:p>
            <w:pPr>
              <w:pStyle w:val="TableContents"/>
              <w:spacing w:before="0" w:after="283"/>
              <w:jc w:val="right"/>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0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12,000</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3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715" w:type="dxa"/>
            <w:tcBorders>
              <w:bottom w:val="single" w:sz="12" w:space="0" w:color="000000"/>
            </w:tcBorders>
            <w:shd w:fill="auto" w:val="clear"/>
            <w:tcMar>
              <w:bottom w:w="28" w:type="dxa"/>
            </w:tcMar>
            <w:vAlign w:val="bottom"/>
          </w:tcPr>
          <w:p>
            <w:pPr>
              <w:pStyle w:val="TableContents"/>
              <w:spacing w:before="0" w:after="0"/>
              <w:jc w:val="right"/>
              <w:rPr/>
            </w:pPr>
            <w:r>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34"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16"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(1,008</w:t>
            </w:r>
          </w:p>
        </w:tc>
        <w:tc>
          <w:tcPr>
            <w:tcW w:w="95"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auto" w:val="clear"/>
            <w:vAlign w:val="bottom"/>
          </w:tcPr>
          <w:p>
            <w:pPr>
              <w:pStyle w:val="TableContents"/>
              <w:spacing w:before="0" w:after="283"/>
              <w:jc w:val="right"/>
              <w:rPr/>
            </w:pPr>
            <w:r>
              <w:rPr/>
              <w:t> </w:t>
            </w:r>
          </w:p>
        </w:tc>
        <w:tc>
          <w:tcPr>
            <w:tcW w:w="42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784" w:type="dxa"/>
            <w:tcBorders>
              <w:bottom w:val="single" w:sz="12" w:space="0" w:color="000000"/>
            </w:tcBorders>
            <w:shd w:fill="auto" w:val="clear"/>
            <w:tcMar>
              <w:bottom w:w="28" w:type="dxa"/>
            </w:tcM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0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10,992</w:t>
            </w:r>
          </w:p>
        </w:tc>
        <w:tc>
          <w:tcPr>
            <w:tcW w:w="75" w:type="dxa"/>
            <w:tcBorders/>
            <w:shd w:fill="auto" w:val="clear"/>
            <w:vAlign w:val="bottom"/>
          </w:tcPr>
          <w:p>
            <w:pPr>
              <w:pStyle w:val="TableContents"/>
              <w:spacing w:before="0" w:after="283"/>
              <w:jc w:val="left"/>
              <w:rPr/>
            </w:pPr>
            <w:r>
              <w:rPr/>
              <w:t> </w:t>
            </w:r>
          </w:p>
        </w:tc>
      </w:tr>
      <w:tr>
        <w:trPr/>
        <w:tc>
          <w:tcPr>
            <w:tcW w:w="422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800"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792,713</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35"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715"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972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34"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816"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(95,106</w:t>
            </w:r>
          </w:p>
        </w:tc>
        <w:tc>
          <w:tcPr>
            <w:tcW w:w="9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right"/>
              <w:rPr/>
            </w:pPr>
            <w:r>
              <w:rPr/>
              <w:t> </w:t>
            </w:r>
          </w:p>
        </w:tc>
        <w:tc>
          <w:tcPr>
            <w:tcW w:w="420" w:type="dxa"/>
            <w:tcBorders>
              <w:bottom w:val="double" w:sz="8" w:space="0" w:color="000000"/>
            </w:tcBorders>
            <w:shd w:fill="CCEEFF" w:val="clear"/>
            <w:tcMar>
              <w:bottom w:w="28" w:type="dxa"/>
            </w:tcMar>
            <w:vAlign w:val="bottom"/>
          </w:tcPr>
          <w:p>
            <w:pPr>
              <w:pStyle w:val="TableContents"/>
              <w:spacing w:before="0" w:after="283"/>
              <w:jc w:val="left"/>
              <w:rPr/>
            </w:pPr>
            <w:r>
              <w:rPr/>
              <w:t>$</w:t>
            </w:r>
          </w:p>
        </w:tc>
        <w:tc>
          <w:tcPr>
            <w:tcW w:w="784" w:type="dxa"/>
            <w:tcBorders>
              <w:bottom w:val="double" w:sz="8" w:space="0" w:color="000000"/>
            </w:tcBorders>
            <w:shd w:fill="CCEEFF" w:val="clear"/>
            <w:tcMar>
              <w:bottom w:w="28" w:type="dxa"/>
            </w:tcM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800"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698,579</w:t>
            </w:r>
          </w:p>
        </w:tc>
        <w:tc>
          <w:tcPr>
            <w:tcW w:w="75" w:type="dxa"/>
            <w:tcBorders/>
            <w:shd w:fill="CCEEFF" w:val="clear"/>
            <w:vAlign w:val="bottom"/>
          </w:tcPr>
          <w:p>
            <w:pPr>
              <w:pStyle w:val="TableContents"/>
              <w:spacing w:before="0" w:after="283"/>
              <w:jc w:val="left"/>
              <w:rPr/>
            </w:pPr>
            <w:r>
              <w:rPr/>
              <w:t> </w:t>
            </w:r>
          </w:p>
        </w:tc>
      </w:tr>
    </w:tbl>
    <w:p>
      <w:pPr>
        <w:pStyle w:val="TextBody"/>
        <w:spacing w:before="0" w:after="0"/>
        <w:rPr/>
      </w:pPr>
      <w:r>
        <w:rPr/>
      </w:r>
    </w:p>
    <w:tbl>
      <w:tblPr>
        <w:tblW w:w="8245" w:type="dxa"/>
        <w:jc w:val="left"/>
        <w:tblInd w:w="0" w:type="dxa"/>
        <w:tblCellMar>
          <w:top w:w="0" w:type="dxa"/>
          <w:left w:w="0" w:type="dxa"/>
          <w:bottom w:w="0" w:type="dxa"/>
          <w:right w:w="0" w:type="dxa"/>
        </w:tblCellMar>
      </w:tblPr>
      <w:tblGrid>
        <w:gridCol w:w="3965"/>
        <w:gridCol w:w="60"/>
        <w:gridCol w:w="125"/>
        <w:gridCol w:w="800"/>
        <w:gridCol w:w="60"/>
        <w:gridCol w:w="60"/>
        <w:gridCol w:w="308"/>
        <w:gridCol w:w="642"/>
        <w:gridCol w:w="60"/>
        <w:gridCol w:w="60"/>
        <w:gridCol w:w="134"/>
        <w:gridCol w:w="816"/>
        <w:gridCol w:w="95"/>
        <w:gridCol w:w="60"/>
        <w:gridCol w:w="125"/>
        <w:gridCol w:w="800"/>
        <w:gridCol w:w="75"/>
      </w:tblGrid>
      <w:tr>
        <w:trPr/>
        <w:tc>
          <w:tcPr>
            <w:tcW w:w="396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2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Amortized</w:t>
            </w:r>
          </w:p>
          <w:p>
            <w:pPr>
              <w:pStyle w:val="TableContents"/>
              <w:spacing w:before="0" w:after="0"/>
              <w:jc w:val="center"/>
              <w:rPr>
                <w:rFonts w:ascii="Times New Roman" w:hAnsi="Times New Roman"/>
                <w:b/>
                <w:sz w:val="20"/>
              </w:rPr>
            </w:pPr>
            <w:r>
              <w:rPr>
                <w:rFonts w:ascii="Times New Roman" w:hAnsi="Times New Roman"/>
                <w:b/>
                <w:sz w:val="20"/>
              </w:rPr>
              <w:t>Cost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5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Gross</w:t>
            </w:r>
          </w:p>
          <w:p>
            <w:pPr>
              <w:pStyle w:val="TableContents"/>
              <w:spacing w:before="0" w:after="0"/>
              <w:jc w:val="center"/>
              <w:rPr>
                <w:rFonts w:ascii="Times New Roman" w:hAnsi="Times New Roman"/>
                <w:b/>
                <w:sz w:val="20"/>
              </w:rPr>
            </w:pPr>
            <w:r>
              <w:rPr>
                <w:rFonts w:ascii="Times New Roman" w:hAnsi="Times New Roman"/>
                <w:b/>
                <w:sz w:val="20"/>
              </w:rPr>
              <w:t>Unrealized</w:t>
            </w:r>
          </w:p>
          <w:p>
            <w:pPr>
              <w:pStyle w:val="TableContents"/>
              <w:spacing w:before="0" w:after="0"/>
              <w:jc w:val="center"/>
              <w:rPr>
                <w:rFonts w:ascii="Times New Roman" w:hAnsi="Times New Roman"/>
                <w:b/>
                <w:sz w:val="20"/>
              </w:rPr>
            </w:pPr>
            <w:r>
              <w:rPr>
                <w:rFonts w:ascii="Times New Roman" w:hAnsi="Times New Roman"/>
                <w:b/>
                <w:sz w:val="20"/>
              </w:rPr>
              <w:t>Gains</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5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Gross</w:t>
            </w:r>
          </w:p>
          <w:p>
            <w:pPr>
              <w:pStyle w:val="TableContents"/>
              <w:spacing w:before="0" w:after="0"/>
              <w:jc w:val="center"/>
              <w:rPr>
                <w:rFonts w:ascii="Times New Roman" w:hAnsi="Times New Roman"/>
                <w:b/>
                <w:sz w:val="20"/>
              </w:rPr>
            </w:pPr>
            <w:r>
              <w:rPr>
                <w:rFonts w:ascii="Times New Roman" w:hAnsi="Times New Roman"/>
                <w:b/>
                <w:sz w:val="20"/>
              </w:rPr>
              <w:t>Unrealized</w:t>
            </w:r>
          </w:p>
          <w:p>
            <w:pPr>
              <w:pStyle w:val="TableContents"/>
              <w:spacing w:before="0" w:after="0"/>
              <w:jc w:val="center"/>
              <w:rPr>
                <w:rFonts w:ascii="Times New Roman" w:hAnsi="Times New Roman"/>
                <w:b/>
                <w:sz w:val="20"/>
              </w:rPr>
            </w:pPr>
            <w:r>
              <w:rPr>
                <w:rFonts w:ascii="Times New Roman" w:hAnsi="Times New Roman"/>
                <w:b/>
                <w:sz w:val="20"/>
              </w:rPr>
              <w:t>Losses</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2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Fair</w:t>
            </w:r>
          </w:p>
          <w:p>
            <w:pPr>
              <w:pStyle w:val="TableContents"/>
              <w:spacing w:before="0" w:after="0"/>
              <w:jc w:val="center"/>
              <w:rPr>
                <w:rFonts w:ascii="Times New Roman" w:hAnsi="Times New Roman"/>
                <w:b/>
                <w:sz w:val="20"/>
              </w:rPr>
            </w:pPr>
            <w:r>
              <w:rPr>
                <w:rFonts w:ascii="Times New Roman" w:hAnsi="Times New Roman"/>
                <w:b/>
                <w:sz w:val="20"/>
              </w:rPr>
              <w:t>Value</w:t>
            </w:r>
          </w:p>
        </w:tc>
        <w:tc>
          <w:tcPr>
            <w:tcW w:w="75" w:type="dxa"/>
            <w:tcBorders/>
            <w:shd w:fill="auto" w:val="clear"/>
            <w:vAlign w:val="bottom"/>
          </w:tcPr>
          <w:p>
            <w:pPr>
              <w:pStyle w:val="TableContents"/>
              <w:spacing w:before="0" w:after="283"/>
              <w:jc w:val="left"/>
              <w:rPr/>
            </w:pPr>
            <w:r>
              <w:rPr/>
              <w:t> </w:t>
            </w:r>
          </w:p>
        </w:tc>
      </w:tr>
      <w:tr>
        <w:trPr/>
        <w:tc>
          <w:tcPr>
            <w:tcW w:w="3965" w:type="dxa"/>
            <w:tcBorders/>
            <w:shd w:fill="auto" w:val="clear"/>
            <w:vAlign w:val="bottom"/>
          </w:tcPr>
          <w:p>
            <w:pPr>
              <w:pStyle w:val="TableContents"/>
              <w:spacing w:before="0" w:after="0"/>
              <w:ind w:left="180" w:right="0" w:hanging="0"/>
              <w:jc w:val="left"/>
              <w:rPr>
                <w:rFonts w:ascii="Times New Roman" w:hAnsi="Times New Roman"/>
                <w:sz w:val="20"/>
                <w:u w:val="single"/>
              </w:rPr>
            </w:pPr>
            <w:r>
              <w:rPr>
                <w:rFonts w:ascii="Times New Roman" w:hAnsi="Times New Roman"/>
                <w:sz w:val="20"/>
                <w:u w:val="single"/>
              </w:rPr>
              <w:t>December 31, 2022</w:t>
            </w:r>
          </w:p>
        </w:tc>
        <w:tc>
          <w:tcPr>
            <w:tcW w:w="60" w:type="dxa"/>
            <w:tcBorders/>
            <w:shd w:fill="auto" w:val="clear"/>
            <w:vAlign w:val="bottom"/>
          </w:tcPr>
          <w:p>
            <w:pPr>
              <w:pStyle w:val="TableContents"/>
              <w:spacing w:before="0" w:after="283"/>
              <w:rPr/>
            </w:pPr>
            <w:r>
              <w:rPr/>
              <w:t> </w:t>
            </w:r>
          </w:p>
        </w:tc>
        <w:tc>
          <w:tcPr>
            <w:tcW w:w="92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5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50" w:type="dxa"/>
            <w:gridSpan w:val="2"/>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25"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jc w:val="left"/>
              <w:rPr/>
            </w:pPr>
            <w:r>
              <w:rPr/>
              <w:t> </w:t>
            </w:r>
          </w:p>
        </w:tc>
      </w:tr>
      <w:tr>
        <w:trPr/>
        <w:tc>
          <w:tcPr>
            <w:tcW w:w="3965" w:type="dxa"/>
            <w:tcBorders/>
            <w:shd w:fill="auto"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Available for sale:</w:t>
            </w:r>
          </w:p>
        </w:tc>
        <w:tc>
          <w:tcPr>
            <w:tcW w:w="60" w:type="dxa"/>
            <w:tcBorders/>
            <w:shd w:fill="auto" w:val="clear"/>
            <w:vAlign w:val="bottom"/>
          </w:tcPr>
          <w:p>
            <w:pPr>
              <w:pStyle w:val="TableContents"/>
              <w:spacing w:before="0" w:after="283"/>
              <w:rPr/>
            </w:pPr>
            <w:r>
              <w:rPr/>
              <w:t> </w:t>
            </w:r>
          </w:p>
        </w:tc>
        <w:tc>
          <w:tcPr>
            <w:tcW w:w="92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5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50" w:type="dxa"/>
            <w:gridSpan w:val="2"/>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25"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jc w:val="left"/>
              <w:rPr/>
            </w:pPr>
            <w:r>
              <w:rPr/>
              <w:t> </w:t>
            </w:r>
          </w:p>
        </w:tc>
      </w:tr>
      <w:tr>
        <w:trPr/>
        <w:tc>
          <w:tcPr>
            <w:tcW w:w="3965" w:type="dxa"/>
            <w:tcBorders/>
            <w:shd w:fill="CCEEFF" w:val="clear"/>
            <w:vAlign w:val="bottom"/>
          </w:tcPr>
          <w:p>
            <w:pPr>
              <w:pStyle w:val="TableContents"/>
              <w:spacing w:before="0" w:after="0"/>
              <w:ind w:left="288" w:right="0" w:hanging="144"/>
              <w:jc w:val="left"/>
              <w:rPr>
                <w:rFonts w:ascii="Times New Roman" w:hAnsi="Times New Roman"/>
                <w:sz w:val="20"/>
              </w:rPr>
            </w:pPr>
            <w:r>
              <w:rPr>
                <w:rFonts w:ascii="Times New Roman" w:hAnsi="Times New Roman"/>
                <w:sz w:val="20"/>
              </w:rPr>
              <w:t>State and municipal</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800"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259,429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308"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42"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27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34"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816"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(34,401</w:t>
            </w:r>
          </w:p>
        </w:tc>
        <w:tc>
          <w:tcPr>
            <w:tcW w:w="9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800"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225,055</w:t>
            </w:r>
          </w:p>
        </w:tc>
        <w:tc>
          <w:tcPr>
            <w:tcW w:w="75" w:type="dxa"/>
            <w:tcBorders/>
            <w:shd w:fill="CCEEFF" w:val="clear"/>
            <w:vAlign w:val="bottom"/>
          </w:tcPr>
          <w:p>
            <w:pPr>
              <w:pStyle w:val="TableContents"/>
              <w:spacing w:before="0" w:after="283"/>
              <w:jc w:val="left"/>
              <w:rPr/>
            </w:pPr>
            <w:r>
              <w:rPr/>
              <w:t> </w:t>
            </w:r>
          </w:p>
        </w:tc>
      </w:tr>
      <w:tr>
        <w:trPr/>
        <w:tc>
          <w:tcPr>
            <w:tcW w:w="3965" w:type="dxa"/>
            <w:tcBorders/>
            <w:shd w:fill="auto" w:val="clear"/>
            <w:vAlign w:val="bottom"/>
          </w:tcPr>
          <w:p>
            <w:pPr>
              <w:pStyle w:val="TableContents"/>
              <w:spacing w:before="0" w:after="0"/>
              <w:ind w:left="180" w:right="0" w:hanging="0"/>
              <w:rPr/>
            </w:pPr>
            <w:r>
              <w:rPr>
                <w:rFonts w:ascii="Times New Roman;Times;serif" w:hAnsi="Times New Roman;Times;serif"/>
                <w:sz w:val="20"/>
              </w:rPr>
              <w:t>Residential mortgage</w:t>
            </w:r>
            <w:r>
              <w:rPr/>
              <w:t xml:space="preserve">-backed securities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283"/>
              <w:jc w:val="right"/>
              <w:rPr/>
            </w:pPr>
            <w:r>
              <w:rPr/>
              <w:t>386,783</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308" w:type="dxa"/>
            <w:tcBorders/>
            <w:shd w:fill="auto" w:val="clear"/>
            <w:vAlign w:val="bottom"/>
          </w:tcPr>
          <w:p>
            <w:pPr>
              <w:pStyle w:val="TableContents"/>
              <w:spacing w:before="0" w:after="283"/>
              <w:jc w:val="left"/>
              <w:rPr/>
            </w:pPr>
            <w:r>
              <w:rPr/>
              <w:t> </w:t>
            </w:r>
          </w:p>
        </w:tc>
        <w:tc>
          <w:tcPr>
            <w:tcW w:w="642"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34" w:type="dxa"/>
            <w:tcBorders/>
            <w:shd w:fill="auto" w:val="clear"/>
            <w:vAlign w:val="bottom"/>
          </w:tcPr>
          <w:p>
            <w:pPr>
              <w:pStyle w:val="TableContents"/>
              <w:spacing w:before="0" w:after="283"/>
              <w:jc w:val="left"/>
              <w:rPr/>
            </w:pPr>
            <w:r>
              <w:rPr/>
              <w:t> </w:t>
            </w:r>
          </w:p>
        </w:tc>
        <w:tc>
          <w:tcPr>
            <w:tcW w:w="816" w:type="dxa"/>
            <w:tcBorders/>
            <w:shd w:fill="auto" w:val="clear"/>
            <w:vAlign w:val="bottom"/>
          </w:tcPr>
          <w:p>
            <w:pPr>
              <w:pStyle w:val="TableContents"/>
              <w:spacing w:before="0" w:after="283"/>
              <w:jc w:val="right"/>
              <w:rPr/>
            </w:pPr>
            <w:r>
              <w:rPr/>
              <w:t>(57,938</w:t>
            </w:r>
          </w:p>
        </w:tc>
        <w:tc>
          <w:tcPr>
            <w:tcW w:w="95" w:type="dxa"/>
            <w:tcBorders/>
            <w:shd w:fill="auto" w:val="clear"/>
            <w:vAlign w:val="bottom"/>
          </w:tcPr>
          <w:p>
            <w:pPr>
              <w:pStyle w:val="TableContents"/>
              <w:spacing w:before="0" w:after="283"/>
              <w:jc w:val="left"/>
              <w:rPr/>
            </w:pPr>
            <w:r>
              <w:rPr/>
              <w:t>)</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283"/>
              <w:jc w:val="right"/>
              <w:rPr/>
            </w:pPr>
            <w:r>
              <w:rPr/>
              <w:t>328,845</w:t>
            </w:r>
          </w:p>
        </w:tc>
        <w:tc>
          <w:tcPr>
            <w:tcW w:w="75" w:type="dxa"/>
            <w:tcBorders/>
            <w:shd w:fill="auto" w:val="clear"/>
            <w:vAlign w:val="bottom"/>
          </w:tcPr>
          <w:p>
            <w:pPr>
              <w:pStyle w:val="TableContents"/>
              <w:spacing w:before="0" w:after="283"/>
              <w:jc w:val="left"/>
              <w:rPr/>
            </w:pPr>
            <w:r>
              <w:rPr/>
              <w:t> </w:t>
            </w:r>
          </w:p>
        </w:tc>
      </w:tr>
      <w:tr>
        <w:trPr/>
        <w:tc>
          <w:tcPr>
            <w:tcW w:w="3965" w:type="dxa"/>
            <w:tcBorders/>
            <w:shd w:fill="CCEEFF" w:val="clear"/>
            <w:vAlign w:val="bottom"/>
          </w:tcPr>
          <w:p>
            <w:pPr>
              <w:pStyle w:val="TableContents"/>
              <w:spacing w:before="0" w:after="0"/>
              <w:ind w:left="180" w:right="0" w:hanging="0"/>
              <w:rPr/>
            </w:pPr>
            <w:r>
              <w:rPr/>
              <w:t xml:space="preserve">Commercial mortgage-backed securities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800" w:type="dxa"/>
            <w:tcBorders/>
            <w:shd w:fill="CCEEFF" w:val="clear"/>
            <w:vAlign w:val="bottom"/>
          </w:tcPr>
          <w:p>
            <w:pPr>
              <w:pStyle w:val="TableContents"/>
              <w:spacing w:before="0" w:after="283"/>
              <w:jc w:val="right"/>
              <w:rPr/>
            </w:pPr>
            <w:r>
              <w:rPr/>
              <w:t>49,161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308" w:type="dxa"/>
            <w:tcBorders/>
            <w:shd w:fill="CCEEFF" w:val="clear"/>
            <w:vAlign w:val="bottom"/>
          </w:tcPr>
          <w:p>
            <w:pPr>
              <w:pStyle w:val="TableContents"/>
              <w:spacing w:before="0" w:after="283"/>
              <w:jc w:val="left"/>
              <w:rPr/>
            </w:pPr>
            <w:r>
              <w:rPr/>
              <w:t> </w:t>
            </w:r>
          </w:p>
        </w:tc>
        <w:tc>
          <w:tcPr>
            <w:tcW w:w="642"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34"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283"/>
              <w:jc w:val="right"/>
              <w:rPr/>
            </w:pPr>
            <w:r>
              <w:rPr/>
              <w:t>(7,194</w:t>
            </w:r>
          </w:p>
        </w:tc>
        <w:tc>
          <w:tcPr>
            <w:tcW w:w="95" w:type="dxa"/>
            <w:tcBorders/>
            <w:shd w:fill="CCEEFF" w:val="clear"/>
            <w:vAlign w:val="bottom"/>
          </w:tcPr>
          <w:p>
            <w:pPr>
              <w:pStyle w:val="TableContents"/>
              <w:spacing w:before="0" w:after="283"/>
              <w:jc w:val="left"/>
              <w:rPr/>
            </w:pPr>
            <w:r>
              <w:rPr/>
              <w:t>)</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800" w:type="dxa"/>
            <w:tcBorders/>
            <w:shd w:fill="CCEEFF" w:val="clear"/>
            <w:vAlign w:val="bottom"/>
          </w:tcPr>
          <w:p>
            <w:pPr>
              <w:pStyle w:val="TableContents"/>
              <w:spacing w:before="0" w:after="283"/>
              <w:jc w:val="right"/>
              <w:rPr/>
            </w:pPr>
            <w:r>
              <w:rPr/>
              <w:t>41,967</w:t>
            </w:r>
          </w:p>
        </w:tc>
        <w:tc>
          <w:tcPr>
            <w:tcW w:w="75" w:type="dxa"/>
            <w:tcBorders/>
            <w:shd w:fill="CCEEFF" w:val="clear"/>
            <w:vAlign w:val="bottom"/>
          </w:tcPr>
          <w:p>
            <w:pPr>
              <w:pStyle w:val="TableContents"/>
              <w:spacing w:before="0" w:after="283"/>
              <w:jc w:val="left"/>
              <w:rPr/>
            </w:pPr>
            <w:r>
              <w:rPr/>
              <w:t> </w:t>
            </w:r>
          </w:p>
        </w:tc>
      </w:tr>
      <w:tr>
        <w:trPr/>
        <w:tc>
          <w:tcPr>
            <w:tcW w:w="3965" w:type="dxa"/>
            <w:tcBorders/>
            <w:shd w:fill="auto" w:val="clear"/>
            <w:vAlign w:val="bottom"/>
          </w:tcPr>
          <w:p>
            <w:pPr>
              <w:pStyle w:val="TableContents"/>
              <w:spacing w:before="0" w:after="0"/>
              <w:ind w:left="180" w:right="0" w:hanging="0"/>
              <w:jc w:val="left"/>
              <w:rPr>
                <w:rFonts w:ascii="Times New Roman" w:hAnsi="Times New Roman"/>
                <w:sz w:val="20"/>
              </w:rPr>
            </w:pPr>
            <w:r>
              <w:rPr>
                <w:rFonts w:ascii="Times New Roman;Times;serif" w:hAnsi="Times New Roman;Times;serif"/>
                <w:sz w:val="20"/>
              </w:rPr>
              <w:t>Commercial collateralized</w:t>
            </w:r>
            <w:r>
              <w:rPr>
                <w:rFonts w:ascii="Times New Roman" w:hAnsi="Times New Roman"/>
                <w:sz w:val="20"/>
              </w:rPr>
              <w:t xml:space="preserve"> mortgage obligations</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76,189</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308" w:type="dxa"/>
            <w:tcBorders/>
            <w:shd w:fill="auto" w:val="clear"/>
            <w:vAlign w:val="bottom"/>
          </w:tcPr>
          <w:p>
            <w:pPr>
              <w:pStyle w:val="TableContents"/>
              <w:spacing w:before="0" w:after="283"/>
              <w:jc w:val="left"/>
              <w:rPr/>
            </w:pPr>
            <w:r>
              <w:rPr/>
              <w:t> </w:t>
            </w:r>
          </w:p>
        </w:tc>
        <w:tc>
          <w:tcPr>
            <w:tcW w:w="642" w:type="dxa"/>
            <w:tcBorders/>
            <w:shd w:fill="auto" w:val="clear"/>
            <w:vAlign w:val="bottom"/>
          </w:tcPr>
          <w:p>
            <w:pPr>
              <w:pStyle w:val="TableContents"/>
              <w:spacing w:before="0" w:after="0"/>
              <w:jc w:val="right"/>
              <w:rPr/>
            </w:pPr>
            <w:r>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34" w:type="dxa"/>
            <w:tcBorders/>
            <w:shd w:fill="auto" w:val="clear"/>
            <w:vAlign w:val="bottom"/>
          </w:tcPr>
          <w:p>
            <w:pPr>
              <w:pStyle w:val="TableContents"/>
              <w:spacing w:before="0" w:after="283"/>
              <w:jc w:val="left"/>
              <w:rPr/>
            </w:pPr>
            <w:r>
              <w:rPr/>
              <w:t> </w:t>
            </w:r>
          </w:p>
        </w:tc>
        <w:tc>
          <w:tcPr>
            <w:tcW w:w="816"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(551</w:t>
            </w:r>
          </w:p>
        </w:tc>
        <w:tc>
          <w:tcPr>
            <w:tcW w:w="95"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75,638</w:t>
            </w:r>
          </w:p>
        </w:tc>
        <w:tc>
          <w:tcPr>
            <w:tcW w:w="75" w:type="dxa"/>
            <w:tcBorders/>
            <w:shd w:fill="auto" w:val="clear"/>
            <w:vAlign w:val="bottom"/>
          </w:tcPr>
          <w:p>
            <w:pPr>
              <w:pStyle w:val="TableContents"/>
              <w:spacing w:before="0" w:after="283"/>
              <w:jc w:val="left"/>
              <w:rPr/>
            </w:pPr>
            <w:r>
              <w:rPr/>
              <w:t> </w:t>
            </w:r>
          </w:p>
        </w:tc>
      </w:tr>
      <w:tr>
        <w:trPr/>
        <w:tc>
          <w:tcPr>
            <w:tcW w:w="3965" w:type="dxa"/>
            <w:tcBorders/>
            <w:shd w:fill="CCEEFF" w:val="clear"/>
            <w:vAlign w:val="bottom"/>
          </w:tcPr>
          <w:p>
            <w:pPr>
              <w:pStyle w:val="TableContents"/>
              <w:spacing w:before="0" w:after="0"/>
              <w:ind w:left="288" w:right="0" w:hanging="144"/>
              <w:jc w:val="left"/>
              <w:rPr>
                <w:rFonts w:ascii="Times New Roman" w:hAnsi="Times New Roman"/>
                <w:sz w:val="20"/>
              </w:rPr>
            </w:pPr>
            <w:r>
              <w:rPr>
                <w:rFonts w:ascii="Times New Roman" w:hAnsi="Times New Roman"/>
                <w:sz w:val="20"/>
              </w:rPr>
              <w:t>Asset-backed and other amortizing securities</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800"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20,907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308" w:type="dxa"/>
            <w:tcBorders/>
            <w:shd w:fill="CCEEFF" w:val="clear"/>
            <w:vAlign w:val="bottom"/>
          </w:tcPr>
          <w:p>
            <w:pPr>
              <w:pStyle w:val="TableContents"/>
              <w:spacing w:before="0" w:after="283"/>
              <w:jc w:val="left"/>
              <w:rPr/>
            </w:pPr>
            <w:r>
              <w:rPr/>
              <w:t> </w:t>
            </w:r>
          </w:p>
        </w:tc>
        <w:tc>
          <w:tcPr>
            <w:tcW w:w="642"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34" w:type="dxa"/>
            <w:tcBorders/>
            <w:shd w:fill="CCEEFF" w:val="clear"/>
            <w:vAlign w:val="bottom"/>
          </w:tcPr>
          <w:p>
            <w:pPr>
              <w:pStyle w:val="TableContents"/>
              <w:spacing w:before="0" w:after="283"/>
              <w:jc w:val="left"/>
              <w:rPr/>
            </w:pPr>
            <w:r>
              <w:rPr/>
              <w:t> </w:t>
            </w:r>
          </w:p>
        </w:tc>
        <w:tc>
          <w:tcPr>
            <w:tcW w:w="816"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(1,813</w:t>
            </w:r>
          </w:p>
        </w:tc>
        <w:tc>
          <w:tcPr>
            <w:tcW w:w="9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800"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19,094</w:t>
            </w:r>
          </w:p>
        </w:tc>
        <w:tc>
          <w:tcPr>
            <w:tcW w:w="75" w:type="dxa"/>
            <w:tcBorders/>
            <w:shd w:fill="CCEEFF" w:val="clear"/>
            <w:vAlign w:val="bottom"/>
          </w:tcPr>
          <w:p>
            <w:pPr>
              <w:pStyle w:val="TableContents"/>
              <w:spacing w:before="0" w:after="283"/>
              <w:jc w:val="left"/>
              <w:rPr/>
            </w:pPr>
            <w:r>
              <w:rPr/>
              <w:t> </w:t>
            </w:r>
          </w:p>
        </w:tc>
      </w:tr>
      <w:tr>
        <w:trPr/>
        <w:tc>
          <w:tcPr>
            <w:tcW w:w="3965" w:type="dxa"/>
            <w:tcBorders/>
            <w:shd w:fill="auto" w:val="clear"/>
            <w:vAlign w:val="bottom"/>
          </w:tcPr>
          <w:p>
            <w:pPr>
              <w:pStyle w:val="TableContents"/>
              <w:spacing w:before="0" w:after="0"/>
              <w:ind w:left="288" w:right="0" w:hanging="144"/>
              <w:jc w:val="left"/>
              <w:rPr>
                <w:rFonts w:ascii="Times New Roman" w:hAnsi="Times New Roman"/>
                <w:sz w:val="20"/>
              </w:rPr>
            </w:pPr>
            <w:r>
              <w:rPr>
                <w:rFonts w:ascii="Times New Roman" w:hAnsi="Times New Roman"/>
                <w:sz w:val="20"/>
              </w:rPr>
              <w:t>Other securities</w:t>
            </w:r>
          </w:p>
        </w:tc>
        <w:tc>
          <w:tcPr>
            <w:tcW w:w="60" w:type="dxa"/>
            <w:tcBorders/>
            <w:shd w:fill="auto" w:val="clear"/>
            <w:vAlign w:val="bottom"/>
          </w:tcPr>
          <w:p>
            <w:pPr>
              <w:pStyle w:val="TableContents"/>
              <w:spacing w:before="0" w:after="283"/>
              <w:jc w:val="right"/>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0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12,000</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308"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42" w:type="dxa"/>
            <w:tcBorders>
              <w:bottom w:val="single" w:sz="12" w:space="0" w:color="000000"/>
            </w:tcBorders>
            <w:shd w:fill="auto" w:val="clear"/>
            <w:tcMar>
              <w:bottom w:w="28" w:type="dxa"/>
            </w:tcMar>
            <w:vAlign w:val="bottom"/>
          </w:tcPr>
          <w:p>
            <w:pPr>
              <w:pStyle w:val="TableContents"/>
              <w:spacing w:before="0" w:after="0"/>
              <w:jc w:val="right"/>
              <w:rPr/>
            </w:pPr>
            <w:r>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34"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16"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(888</w:t>
            </w:r>
          </w:p>
        </w:tc>
        <w:tc>
          <w:tcPr>
            <w:tcW w:w="95"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auto" w:val="clear"/>
            <w:vAlign w:val="bottom"/>
          </w:tcPr>
          <w:p>
            <w:pPr>
              <w:pStyle w:val="TableContents"/>
              <w:spacing w:before="0" w:after="283"/>
              <w:jc w:val="right"/>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0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11,112</w:t>
            </w:r>
          </w:p>
        </w:tc>
        <w:tc>
          <w:tcPr>
            <w:tcW w:w="75" w:type="dxa"/>
            <w:tcBorders/>
            <w:shd w:fill="auto" w:val="clear"/>
            <w:vAlign w:val="bottom"/>
          </w:tcPr>
          <w:p>
            <w:pPr>
              <w:pStyle w:val="TableContents"/>
              <w:spacing w:before="0" w:after="283"/>
              <w:jc w:val="left"/>
              <w:rPr/>
            </w:pPr>
            <w:r>
              <w:rPr/>
              <w:t> </w:t>
            </w:r>
          </w:p>
        </w:tc>
      </w:tr>
      <w:tr>
        <w:trPr/>
        <w:tc>
          <w:tcPr>
            <w:tcW w:w="396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800"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804,469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308"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42"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27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34"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816"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(102,785</w:t>
            </w:r>
          </w:p>
        </w:tc>
        <w:tc>
          <w:tcPr>
            <w:tcW w:w="9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800"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701,711</w:t>
            </w:r>
          </w:p>
        </w:tc>
        <w:tc>
          <w:tcPr>
            <w:tcW w:w="75" w:type="dxa"/>
            <w:tcBorders/>
            <w:shd w:fill="CCEEFF" w:val="clear"/>
            <w:vAlign w:val="bottom"/>
          </w:tcPr>
          <w:p>
            <w:pPr>
              <w:pStyle w:val="TableContents"/>
              <w:spacing w:before="0" w:after="283"/>
              <w:jc w:val="left"/>
              <w:rPr/>
            </w:pPr>
            <w:r>
              <w:rPr/>
              <w:t> </w:t>
            </w:r>
          </w:p>
        </w:tc>
      </w:tr>
    </w:tbl>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amortized cost and estimated fair value of securities at March 31, 2023 are presented below by contractual maturity (dollars in thousands). Expected maturities may differ from contractual maturities because issuers may have the right to call or prepay obligations. Other securities are shown separately since they are not due at a single maturity date.</w:t>
      </w:r>
    </w:p>
    <w:p>
      <w:pPr>
        <w:pStyle w:val="TextBody"/>
        <w:spacing w:before="0" w:after="0"/>
        <w:jc w:val="left"/>
        <w:rPr/>
      </w:pPr>
      <w:r>
        <w:rPr/>
      </w:r>
    </w:p>
    <w:tbl>
      <w:tblPr>
        <w:tblW w:w="4460" w:type="dxa"/>
        <w:jc w:val="left"/>
        <w:tblInd w:w="0" w:type="dxa"/>
        <w:tblCellMar>
          <w:top w:w="0" w:type="dxa"/>
          <w:left w:w="0" w:type="dxa"/>
          <w:bottom w:w="0" w:type="dxa"/>
          <w:right w:w="0" w:type="dxa"/>
        </w:tblCellMar>
      </w:tblPr>
      <w:tblGrid>
        <w:gridCol w:w="2465"/>
        <w:gridCol w:w="60"/>
        <w:gridCol w:w="140"/>
        <w:gridCol w:w="780"/>
        <w:gridCol w:w="60"/>
        <w:gridCol w:w="60"/>
        <w:gridCol w:w="125"/>
        <w:gridCol w:w="695"/>
        <w:gridCol w:w="75"/>
      </w:tblGrid>
      <w:tr>
        <w:trPr/>
        <w:tc>
          <w:tcPr>
            <w:tcW w:w="246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860" w:type="dxa"/>
            <w:gridSpan w:val="6"/>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Available for Sale</w:t>
            </w:r>
          </w:p>
        </w:tc>
        <w:tc>
          <w:tcPr>
            <w:tcW w:w="75" w:type="dxa"/>
            <w:tcBorders/>
            <w:shd w:fill="auto" w:val="clear"/>
            <w:vAlign w:val="bottom"/>
          </w:tcPr>
          <w:p>
            <w:pPr>
              <w:pStyle w:val="TableContents"/>
              <w:spacing w:before="0" w:after="283"/>
              <w:jc w:val="left"/>
              <w:rPr/>
            </w:pPr>
            <w:r>
              <w:rPr/>
              <w:t> </w:t>
            </w:r>
          </w:p>
        </w:tc>
      </w:tr>
      <w:tr>
        <w:trPr/>
        <w:tc>
          <w:tcPr>
            <w:tcW w:w="24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2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Amortized</w:t>
            </w:r>
          </w:p>
          <w:p>
            <w:pPr>
              <w:pStyle w:val="TableContents"/>
              <w:spacing w:before="0" w:after="0"/>
              <w:jc w:val="center"/>
              <w:rPr>
                <w:rFonts w:ascii="Times New Roman" w:hAnsi="Times New Roman"/>
                <w:b/>
                <w:sz w:val="20"/>
              </w:rPr>
            </w:pPr>
            <w:r>
              <w:rPr>
                <w:rFonts w:ascii="Times New Roman" w:hAnsi="Times New Roman"/>
                <w:b/>
                <w:sz w:val="20"/>
              </w:rPr>
              <w:t>Cost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2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Fair</w:t>
            </w:r>
          </w:p>
          <w:p>
            <w:pPr>
              <w:pStyle w:val="TableContents"/>
              <w:spacing w:before="0" w:after="0"/>
              <w:jc w:val="center"/>
              <w:rPr>
                <w:rFonts w:ascii="Times New Roman" w:hAnsi="Times New Roman"/>
                <w:b/>
                <w:sz w:val="20"/>
              </w:rPr>
            </w:pPr>
            <w:r>
              <w:rPr>
                <w:rFonts w:ascii="Times New Roman" w:hAnsi="Times New Roman"/>
                <w:b/>
                <w:sz w:val="20"/>
              </w:rPr>
              <w:t>Value</w:t>
            </w:r>
          </w:p>
        </w:tc>
        <w:tc>
          <w:tcPr>
            <w:tcW w:w="75" w:type="dxa"/>
            <w:tcBorders/>
            <w:shd w:fill="auto" w:val="clear"/>
            <w:vAlign w:val="bottom"/>
          </w:tcPr>
          <w:p>
            <w:pPr>
              <w:pStyle w:val="TableContents"/>
              <w:spacing w:before="0" w:after="283"/>
              <w:jc w:val="left"/>
              <w:rPr/>
            </w:pPr>
            <w:r>
              <w:rPr/>
              <w:t> </w:t>
            </w:r>
          </w:p>
        </w:tc>
      </w:tr>
      <w:tr>
        <w:trPr/>
        <w:tc>
          <w:tcPr>
            <w:tcW w:w="2465" w:type="dxa"/>
            <w:tcBorders/>
            <w:shd w:fill="CCEE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Within 1 year</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780"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3,897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3,900</w:t>
            </w:r>
          </w:p>
        </w:tc>
        <w:tc>
          <w:tcPr>
            <w:tcW w:w="75" w:type="dxa"/>
            <w:tcBorders/>
            <w:shd w:fill="CCEEFF" w:val="clear"/>
            <w:vAlign w:val="bottom"/>
          </w:tcPr>
          <w:p>
            <w:pPr>
              <w:pStyle w:val="TableContents"/>
              <w:spacing w:before="0" w:after="283"/>
              <w:jc w:val="left"/>
              <w:rPr/>
            </w:pPr>
            <w:r>
              <w:rPr/>
              <w:t> </w:t>
            </w:r>
          </w:p>
        </w:tc>
      </w:tr>
      <w:tr>
        <w:trPr/>
        <w:tc>
          <w:tcPr>
            <w:tcW w:w="2465" w:type="dxa"/>
            <w:tcBorders/>
            <w:shd w:fill="auto"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After 1 year through 5 years</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 </w:t>
            </w:r>
          </w:p>
        </w:tc>
        <w:tc>
          <w:tcPr>
            <w:tcW w:w="780"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9,454</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9,250</w:t>
            </w:r>
          </w:p>
        </w:tc>
        <w:tc>
          <w:tcPr>
            <w:tcW w:w="75" w:type="dxa"/>
            <w:tcBorders/>
            <w:shd w:fill="auto" w:val="clear"/>
            <w:vAlign w:val="bottom"/>
          </w:tcPr>
          <w:p>
            <w:pPr>
              <w:pStyle w:val="TableContents"/>
              <w:spacing w:before="0" w:after="283"/>
              <w:jc w:val="left"/>
              <w:rPr/>
            </w:pPr>
            <w:r>
              <w:rPr/>
              <w:t> </w:t>
            </w:r>
          </w:p>
        </w:tc>
      </w:tr>
      <w:tr>
        <w:trPr/>
        <w:tc>
          <w:tcPr>
            <w:tcW w:w="2465" w:type="dxa"/>
            <w:tcBorders/>
            <w:shd w:fill="CCEE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After 5 years through 10 years</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780"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17,901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16,868</w:t>
            </w:r>
          </w:p>
        </w:tc>
        <w:tc>
          <w:tcPr>
            <w:tcW w:w="75" w:type="dxa"/>
            <w:tcBorders/>
            <w:shd w:fill="CCEEFF" w:val="clear"/>
            <w:vAlign w:val="bottom"/>
          </w:tcPr>
          <w:p>
            <w:pPr>
              <w:pStyle w:val="TableContents"/>
              <w:spacing w:before="0" w:after="283"/>
              <w:jc w:val="left"/>
              <w:rPr/>
            </w:pPr>
            <w:r>
              <w:rPr/>
              <w:t> </w:t>
            </w:r>
          </w:p>
        </w:tc>
      </w:tr>
      <w:tr>
        <w:trPr/>
        <w:tc>
          <w:tcPr>
            <w:tcW w:w="2465" w:type="dxa"/>
            <w:tcBorders/>
            <w:shd w:fill="auto"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After 10 years</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jc w:val="left"/>
              <w:rPr/>
            </w:pPr>
            <w:r>
              <w:rPr/>
              <w:t> </w:t>
            </w:r>
          </w:p>
        </w:tc>
        <w:tc>
          <w:tcPr>
            <w:tcW w:w="780"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239,323</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212,151</w:t>
            </w:r>
          </w:p>
        </w:tc>
        <w:tc>
          <w:tcPr>
            <w:tcW w:w="75" w:type="dxa"/>
            <w:tcBorders/>
            <w:shd w:fill="auto" w:val="clear"/>
            <w:vAlign w:val="bottom"/>
          </w:tcPr>
          <w:p>
            <w:pPr>
              <w:pStyle w:val="TableContents"/>
              <w:spacing w:before="0" w:after="283"/>
              <w:jc w:val="left"/>
              <w:rPr/>
            </w:pPr>
            <w:r>
              <w:rPr/>
              <w:t> </w:t>
            </w:r>
          </w:p>
        </w:tc>
      </w:tr>
      <w:tr>
        <w:trPr/>
        <w:tc>
          <w:tcPr>
            <w:tcW w:w="2465" w:type="dxa"/>
            <w:tcBorders/>
            <w:shd w:fill="CCEE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Other</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80"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522,138</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456,410</w:t>
            </w:r>
          </w:p>
        </w:tc>
        <w:tc>
          <w:tcPr>
            <w:tcW w:w="75" w:type="dxa"/>
            <w:tcBorders/>
            <w:shd w:fill="CCEEFF" w:val="clear"/>
            <w:vAlign w:val="bottom"/>
          </w:tcPr>
          <w:p>
            <w:pPr>
              <w:pStyle w:val="TableContents"/>
              <w:spacing w:before="0" w:after="283"/>
              <w:jc w:val="left"/>
              <w:rPr/>
            </w:pPr>
            <w:r>
              <w:rPr/>
              <w:t> </w:t>
            </w:r>
          </w:p>
        </w:tc>
      </w:tr>
      <w:tr>
        <w:trPr/>
        <w:tc>
          <w:tcPr>
            <w:tcW w:w="24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780"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792,713</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95"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698,579</w:t>
            </w:r>
          </w:p>
        </w:tc>
        <w:tc>
          <w:tcPr>
            <w:tcW w:w="75" w:type="dxa"/>
            <w:tcBorders/>
            <w:shd w:fill="auto" w:val="clear"/>
            <w:vAlign w:val="bottom"/>
          </w:tcPr>
          <w:p>
            <w:pPr>
              <w:pStyle w:val="TableContents"/>
              <w:spacing w:before="0" w:after="283"/>
              <w:jc w:val="left"/>
              <w:rPr/>
            </w:pPr>
            <w:r>
              <w:rPr/>
              <w:t> </w:t>
            </w:r>
          </w:p>
        </w:tc>
      </w:tr>
    </w:tbl>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At both March 31, 2023 and December 31, 2022, there were no holdings of securities of any one issuer, other than the U.S. government, its agencies, or its sponsored enterprises, in an amount greater than 10% of stockholders’ equity.</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Securities with a carrying value of approximately $496.2 million and $464.1 million at March 31, 2023 and December 31, 2022, respectively, were pledged to collateralize public deposits and for other purposes as required or permitted by law.</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table segregates securities with unrealized losses at the periods indicated, by the duration they have been in a loss position for which an allowance for credit losses has not been recorded (dollars in thousands):</w:t>
      </w:r>
    </w:p>
    <w:p>
      <w:pPr>
        <w:pStyle w:val="TextBody"/>
        <w:spacing w:before="0" w:after="0"/>
        <w:jc w:val="left"/>
        <w:rPr/>
      </w:pPr>
      <w:r>
        <w:rPr/>
      </w:r>
    </w:p>
    <w:tbl>
      <w:tblPr>
        <w:tblW w:w="10205" w:type="dxa"/>
        <w:jc w:val="left"/>
        <w:tblInd w:w="0" w:type="dxa"/>
        <w:tblCellMar>
          <w:top w:w="0" w:type="dxa"/>
          <w:left w:w="0" w:type="dxa"/>
          <w:bottom w:w="0" w:type="dxa"/>
          <w:right w:w="0" w:type="dxa"/>
        </w:tblCellMar>
      </w:tblPr>
      <w:tblGrid>
        <w:gridCol w:w="3845"/>
        <w:gridCol w:w="60"/>
        <w:gridCol w:w="125"/>
        <w:gridCol w:w="800"/>
        <w:gridCol w:w="60"/>
        <w:gridCol w:w="60"/>
        <w:gridCol w:w="147"/>
        <w:gridCol w:w="803"/>
        <w:gridCol w:w="60"/>
        <w:gridCol w:w="60"/>
        <w:gridCol w:w="125"/>
        <w:gridCol w:w="800"/>
        <w:gridCol w:w="60"/>
        <w:gridCol w:w="60"/>
        <w:gridCol w:w="147"/>
        <w:gridCol w:w="803"/>
        <w:gridCol w:w="60"/>
        <w:gridCol w:w="60"/>
        <w:gridCol w:w="125"/>
        <w:gridCol w:w="800"/>
        <w:gridCol w:w="60"/>
        <w:gridCol w:w="60"/>
        <w:gridCol w:w="144"/>
        <w:gridCol w:w="806"/>
        <w:gridCol w:w="75"/>
      </w:tblGrid>
      <w:tr>
        <w:trPr/>
        <w:tc>
          <w:tcPr>
            <w:tcW w:w="384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995" w:type="dxa"/>
            <w:gridSpan w:val="6"/>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Less than 12 Months</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995" w:type="dxa"/>
            <w:gridSpan w:val="6"/>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12 Months or More</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995" w:type="dxa"/>
            <w:gridSpan w:val="6"/>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Total</w:t>
            </w:r>
          </w:p>
        </w:tc>
        <w:tc>
          <w:tcPr>
            <w:tcW w:w="75" w:type="dxa"/>
            <w:tcBorders/>
            <w:shd w:fill="auto" w:val="clear"/>
            <w:vAlign w:val="bottom"/>
          </w:tcPr>
          <w:p>
            <w:pPr>
              <w:pStyle w:val="TableContents"/>
              <w:spacing w:before="0" w:after="283"/>
              <w:jc w:val="left"/>
              <w:rPr/>
            </w:pPr>
            <w:r>
              <w:rPr/>
              <w:t> </w:t>
            </w:r>
          </w:p>
        </w:tc>
      </w:tr>
      <w:tr>
        <w:trPr/>
        <w:tc>
          <w:tcPr>
            <w:tcW w:w="384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2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Fair</w:t>
            </w:r>
          </w:p>
          <w:p>
            <w:pPr>
              <w:pStyle w:val="TableContents"/>
              <w:spacing w:before="0" w:after="0"/>
              <w:jc w:val="center"/>
              <w:rPr>
                <w:rFonts w:ascii="Times New Roman" w:hAnsi="Times New Roman"/>
                <w:b/>
                <w:sz w:val="20"/>
              </w:rPr>
            </w:pPr>
            <w:r>
              <w:rPr>
                <w:rFonts w:ascii="Times New Roman" w:hAnsi="Times New Roman"/>
                <w:b/>
                <w:sz w:val="20"/>
              </w:rPr>
              <w:t>Value</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5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Unrealized</w:t>
            </w:r>
          </w:p>
          <w:p>
            <w:pPr>
              <w:pStyle w:val="TableContents"/>
              <w:spacing w:before="0" w:after="0"/>
              <w:jc w:val="center"/>
              <w:rPr>
                <w:rFonts w:ascii="Times New Roman" w:hAnsi="Times New Roman"/>
                <w:b/>
                <w:sz w:val="20"/>
              </w:rPr>
            </w:pPr>
            <w:r>
              <w:rPr>
                <w:rFonts w:ascii="Times New Roman" w:hAnsi="Times New Roman"/>
                <w:b/>
                <w:sz w:val="20"/>
              </w:rPr>
              <w:t>Loss</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2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Fair</w:t>
            </w:r>
          </w:p>
          <w:p>
            <w:pPr>
              <w:pStyle w:val="TableContents"/>
              <w:spacing w:before="0" w:after="0"/>
              <w:jc w:val="center"/>
              <w:rPr>
                <w:rFonts w:ascii="Times New Roman" w:hAnsi="Times New Roman"/>
                <w:b/>
                <w:sz w:val="20"/>
              </w:rPr>
            </w:pPr>
            <w:r>
              <w:rPr>
                <w:rFonts w:ascii="Times New Roman" w:hAnsi="Times New Roman"/>
                <w:b/>
                <w:sz w:val="20"/>
              </w:rPr>
              <w:t>Value</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5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Unrealized</w:t>
            </w:r>
          </w:p>
          <w:p>
            <w:pPr>
              <w:pStyle w:val="TableContents"/>
              <w:spacing w:before="0" w:after="0"/>
              <w:jc w:val="center"/>
              <w:rPr>
                <w:rFonts w:ascii="Times New Roman" w:hAnsi="Times New Roman"/>
                <w:b/>
                <w:sz w:val="20"/>
              </w:rPr>
            </w:pPr>
            <w:r>
              <w:rPr>
                <w:rFonts w:ascii="Times New Roman" w:hAnsi="Times New Roman"/>
                <w:b/>
                <w:sz w:val="20"/>
              </w:rPr>
              <w:t>Loss</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2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Fair</w:t>
            </w:r>
          </w:p>
          <w:p>
            <w:pPr>
              <w:pStyle w:val="TableContents"/>
              <w:spacing w:before="0" w:after="0"/>
              <w:jc w:val="center"/>
              <w:rPr>
                <w:rFonts w:ascii="Times New Roman" w:hAnsi="Times New Roman"/>
                <w:b/>
                <w:sz w:val="20"/>
              </w:rPr>
            </w:pPr>
            <w:r>
              <w:rPr>
                <w:rFonts w:ascii="Times New Roman" w:hAnsi="Times New Roman"/>
                <w:b/>
                <w:sz w:val="20"/>
              </w:rPr>
              <w:t>Value</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5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Unrealized</w:t>
            </w:r>
          </w:p>
          <w:p>
            <w:pPr>
              <w:pStyle w:val="TableContents"/>
              <w:spacing w:before="0" w:after="0"/>
              <w:jc w:val="center"/>
              <w:rPr>
                <w:rFonts w:ascii="Times New Roman" w:hAnsi="Times New Roman"/>
                <w:b/>
                <w:sz w:val="20"/>
              </w:rPr>
            </w:pPr>
            <w:r>
              <w:rPr>
                <w:rFonts w:ascii="Times New Roman" w:hAnsi="Times New Roman"/>
                <w:b/>
                <w:sz w:val="20"/>
              </w:rPr>
              <w:t>Loss</w:t>
            </w:r>
          </w:p>
        </w:tc>
        <w:tc>
          <w:tcPr>
            <w:tcW w:w="75" w:type="dxa"/>
            <w:tcBorders/>
            <w:shd w:fill="auto" w:val="clear"/>
            <w:vAlign w:val="bottom"/>
          </w:tcPr>
          <w:p>
            <w:pPr>
              <w:pStyle w:val="TableContents"/>
              <w:spacing w:before="0" w:after="283"/>
              <w:jc w:val="left"/>
              <w:rPr/>
            </w:pPr>
            <w:r>
              <w:rPr/>
              <w:t> </w:t>
            </w:r>
          </w:p>
        </w:tc>
      </w:tr>
      <w:tr>
        <w:trPr/>
        <w:tc>
          <w:tcPr>
            <w:tcW w:w="3845" w:type="dxa"/>
            <w:tcBorders/>
            <w:shd w:fill="auto" w:val="clear"/>
            <w:vAlign w:val="bottom"/>
          </w:tcPr>
          <w:p>
            <w:pPr>
              <w:pStyle w:val="TableContents"/>
              <w:spacing w:before="0" w:after="0"/>
              <w:ind w:left="180" w:right="0" w:hanging="0"/>
              <w:jc w:val="left"/>
              <w:rPr>
                <w:rFonts w:ascii="Times New Roman" w:hAnsi="Times New Roman"/>
                <w:sz w:val="20"/>
                <w:u w:val="single"/>
              </w:rPr>
            </w:pPr>
            <w:r>
              <w:rPr>
                <w:rFonts w:ascii="Times New Roman" w:hAnsi="Times New Roman"/>
                <w:sz w:val="20"/>
                <w:u w:val="single"/>
              </w:rPr>
              <w:t>March 31, 2023</w:t>
            </w:r>
          </w:p>
        </w:tc>
        <w:tc>
          <w:tcPr>
            <w:tcW w:w="60" w:type="dxa"/>
            <w:tcBorders/>
            <w:shd w:fill="auto" w:val="clear"/>
            <w:vAlign w:val="bottom"/>
          </w:tcPr>
          <w:p>
            <w:pPr>
              <w:pStyle w:val="TableContents"/>
              <w:spacing w:before="0" w:after="283"/>
              <w:rPr/>
            </w:pPr>
            <w:r>
              <w:rPr/>
              <w:t> </w:t>
            </w:r>
          </w:p>
        </w:tc>
        <w:tc>
          <w:tcPr>
            <w:tcW w:w="92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5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2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5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2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50"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jc w:val="left"/>
              <w:rPr/>
            </w:pPr>
            <w:r>
              <w:rPr/>
              <w:t> </w:t>
            </w:r>
          </w:p>
        </w:tc>
      </w:tr>
      <w:tr>
        <w:trPr/>
        <w:tc>
          <w:tcPr>
            <w:tcW w:w="3845" w:type="dxa"/>
            <w:tcBorders/>
            <w:shd w:fill="CCEE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State and municipal</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800"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6,903</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7"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803"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24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800"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216,567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7"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803"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27,400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800"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223,470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4"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806"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27,424</w:t>
            </w:r>
          </w:p>
        </w:tc>
        <w:tc>
          <w:tcPr>
            <w:tcW w:w="75" w:type="dxa"/>
            <w:tcBorders/>
            <w:shd w:fill="CCEEFF" w:val="clear"/>
            <w:vAlign w:val="bottom"/>
          </w:tcPr>
          <w:p>
            <w:pPr>
              <w:pStyle w:val="TableContents"/>
              <w:spacing w:before="0" w:after="283"/>
              <w:jc w:val="left"/>
              <w:rPr/>
            </w:pPr>
            <w:r>
              <w:rPr/>
              <w:t> </w:t>
            </w:r>
          </w:p>
        </w:tc>
      </w:tr>
      <w:tr>
        <w:trPr/>
        <w:tc>
          <w:tcPr>
            <w:tcW w:w="3845" w:type="dxa"/>
            <w:tcBorders/>
            <w:shd w:fill="auto"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Residential mortgage-backed securities</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283"/>
              <w:jc w:val="right"/>
              <w:rPr/>
            </w:pPr>
            <w:r>
              <w:rPr/>
              <w:t>1</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7" w:type="dxa"/>
            <w:tcBorders/>
            <w:shd w:fill="auto" w:val="clear"/>
            <w:vAlign w:val="bottom"/>
          </w:tcPr>
          <w:p>
            <w:pPr>
              <w:pStyle w:val="TableContents"/>
              <w:spacing w:before="0" w:after="283"/>
              <w:jc w:val="left"/>
              <w:rPr/>
            </w:pPr>
            <w:r>
              <w:rPr/>
              <w:t> </w:t>
            </w:r>
          </w:p>
        </w:tc>
        <w:tc>
          <w:tcPr>
            <w:tcW w:w="803"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283"/>
              <w:jc w:val="right"/>
              <w:rPr/>
            </w:pPr>
            <w:r>
              <w:rPr/>
              <w:t>322,389</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7" w:type="dxa"/>
            <w:tcBorders/>
            <w:shd w:fill="auto" w:val="clear"/>
            <w:vAlign w:val="bottom"/>
          </w:tcPr>
          <w:p>
            <w:pPr>
              <w:pStyle w:val="TableContents"/>
              <w:spacing w:before="0" w:after="283"/>
              <w:jc w:val="left"/>
              <w:rPr/>
            </w:pPr>
            <w:r>
              <w:rPr/>
              <w:t> </w:t>
            </w:r>
          </w:p>
        </w:tc>
        <w:tc>
          <w:tcPr>
            <w:tcW w:w="803" w:type="dxa"/>
            <w:tcBorders/>
            <w:shd w:fill="auto" w:val="clear"/>
            <w:vAlign w:val="bottom"/>
          </w:tcPr>
          <w:p>
            <w:pPr>
              <w:pStyle w:val="TableContents"/>
              <w:spacing w:before="0" w:after="283"/>
              <w:jc w:val="right"/>
              <w:rPr/>
            </w:pPr>
            <w:r>
              <w:rPr/>
              <w:t>53,431</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283"/>
              <w:jc w:val="right"/>
              <w:rPr/>
            </w:pPr>
            <w:r>
              <w:rPr/>
              <w:t>322,390</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4" w:type="dxa"/>
            <w:tcBorders/>
            <w:shd w:fill="auto" w:val="clear"/>
            <w:vAlign w:val="bottom"/>
          </w:tcPr>
          <w:p>
            <w:pPr>
              <w:pStyle w:val="TableContents"/>
              <w:spacing w:before="0" w:after="283"/>
              <w:jc w:val="left"/>
              <w:rPr/>
            </w:pPr>
            <w:r>
              <w:rPr/>
              <w:t> </w:t>
            </w:r>
          </w:p>
        </w:tc>
        <w:tc>
          <w:tcPr>
            <w:tcW w:w="806" w:type="dxa"/>
            <w:tcBorders/>
            <w:shd w:fill="auto" w:val="clear"/>
            <w:vAlign w:val="bottom"/>
          </w:tcPr>
          <w:p>
            <w:pPr>
              <w:pStyle w:val="TableContents"/>
              <w:spacing w:before="0" w:after="283"/>
              <w:jc w:val="right"/>
              <w:rPr/>
            </w:pPr>
            <w:r>
              <w:rPr/>
              <w:t>53,431</w:t>
            </w:r>
          </w:p>
        </w:tc>
        <w:tc>
          <w:tcPr>
            <w:tcW w:w="75" w:type="dxa"/>
            <w:tcBorders/>
            <w:shd w:fill="auto" w:val="clear"/>
            <w:vAlign w:val="bottom"/>
          </w:tcPr>
          <w:p>
            <w:pPr>
              <w:pStyle w:val="TableContents"/>
              <w:spacing w:before="0" w:after="283"/>
              <w:jc w:val="left"/>
              <w:rPr/>
            </w:pPr>
            <w:r>
              <w:rPr/>
              <w:t> </w:t>
            </w:r>
          </w:p>
        </w:tc>
      </w:tr>
      <w:tr>
        <w:trPr/>
        <w:tc>
          <w:tcPr>
            <w:tcW w:w="3845" w:type="dxa"/>
            <w:tcBorders/>
            <w:shd w:fill="CCEEFF"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Commercial mortgage-backed securities</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800"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7" w:type="dxa"/>
            <w:tcBorders/>
            <w:shd w:fill="CCEEFF" w:val="clear"/>
            <w:vAlign w:val="bottom"/>
          </w:tcPr>
          <w:p>
            <w:pPr>
              <w:pStyle w:val="TableContents"/>
              <w:spacing w:before="0" w:after="283"/>
              <w:jc w:val="left"/>
              <w:rPr/>
            </w:pPr>
            <w:r>
              <w:rPr/>
              <w:t> </w:t>
            </w:r>
          </w:p>
        </w:tc>
        <w:tc>
          <w:tcPr>
            <w:tcW w:w="803"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800" w:type="dxa"/>
            <w:tcBorders/>
            <w:shd w:fill="CCEEFF" w:val="clear"/>
            <w:vAlign w:val="bottom"/>
          </w:tcPr>
          <w:p>
            <w:pPr>
              <w:pStyle w:val="TableContents"/>
              <w:spacing w:before="0" w:after="283"/>
              <w:jc w:val="right"/>
              <w:rPr/>
            </w:pPr>
            <w:r>
              <w:rPr/>
              <w:t>42,667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7" w:type="dxa"/>
            <w:tcBorders/>
            <w:shd w:fill="CCEEFF" w:val="clear"/>
            <w:vAlign w:val="bottom"/>
          </w:tcPr>
          <w:p>
            <w:pPr>
              <w:pStyle w:val="TableContents"/>
              <w:spacing w:before="0" w:after="283"/>
              <w:jc w:val="left"/>
              <w:rPr/>
            </w:pPr>
            <w:r>
              <w:rPr/>
              <w:t> </w:t>
            </w:r>
          </w:p>
        </w:tc>
        <w:tc>
          <w:tcPr>
            <w:tcW w:w="803" w:type="dxa"/>
            <w:tcBorders/>
            <w:shd w:fill="CCEEFF" w:val="clear"/>
            <w:vAlign w:val="bottom"/>
          </w:tcPr>
          <w:p>
            <w:pPr>
              <w:pStyle w:val="TableContents"/>
              <w:spacing w:before="0" w:after="283"/>
              <w:jc w:val="right"/>
              <w:rPr/>
            </w:pPr>
            <w:r>
              <w:rPr/>
              <w:t>6,176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800" w:type="dxa"/>
            <w:tcBorders/>
            <w:shd w:fill="CCEEFF" w:val="clear"/>
            <w:vAlign w:val="bottom"/>
          </w:tcPr>
          <w:p>
            <w:pPr>
              <w:pStyle w:val="TableContents"/>
              <w:spacing w:before="0" w:after="283"/>
              <w:jc w:val="right"/>
              <w:rPr/>
            </w:pPr>
            <w:r>
              <w:rPr/>
              <w:t>42,667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4" w:type="dxa"/>
            <w:tcBorders/>
            <w:shd w:fill="CCEEFF" w:val="clear"/>
            <w:vAlign w:val="bottom"/>
          </w:tcPr>
          <w:p>
            <w:pPr>
              <w:pStyle w:val="TableContents"/>
              <w:spacing w:before="0" w:after="283"/>
              <w:jc w:val="left"/>
              <w:rPr/>
            </w:pPr>
            <w:r>
              <w:rPr/>
              <w:t> </w:t>
            </w:r>
          </w:p>
        </w:tc>
        <w:tc>
          <w:tcPr>
            <w:tcW w:w="806" w:type="dxa"/>
            <w:tcBorders/>
            <w:shd w:fill="CCEEFF" w:val="clear"/>
            <w:vAlign w:val="bottom"/>
          </w:tcPr>
          <w:p>
            <w:pPr>
              <w:pStyle w:val="TableContents"/>
              <w:spacing w:before="0" w:after="283"/>
              <w:jc w:val="right"/>
              <w:rPr/>
            </w:pPr>
            <w:r>
              <w:rPr/>
              <w:t>6,176</w:t>
            </w:r>
          </w:p>
        </w:tc>
        <w:tc>
          <w:tcPr>
            <w:tcW w:w="75" w:type="dxa"/>
            <w:tcBorders/>
            <w:shd w:fill="CCEEFF" w:val="clear"/>
            <w:vAlign w:val="bottom"/>
          </w:tcPr>
          <w:p>
            <w:pPr>
              <w:pStyle w:val="TableContents"/>
              <w:spacing w:before="0" w:after="283"/>
              <w:jc w:val="left"/>
              <w:rPr/>
            </w:pPr>
            <w:r>
              <w:rPr/>
              <w:t> </w:t>
            </w:r>
          </w:p>
        </w:tc>
      </w:tr>
      <w:tr>
        <w:trPr/>
        <w:tc>
          <w:tcPr>
            <w:tcW w:w="3845" w:type="dxa"/>
            <w:tcBorders/>
            <w:shd w:fill="auto" w:val="clear"/>
            <w:vAlign w:val="bottom"/>
          </w:tcPr>
          <w:p>
            <w:pPr>
              <w:pStyle w:val="TableContents"/>
              <w:spacing w:before="0" w:after="0"/>
              <w:ind w:left="180" w:right="0" w:hanging="180"/>
              <w:jc w:val="left"/>
              <w:rPr>
                <w:rFonts w:ascii="Times New Roman;Times;serif" w:hAnsi="Times New Roman;Times;serif"/>
                <w:color w:val="000000"/>
                <w:sz w:val="20"/>
              </w:rPr>
            </w:pPr>
            <w:r>
              <w:rPr>
                <w:rFonts w:ascii="Times New Roman;Times;serif" w:hAnsi="Times New Roman;Times;serif"/>
                <w:color w:val="000000"/>
                <w:sz w:val="20"/>
              </w:rPr>
              <w:t>Commercial collateralized mortgage obligations</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67,551</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7" w:type="dxa"/>
            <w:tcBorders/>
            <w:shd w:fill="auto" w:val="clear"/>
            <w:vAlign w:val="bottom"/>
          </w:tcPr>
          <w:p>
            <w:pPr>
              <w:pStyle w:val="TableContents"/>
              <w:spacing w:before="0" w:after="283"/>
              <w:jc w:val="left"/>
              <w:rPr/>
            </w:pPr>
            <w:r>
              <w:rPr/>
              <w:t> </w:t>
            </w:r>
          </w:p>
        </w:tc>
        <w:tc>
          <w:tcPr>
            <w:tcW w:w="803"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5,473</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0"/>
              <w:jc w:val="right"/>
              <w:rPr/>
            </w:pPr>
            <w:r>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7" w:type="dxa"/>
            <w:tcBorders/>
            <w:shd w:fill="auto" w:val="clear"/>
            <w:vAlign w:val="bottom"/>
          </w:tcPr>
          <w:p>
            <w:pPr>
              <w:pStyle w:val="TableContents"/>
              <w:spacing w:before="0" w:after="283"/>
              <w:jc w:val="left"/>
              <w:rPr/>
            </w:pPr>
            <w:r>
              <w:rPr/>
              <w:t> </w:t>
            </w:r>
          </w:p>
        </w:tc>
        <w:tc>
          <w:tcPr>
            <w:tcW w:w="803" w:type="dxa"/>
            <w:tcBorders/>
            <w:shd w:fill="auto" w:val="clear"/>
            <w:vAlign w:val="bottom"/>
          </w:tcPr>
          <w:p>
            <w:pPr>
              <w:pStyle w:val="TableContents"/>
              <w:spacing w:before="0" w:after="0"/>
              <w:jc w:val="right"/>
              <w:rPr/>
            </w:pPr>
            <w:r>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67,551</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4" w:type="dxa"/>
            <w:tcBorders/>
            <w:shd w:fill="auto" w:val="clear"/>
            <w:vAlign w:val="bottom"/>
          </w:tcPr>
          <w:p>
            <w:pPr>
              <w:pStyle w:val="TableContents"/>
              <w:spacing w:before="0" w:after="283"/>
              <w:jc w:val="left"/>
              <w:rPr/>
            </w:pPr>
            <w:r>
              <w:rPr/>
              <w:t> </w:t>
            </w:r>
          </w:p>
        </w:tc>
        <w:tc>
          <w:tcPr>
            <w:tcW w:w="806"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5,473</w:t>
            </w:r>
          </w:p>
        </w:tc>
        <w:tc>
          <w:tcPr>
            <w:tcW w:w="75" w:type="dxa"/>
            <w:tcBorders/>
            <w:shd w:fill="auto" w:val="clear"/>
            <w:vAlign w:val="bottom"/>
          </w:tcPr>
          <w:p>
            <w:pPr>
              <w:pStyle w:val="TableContents"/>
              <w:spacing w:before="0" w:after="283"/>
              <w:jc w:val="left"/>
              <w:rPr/>
            </w:pPr>
            <w:r>
              <w:rPr/>
              <w:t> </w:t>
            </w:r>
          </w:p>
        </w:tc>
      </w:tr>
      <w:tr>
        <w:trPr/>
        <w:tc>
          <w:tcPr>
            <w:tcW w:w="3845" w:type="dxa"/>
            <w:tcBorders/>
            <w:shd w:fill="CCEE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Asset-backed and other amortizing securities</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800"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7" w:type="dxa"/>
            <w:tcBorders/>
            <w:shd w:fill="CCEEFF" w:val="clear"/>
            <w:vAlign w:val="bottom"/>
          </w:tcPr>
          <w:p>
            <w:pPr>
              <w:pStyle w:val="TableContents"/>
              <w:spacing w:before="0" w:after="283"/>
              <w:jc w:val="left"/>
              <w:rPr/>
            </w:pPr>
            <w:r>
              <w:rPr/>
              <w:t> </w:t>
            </w:r>
          </w:p>
        </w:tc>
        <w:tc>
          <w:tcPr>
            <w:tcW w:w="803"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800"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18,669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7" w:type="dxa"/>
            <w:tcBorders/>
            <w:shd w:fill="CCEEFF" w:val="clear"/>
            <w:vAlign w:val="bottom"/>
          </w:tcPr>
          <w:p>
            <w:pPr>
              <w:pStyle w:val="TableContents"/>
              <w:spacing w:before="0" w:after="283"/>
              <w:jc w:val="left"/>
              <w:rPr/>
            </w:pPr>
            <w:r>
              <w:rPr/>
              <w:t> </w:t>
            </w:r>
          </w:p>
        </w:tc>
        <w:tc>
          <w:tcPr>
            <w:tcW w:w="803"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1,594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800"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18,669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4" w:type="dxa"/>
            <w:tcBorders/>
            <w:shd w:fill="CCEEFF" w:val="clear"/>
            <w:vAlign w:val="bottom"/>
          </w:tcPr>
          <w:p>
            <w:pPr>
              <w:pStyle w:val="TableContents"/>
              <w:spacing w:before="0" w:after="283"/>
              <w:jc w:val="left"/>
              <w:rPr/>
            </w:pPr>
            <w:r>
              <w:rPr/>
              <w:t> </w:t>
            </w:r>
          </w:p>
        </w:tc>
        <w:tc>
          <w:tcPr>
            <w:tcW w:w="806"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1,594</w:t>
            </w:r>
          </w:p>
        </w:tc>
        <w:tc>
          <w:tcPr>
            <w:tcW w:w="75" w:type="dxa"/>
            <w:tcBorders/>
            <w:shd w:fill="CCEEFF" w:val="clear"/>
            <w:vAlign w:val="bottom"/>
          </w:tcPr>
          <w:p>
            <w:pPr>
              <w:pStyle w:val="TableContents"/>
              <w:spacing w:before="0" w:after="283"/>
              <w:jc w:val="left"/>
              <w:rPr/>
            </w:pPr>
            <w:r>
              <w:rPr/>
              <w:t> </w:t>
            </w:r>
          </w:p>
        </w:tc>
      </w:tr>
      <w:tr>
        <w:trPr/>
        <w:tc>
          <w:tcPr>
            <w:tcW w:w="3845" w:type="dxa"/>
            <w:tcBorders/>
            <w:shd w:fill="auto"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Other securities</w:t>
            </w:r>
          </w:p>
        </w:tc>
        <w:tc>
          <w:tcPr>
            <w:tcW w:w="60" w:type="dxa"/>
            <w:tcBorders/>
            <w:shd w:fill="auto" w:val="clear"/>
            <w:vAlign w:val="bottom"/>
          </w:tcPr>
          <w:p>
            <w:pPr>
              <w:pStyle w:val="TableContents"/>
              <w:spacing w:before="0" w:after="283"/>
              <w:jc w:val="right"/>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0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9,636</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7"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03"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864</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0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1,356</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7"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03"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144</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0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10,992</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4"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06"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1,008</w:t>
            </w:r>
          </w:p>
        </w:tc>
        <w:tc>
          <w:tcPr>
            <w:tcW w:w="75" w:type="dxa"/>
            <w:tcBorders/>
            <w:shd w:fill="auto" w:val="clear"/>
            <w:vAlign w:val="bottom"/>
          </w:tcPr>
          <w:p>
            <w:pPr>
              <w:pStyle w:val="TableContents"/>
              <w:spacing w:before="0" w:after="283"/>
              <w:jc w:val="left"/>
              <w:rPr/>
            </w:pPr>
            <w:r>
              <w:rPr/>
              <w:t> </w:t>
            </w:r>
          </w:p>
        </w:tc>
      </w:tr>
      <w:tr>
        <w:trPr/>
        <w:tc>
          <w:tcPr>
            <w:tcW w:w="384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800"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84,091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7"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803"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6,361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800"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601,648</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7"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803"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88,745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800"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685,739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4"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806"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95,106</w:t>
            </w:r>
          </w:p>
        </w:tc>
        <w:tc>
          <w:tcPr>
            <w:tcW w:w="75" w:type="dxa"/>
            <w:tcBorders/>
            <w:shd w:fill="CCEEFF" w:val="clear"/>
            <w:vAlign w:val="bottom"/>
          </w:tcPr>
          <w:p>
            <w:pPr>
              <w:pStyle w:val="TableContents"/>
              <w:spacing w:before="0" w:after="283"/>
              <w:jc w:val="left"/>
              <w:rPr/>
            </w:pPr>
            <w:r>
              <w:rPr/>
              <w:t> </w:t>
            </w:r>
          </w:p>
        </w:tc>
      </w:tr>
      <w:tr>
        <w:trPr/>
        <w:tc>
          <w:tcPr>
            <w:tcW w:w="384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7" w:type="dxa"/>
            <w:tcBorders/>
            <w:shd w:fill="auto" w:val="clear"/>
            <w:vAlign w:val="bottom"/>
          </w:tcPr>
          <w:p>
            <w:pPr>
              <w:pStyle w:val="TableContents"/>
              <w:spacing w:before="0" w:after="283"/>
              <w:jc w:val="left"/>
              <w:rPr/>
            </w:pPr>
            <w:r>
              <w:rPr/>
              <w:t> </w:t>
            </w:r>
          </w:p>
        </w:tc>
        <w:tc>
          <w:tcPr>
            <w:tcW w:w="803"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7" w:type="dxa"/>
            <w:tcBorders/>
            <w:shd w:fill="auto" w:val="clear"/>
            <w:vAlign w:val="bottom"/>
          </w:tcPr>
          <w:p>
            <w:pPr>
              <w:pStyle w:val="TableContents"/>
              <w:spacing w:before="0" w:after="283"/>
              <w:jc w:val="left"/>
              <w:rPr/>
            </w:pPr>
            <w:r>
              <w:rPr/>
              <w:t> </w:t>
            </w:r>
          </w:p>
        </w:tc>
        <w:tc>
          <w:tcPr>
            <w:tcW w:w="803"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4" w:type="dxa"/>
            <w:tcBorders/>
            <w:shd w:fill="auto" w:val="clear"/>
            <w:vAlign w:val="bottom"/>
          </w:tcPr>
          <w:p>
            <w:pPr>
              <w:pStyle w:val="TableContents"/>
              <w:spacing w:before="0" w:after="283"/>
              <w:jc w:val="left"/>
              <w:rPr/>
            </w:pPr>
            <w:r>
              <w:rPr/>
              <w:t> </w:t>
            </w:r>
          </w:p>
        </w:tc>
        <w:tc>
          <w:tcPr>
            <w:tcW w:w="806" w:type="dxa"/>
            <w:tcBorders/>
            <w:shd w:fill="auto" w:val="clear"/>
            <w:vAlign w:val="bottom"/>
          </w:tcPr>
          <w:p>
            <w:pPr>
              <w:pStyle w:val="TableContents"/>
              <w:spacing w:before="0" w:after="283"/>
              <w:jc w:val="right"/>
              <w:rPr/>
            </w:pPr>
            <w:r>
              <w:rPr/>
              <w:t> </w:t>
            </w:r>
          </w:p>
        </w:tc>
        <w:tc>
          <w:tcPr>
            <w:tcW w:w="75" w:type="dxa"/>
            <w:tcBorders/>
            <w:shd w:fill="auto" w:val="clear"/>
            <w:vAlign w:val="bottom"/>
          </w:tcPr>
          <w:p>
            <w:pPr>
              <w:pStyle w:val="TableContents"/>
              <w:spacing w:before="0" w:after="283"/>
              <w:jc w:val="left"/>
              <w:rPr/>
            </w:pPr>
            <w:r>
              <w:rPr/>
              <w:t> </w:t>
            </w:r>
          </w:p>
        </w:tc>
      </w:tr>
      <w:tr>
        <w:trPr/>
        <w:tc>
          <w:tcPr>
            <w:tcW w:w="3845" w:type="dxa"/>
            <w:tcBorders/>
            <w:shd w:fill="CCEEFF" w:val="clear"/>
            <w:vAlign w:val="bottom"/>
          </w:tcPr>
          <w:p>
            <w:pPr>
              <w:pStyle w:val="TableContents"/>
              <w:spacing w:before="0" w:after="0"/>
              <w:ind w:left="180" w:right="0" w:hanging="0"/>
              <w:jc w:val="left"/>
              <w:rPr>
                <w:rFonts w:ascii="Times New Roman" w:hAnsi="Times New Roman"/>
                <w:sz w:val="20"/>
                <w:u w:val="single"/>
              </w:rPr>
            </w:pPr>
            <w:r>
              <w:rPr>
                <w:rFonts w:ascii="Times New Roman" w:hAnsi="Times New Roman"/>
                <w:sz w:val="20"/>
                <w:u w:val="single"/>
              </w:rPr>
              <w:t>December 31, 2022</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80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7" w:type="dxa"/>
            <w:tcBorders/>
            <w:shd w:fill="CCEEFF" w:val="clear"/>
            <w:vAlign w:val="bottom"/>
          </w:tcPr>
          <w:p>
            <w:pPr>
              <w:pStyle w:val="TableContents"/>
              <w:spacing w:before="0" w:after="283"/>
              <w:jc w:val="left"/>
              <w:rPr/>
            </w:pPr>
            <w:r>
              <w:rPr/>
              <w:t> </w:t>
            </w:r>
          </w:p>
        </w:tc>
        <w:tc>
          <w:tcPr>
            <w:tcW w:w="803"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80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7" w:type="dxa"/>
            <w:tcBorders/>
            <w:shd w:fill="CCEEFF" w:val="clear"/>
            <w:vAlign w:val="bottom"/>
          </w:tcPr>
          <w:p>
            <w:pPr>
              <w:pStyle w:val="TableContents"/>
              <w:spacing w:before="0" w:after="283"/>
              <w:jc w:val="left"/>
              <w:rPr/>
            </w:pPr>
            <w:r>
              <w:rPr/>
              <w:t> </w:t>
            </w:r>
          </w:p>
        </w:tc>
        <w:tc>
          <w:tcPr>
            <w:tcW w:w="803"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80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4" w:type="dxa"/>
            <w:tcBorders/>
            <w:shd w:fill="CCEEFF" w:val="clear"/>
            <w:vAlign w:val="bottom"/>
          </w:tcPr>
          <w:p>
            <w:pPr>
              <w:pStyle w:val="TableContents"/>
              <w:spacing w:before="0" w:after="283"/>
              <w:jc w:val="left"/>
              <w:rPr/>
            </w:pPr>
            <w:r>
              <w:rPr/>
              <w:t> </w:t>
            </w:r>
          </w:p>
        </w:tc>
        <w:tc>
          <w:tcPr>
            <w:tcW w:w="806"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jc w:val="left"/>
              <w:rPr/>
            </w:pPr>
            <w:r>
              <w:rPr/>
              <w:t> </w:t>
            </w:r>
          </w:p>
        </w:tc>
      </w:tr>
      <w:tr>
        <w:trPr/>
        <w:tc>
          <w:tcPr>
            <w:tcW w:w="3845" w:type="dxa"/>
            <w:tcBorders/>
            <w:shd w:fill="auto"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State and municipal</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800"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162,746</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7"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803"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23,538</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800"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57,675</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7"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803"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10,863</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800"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220,421</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4"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806"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34,401</w:t>
            </w:r>
          </w:p>
        </w:tc>
        <w:tc>
          <w:tcPr>
            <w:tcW w:w="75" w:type="dxa"/>
            <w:tcBorders/>
            <w:shd w:fill="auto" w:val="clear"/>
            <w:vAlign w:val="bottom"/>
          </w:tcPr>
          <w:p>
            <w:pPr>
              <w:pStyle w:val="TableContents"/>
              <w:spacing w:before="0" w:after="283"/>
              <w:jc w:val="left"/>
              <w:rPr/>
            </w:pPr>
            <w:r>
              <w:rPr/>
              <w:t> </w:t>
            </w:r>
          </w:p>
        </w:tc>
      </w:tr>
      <w:tr>
        <w:trPr/>
        <w:tc>
          <w:tcPr>
            <w:tcW w:w="3845" w:type="dxa"/>
            <w:tcBorders/>
            <w:shd w:fill="CCEEFF" w:val="clear"/>
            <w:vAlign w:val="bottom"/>
          </w:tcPr>
          <w:p>
            <w:pPr>
              <w:pStyle w:val="TableContents"/>
              <w:spacing w:before="0" w:after="283"/>
              <w:rPr/>
            </w:pPr>
            <w:r>
              <w:rPr/>
              <w:t xml:space="preserve">Residential mortgage-backed securities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800" w:type="dxa"/>
            <w:tcBorders/>
            <w:shd w:fill="CCEEFF" w:val="clear"/>
            <w:vAlign w:val="bottom"/>
          </w:tcPr>
          <w:p>
            <w:pPr>
              <w:pStyle w:val="TableContents"/>
              <w:spacing w:before="0" w:after="283"/>
              <w:jc w:val="right"/>
              <w:rPr/>
            </w:pPr>
            <w:r>
              <w:rPr/>
              <w:t>220,752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7" w:type="dxa"/>
            <w:tcBorders/>
            <w:shd w:fill="CCEEFF" w:val="clear"/>
            <w:vAlign w:val="bottom"/>
          </w:tcPr>
          <w:p>
            <w:pPr>
              <w:pStyle w:val="TableContents"/>
              <w:spacing w:before="0" w:after="283"/>
              <w:jc w:val="left"/>
              <w:rPr/>
            </w:pPr>
            <w:r>
              <w:rPr/>
              <w:t> </w:t>
            </w:r>
          </w:p>
        </w:tc>
        <w:tc>
          <w:tcPr>
            <w:tcW w:w="803" w:type="dxa"/>
            <w:tcBorders/>
            <w:shd w:fill="CCEEFF" w:val="clear"/>
            <w:vAlign w:val="bottom"/>
          </w:tcPr>
          <w:p>
            <w:pPr>
              <w:pStyle w:val="TableContents"/>
              <w:spacing w:before="0" w:after="283"/>
              <w:jc w:val="right"/>
              <w:rPr/>
            </w:pPr>
            <w:r>
              <w:rPr/>
              <w:t>27,967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800" w:type="dxa"/>
            <w:tcBorders/>
            <w:shd w:fill="CCEEFF" w:val="clear"/>
            <w:vAlign w:val="bottom"/>
          </w:tcPr>
          <w:p>
            <w:pPr>
              <w:pStyle w:val="TableContents"/>
              <w:spacing w:before="0" w:after="283"/>
              <w:jc w:val="right"/>
              <w:rPr/>
            </w:pPr>
            <w:r>
              <w:rPr/>
              <w:t>108,080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7" w:type="dxa"/>
            <w:tcBorders/>
            <w:shd w:fill="CCEEFF" w:val="clear"/>
            <w:vAlign w:val="bottom"/>
          </w:tcPr>
          <w:p>
            <w:pPr>
              <w:pStyle w:val="TableContents"/>
              <w:spacing w:before="0" w:after="283"/>
              <w:jc w:val="left"/>
              <w:rPr/>
            </w:pPr>
            <w:r>
              <w:rPr/>
              <w:t> </w:t>
            </w:r>
          </w:p>
        </w:tc>
        <w:tc>
          <w:tcPr>
            <w:tcW w:w="803" w:type="dxa"/>
            <w:tcBorders/>
            <w:shd w:fill="CCEEFF" w:val="clear"/>
            <w:vAlign w:val="bottom"/>
          </w:tcPr>
          <w:p>
            <w:pPr>
              <w:pStyle w:val="TableContents"/>
              <w:spacing w:before="0" w:after="283"/>
              <w:jc w:val="right"/>
              <w:rPr/>
            </w:pPr>
            <w:r>
              <w:rPr/>
              <w:t>29,971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800" w:type="dxa"/>
            <w:tcBorders/>
            <w:shd w:fill="CCEEFF" w:val="clear"/>
            <w:vAlign w:val="bottom"/>
          </w:tcPr>
          <w:p>
            <w:pPr>
              <w:pStyle w:val="TableContents"/>
              <w:spacing w:before="0" w:after="283"/>
              <w:jc w:val="right"/>
              <w:rPr/>
            </w:pPr>
            <w:r>
              <w:rPr/>
              <w:t>328,832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4" w:type="dxa"/>
            <w:tcBorders/>
            <w:shd w:fill="CCEEFF" w:val="clear"/>
            <w:vAlign w:val="bottom"/>
          </w:tcPr>
          <w:p>
            <w:pPr>
              <w:pStyle w:val="TableContents"/>
              <w:spacing w:before="0" w:after="283"/>
              <w:jc w:val="left"/>
              <w:rPr/>
            </w:pPr>
            <w:r>
              <w:rPr/>
              <w:t> </w:t>
            </w:r>
          </w:p>
        </w:tc>
        <w:tc>
          <w:tcPr>
            <w:tcW w:w="806" w:type="dxa"/>
            <w:tcBorders/>
            <w:shd w:fill="CCEEFF" w:val="clear"/>
            <w:vAlign w:val="bottom"/>
          </w:tcPr>
          <w:p>
            <w:pPr>
              <w:pStyle w:val="TableContents"/>
              <w:spacing w:before="0" w:after="283"/>
              <w:jc w:val="right"/>
              <w:rPr/>
            </w:pPr>
            <w:r>
              <w:rPr/>
              <w:t>57,938</w:t>
            </w:r>
          </w:p>
        </w:tc>
        <w:tc>
          <w:tcPr>
            <w:tcW w:w="75" w:type="dxa"/>
            <w:tcBorders/>
            <w:shd w:fill="CCEEFF" w:val="clear"/>
            <w:vAlign w:val="bottom"/>
          </w:tcPr>
          <w:p>
            <w:pPr>
              <w:pStyle w:val="TableContents"/>
              <w:spacing w:before="0" w:after="283"/>
              <w:jc w:val="left"/>
              <w:rPr/>
            </w:pPr>
            <w:r>
              <w:rPr/>
              <w:t> </w:t>
            </w:r>
          </w:p>
        </w:tc>
      </w:tr>
      <w:tr>
        <w:trPr/>
        <w:tc>
          <w:tcPr>
            <w:tcW w:w="3845" w:type="dxa"/>
            <w:tcBorders/>
            <w:shd w:fill="auto" w:val="clear"/>
            <w:vAlign w:val="bottom"/>
          </w:tcPr>
          <w:p>
            <w:pPr>
              <w:pStyle w:val="TableContents"/>
              <w:spacing w:before="0" w:after="283"/>
              <w:rPr/>
            </w:pPr>
            <w:r>
              <w:rPr/>
              <w:t xml:space="preserve">Commercial mortgage-backed securities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283"/>
              <w:jc w:val="right"/>
              <w:rPr/>
            </w:pPr>
            <w:r>
              <w:rPr/>
              <w:t>41,966</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7" w:type="dxa"/>
            <w:tcBorders/>
            <w:shd w:fill="auto" w:val="clear"/>
            <w:vAlign w:val="bottom"/>
          </w:tcPr>
          <w:p>
            <w:pPr>
              <w:pStyle w:val="TableContents"/>
              <w:spacing w:before="0" w:after="283"/>
              <w:jc w:val="left"/>
              <w:rPr/>
            </w:pPr>
            <w:r>
              <w:rPr/>
              <w:t> </w:t>
            </w:r>
          </w:p>
        </w:tc>
        <w:tc>
          <w:tcPr>
            <w:tcW w:w="803" w:type="dxa"/>
            <w:tcBorders/>
            <w:shd w:fill="auto" w:val="clear"/>
            <w:vAlign w:val="bottom"/>
          </w:tcPr>
          <w:p>
            <w:pPr>
              <w:pStyle w:val="TableContents"/>
              <w:spacing w:before="0" w:after="283"/>
              <w:jc w:val="right"/>
              <w:rPr/>
            </w:pPr>
            <w:r>
              <w:rPr/>
              <w:t>7,194</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7" w:type="dxa"/>
            <w:tcBorders/>
            <w:shd w:fill="auto" w:val="clear"/>
            <w:vAlign w:val="bottom"/>
          </w:tcPr>
          <w:p>
            <w:pPr>
              <w:pStyle w:val="TableContents"/>
              <w:spacing w:before="0" w:after="283"/>
              <w:jc w:val="left"/>
              <w:rPr/>
            </w:pPr>
            <w:r>
              <w:rPr/>
              <w:t> </w:t>
            </w:r>
          </w:p>
        </w:tc>
        <w:tc>
          <w:tcPr>
            <w:tcW w:w="803"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283"/>
              <w:jc w:val="right"/>
              <w:rPr/>
            </w:pPr>
            <w:r>
              <w:rPr/>
              <w:t>41,966</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4" w:type="dxa"/>
            <w:tcBorders/>
            <w:shd w:fill="auto" w:val="clear"/>
            <w:vAlign w:val="bottom"/>
          </w:tcPr>
          <w:p>
            <w:pPr>
              <w:pStyle w:val="TableContents"/>
              <w:spacing w:before="0" w:after="283"/>
              <w:jc w:val="left"/>
              <w:rPr/>
            </w:pPr>
            <w:r>
              <w:rPr/>
              <w:t> </w:t>
            </w:r>
          </w:p>
        </w:tc>
        <w:tc>
          <w:tcPr>
            <w:tcW w:w="806" w:type="dxa"/>
            <w:tcBorders/>
            <w:shd w:fill="auto" w:val="clear"/>
            <w:vAlign w:val="bottom"/>
          </w:tcPr>
          <w:p>
            <w:pPr>
              <w:pStyle w:val="TableContents"/>
              <w:spacing w:before="0" w:after="283"/>
              <w:jc w:val="right"/>
              <w:rPr/>
            </w:pPr>
            <w:r>
              <w:rPr/>
              <w:t>7,194</w:t>
            </w:r>
          </w:p>
        </w:tc>
        <w:tc>
          <w:tcPr>
            <w:tcW w:w="75" w:type="dxa"/>
            <w:tcBorders/>
            <w:shd w:fill="auto" w:val="clear"/>
            <w:vAlign w:val="bottom"/>
          </w:tcPr>
          <w:p>
            <w:pPr>
              <w:pStyle w:val="TableContents"/>
              <w:spacing w:before="0" w:after="283"/>
              <w:jc w:val="left"/>
              <w:rPr/>
            </w:pPr>
            <w:r>
              <w:rPr/>
              <w:t> </w:t>
            </w:r>
          </w:p>
        </w:tc>
      </w:tr>
      <w:tr>
        <w:trPr/>
        <w:tc>
          <w:tcPr>
            <w:tcW w:w="3845" w:type="dxa"/>
            <w:tcBorders/>
            <w:shd w:fill="CCEE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Commercial collateralized mortgage obligations</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800"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75,638</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7" w:type="dxa"/>
            <w:tcBorders/>
            <w:shd w:fill="CCEEFF" w:val="clear"/>
            <w:vAlign w:val="bottom"/>
          </w:tcPr>
          <w:p>
            <w:pPr>
              <w:pStyle w:val="TableContents"/>
              <w:spacing w:before="0" w:after="283"/>
              <w:jc w:val="left"/>
              <w:rPr/>
            </w:pPr>
            <w:r>
              <w:rPr/>
              <w:t> </w:t>
            </w:r>
          </w:p>
        </w:tc>
        <w:tc>
          <w:tcPr>
            <w:tcW w:w="803"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551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800"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7" w:type="dxa"/>
            <w:tcBorders/>
            <w:shd w:fill="CCEEFF" w:val="clear"/>
            <w:vAlign w:val="bottom"/>
          </w:tcPr>
          <w:p>
            <w:pPr>
              <w:pStyle w:val="TableContents"/>
              <w:spacing w:before="0" w:after="283"/>
              <w:jc w:val="left"/>
              <w:rPr/>
            </w:pPr>
            <w:r>
              <w:rPr/>
              <w:t> </w:t>
            </w:r>
          </w:p>
        </w:tc>
        <w:tc>
          <w:tcPr>
            <w:tcW w:w="803"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800"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75,638</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4" w:type="dxa"/>
            <w:tcBorders/>
            <w:shd w:fill="CCEEFF" w:val="clear"/>
            <w:vAlign w:val="bottom"/>
          </w:tcPr>
          <w:p>
            <w:pPr>
              <w:pStyle w:val="TableContents"/>
              <w:spacing w:before="0" w:after="283"/>
              <w:jc w:val="left"/>
              <w:rPr/>
            </w:pPr>
            <w:r>
              <w:rPr/>
              <w:t> </w:t>
            </w:r>
          </w:p>
        </w:tc>
        <w:tc>
          <w:tcPr>
            <w:tcW w:w="806"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551</w:t>
            </w:r>
          </w:p>
        </w:tc>
        <w:tc>
          <w:tcPr>
            <w:tcW w:w="75" w:type="dxa"/>
            <w:tcBorders/>
            <w:shd w:fill="CCEEFF" w:val="clear"/>
            <w:vAlign w:val="bottom"/>
          </w:tcPr>
          <w:p>
            <w:pPr>
              <w:pStyle w:val="TableContents"/>
              <w:spacing w:before="0" w:after="283"/>
              <w:jc w:val="left"/>
              <w:rPr/>
            </w:pPr>
            <w:r>
              <w:rPr/>
              <w:t> </w:t>
            </w:r>
          </w:p>
        </w:tc>
      </w:tr>
      <w:tr>
        <w:trPr/>
        <w:tc>
          <w:tcPr>
            <w:tcW w:w="3845" w:type="dxa"/>
            <w:tcBorders/>
            <w:shd w:fill="auto"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Asset-backed and other amortizing securities</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19,094</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7" w:type="dxa"/>
            <w:tcBorders/>
            <w:shd w:fill="auto" w:val="clear"/>
            <w:vAlign w:val="bottom"/>
          </w:tcPr>
          <w:p>
            <w:pPr>
              <w:pStyle w:val="TableContents"/>
              <w:spacing w:before="0" w:after="283"/>
              <w:jc w:val="left"/>
              <w:rPr/>
            </w:pPr>
            <w:r>
              <w:rPr/>
              <w:t> </w:t>
            </w:r>
          </w:p>
        </w:tc>
        <w:tc>
          <w:tcPr>
            <w:tcW w:w="803"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1,813</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0"/>
              <w:jc w:val="right"/>
              <w:rPr/>
            </w:pPr>
            <w:r>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7" w:type="dxa"/>
            <w:tcBorders/>
            <w:shd w:fill="auto" w:val="clear"/>
            <w:vAlign w:val="bottom"/>
          </w:tcPr>
          <w:p>
            <w:pPr>
              <w:pStyle w:val="TableContents"/>
              <w:spacing w:before="0" w:after="283"/>
              <w:jc w:val="left"/>
              <w:rPr/>
            </w:pPr>
            <w:r>
              <w:rPr/>
              <w:t> </w:t>
            </w:r>
          </w:p>
        </w:tc>
        <w:tc>
          <w:tcPr>
            <w:tcW w:w="803" w:type="dxa"/>
            <w:tcBorders/>
            <w:shd w:fill="auto" w:val="clear"/>
            <w:vAlign w:val="bottom"/>
          </w:tcPr>
          <w:p>
            <w:pPr>
              <w:pStyle w:val="TableContents"/>
              <w:spacing w:before="0" w:after="0"/>
              <w:jc w:val="right"/>
              <w:rPr/>
            </w:pPr>
            <w:r>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19,094</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4" w:type="dxa"/>
            <w:tcBorders/>
            <w:shd w:fill="auto" w:val="clear"/>
            <w:vAlign w:val="bottom"/>
          </w:tcPr>
          <w:p>
            <w:pPr>
              <w:pStyle w:val="TableContents"/>
              <w:spacing w:before="0" w:after="283"/>
              <w:jc w:val="left"/>
              <w:rPr/>
            </w:pPr>
            <w:r>
              <w:rPr/>
              <w:t> </w:t>
            </w:r>
          </w:p>
        </w:tc>
        <w:tc>
          <w:tcPr>
            <w:tcW w:w="806"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1,813</w:t>
            </w:r>
          </w:p>
        </w:tc>
        <w:tc>
          <w:tcPr>
            <w:tcW w:w="75" w:type="dxa"/>
            <w:tcBorders/>
            <w:shd w:fill="auto" w:val="clear"/>
            <w:vAlign w:val="bottom"/>
          </w:tcPr>
          <w:p>
            <w:pPr>
              <w:pStyle w:val="TableContents"/>
              <w:spacing w:before="0" w:after="283"/>
              <w:jc w:val="left"/>
              <w:rPr/>
            </w:pPr>
            <w:r>
              <w:rPr/>
              <w:t> </w:t>
            </w:r>
          </w:p>
        </w:tc>
      </w:tr>
      <w:tr>
        <w:trPr/>
        <w:tc>
          <w:tcPr>
            <w:tcW w:w="3845" w:type="dxa"/>
            <w:tcBorders/>
            <w:shd w:fill="CCEE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Other securities</w:t>
            </w:r>
          </w:p>
        </w:tc>
        <w:tc>
          <w:tcPr>
            <w:tcW w:w="6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11,112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03"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888</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03" w:type="dxa"/>
            <w:tcBorders>
              <w:bottom w:val="single" w:sz="12" w:space="0" w:color="000000"/>
            </w:tcBorders>
            <w:shd w:fill="CCEEFF" w:val="clear"/>
            <w:tcMar>
              <w:bottom w:w="28" w:type="dxa"/>
            </w:tcM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11,112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06"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888</w:t>
            </w:r>
          </w:p>
        </w:tc>
        <w:tc>
          <w:tcPr>
            <w:tcW w:w="75" w:type="dxa"/>
            <w:tcBorders/>
            <w:shd w:fill="CCEEFF" w:val="clear"/>
            <w:vAlign w:val="bottom"/>
          </w:tcPr>
          <w:p>
            <w:pPr>
              <w:pStyle w:val="TableContents"/>
              <w:spacing w:before="0" w:after="283"/>
              <w:jc w:val="left"/>
              <w:rPr/>
            </w:pPr>
            <w:r>
              <w:rPr/>
              <w:t> </w:t>
            </w:r>
          </w:p>
        </w:tc>
      </w:tr>
      <w:tr>
        <w:trPr/>
        <w:tc>
          <w:tcPr>
            <w:tcW w:w="384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125"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800"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531,308</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7"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803"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61,951</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800"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165,755</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7"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803"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40,834</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800"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697,063</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4"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806"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102,785</w:t>
            </w:r>
          </w:p>
        </w:tc>
        <w:tc>
          <w:tcPr>
            <w:tcW w:w="75" w:type="dxa"/>
            <w:tcBorders/>
            <w:shd w:fill="auto" w:val="clear"/>
            <w:vAlign w:val="bottom"/>
          </w:tcPr>
          <w:p>
            <w:pPr>
              <w:pStyle w:val="TableContents"/>
              <w:spacing w:before="0" w:after="283"/>
              <w:jc w:val="left"/>
              <w:rPr/>
            </w:pPr>
            <w:r>
              <w:rPr/>
              <w:t> </w:t>
            </w:r>
          </w:p>
        </w:tc>
      </w:tr>
    </w:tbl>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12</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b w:val="false"/>
            <w:i/>
            <w:color w:val="000000"/>
            <w:sz w:val="16"/>
          </w:rPr>
          <w:t>Table of Contents</w:t>
        </w:r>
      </w:hyperlink>
    </w:p>
    <w:p>
      <w:pPr>
        <w:pStyle w:val="TextBody"/>
        <w:spacing w:before="0" w:after="0"/>
        <w:ind w:left="0" w:right="0" w:hanging="0"/>
        <w:jc w:val="both"/>
        <w:rPr>
          <w:rFonts w:ascii="Times New Roman" w:hAnsi="Times New Roman"/>
          <w:color w:val="000000"/>
          <w:sz w:val="20"/>
        </w:rPr>
      </w:pPr>
      <w:r>
        <w:rPr>
          <w:rFonts w:ascii="Times New Roman" w:hAnsi="Times New Roman"/>
          <w:color w:val="000000"/>
          <w:sz w:val="20"/>
        </w:rPr>
        <w:t>There were 161 securities with an unrealized loss at March 31, 2023, generally due to increases in market rates. Management evaluates AFS securities in unrealized loss positions to determine whether the impairment is due to credit-related factors or non-credit related factors. Consideration is given to the extent to which the fair value is less than cost, the financial condition and near-term prospects of the issuer, and the intent and ability of the Company to retain its investment in the security for a period of time sufficient to allow for the anticipated recovery in fair value. Management does not have the intent to sell any of the securities in an unrealized loss position as there are adequate liquidity sources to meet expected and unexpected funding needs. The fair value of these securities is expected to recover as the securities approach their maturity date or repricing date or if market yields for such investments decline. Accordingly, as of March 31, 2023, management believes the unrealized loss positions detailed in the previous table are due to non-credit related factors, including changes in interest rates and other market conditions, and therefore no ACL or losses have been recognized or realized in the Company’s consolidated financial statements</w:t>
      </w:r>
      <w:r>
        <w:rPr>
          <w:rFonts w:ascii="Times New Roman" w:hAnsi="Times New Roman"/>
          <w:b w:val="false"/>
          <w:i w:val="false"/>
          <w:caps w:val="false"/>
          <w:smallCaps w:val="false"/>
          <w:color w:val="000000"/>
          <w:spacing w:val="0"/>
          <w:sz w:val="20"/>
          <w:highlight w:val="white"/>
        </w:rPr>
        <w:t>.</w:t>
      </w:r>
    </w:p>
    <w:p>
      <w:pPr>
        <w:pStyle w:val="TextBody"/>
        <w:spacing w:before="0" w:after="0"/>
        <w:jc w:val="left"/>
        <w:rPr>
          <w:rFonts w:ascii="Times New Roman" w:hAnsi="Times New Roman"/>
          <w:color w:val="000000"/>
          <w:sz w:val="20"/>
        </w:rPr>
      </w:pPr>
      <w:r>
        <w:rPr>
          <w:rFonts w:ascii="Times New Roman" w:hAnsi="Times New Roman"/>
          <w:color w:val="000000"/>
          <w:sz w:val="20"/>
        </w:rPr>
      </w:r>
    </w:p>
    <w:p>
      <w:pPr>
        <w:pStyle w:val="TextBody"/>
        <w:spacing w:before="0" w:after="0"/>
        <w:jc w:val="both"/>
        <w:rPr>
          <w:rFonts w:ascii="Times New Roman" w:hAnsi="Times New Roman"/>
          <w:b/>
          <w:color w:val="000000"/>
          <w:sz w:val="20"/>
        </w:rPr>
      </w:pPr>
      <w:r>
        <w:rPr>
          <w:rFonts w:ascii="Times New Roman" w:hAnsi="Times New Roman"/>
          <w:b/>
          <w:color w:val="000000"/>
          <w:sz w:val="20"/>
        </w:rPr>
        <w:t>3.  LOANS HELD FOR INVESTMENT</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Loans held for investment are summarized by category as of the periods presented below (dollars in thousands):</w:t>
      </w:r>
    </w:p>
    <w:p>
      <w:pPr>
        <w:pStyle w:val="TextBody"/>
        <w:spacing w:before="0" w:after="0"/>
        <w:jc w:val="left"/>
        <w:rPr/>
      </w:pPr>
      <w:r>
        <w:rPr/>
      </w:r>
    </w:p>
    <w:tbl>
      <w:tblPr>
        <w:tblW w:w="5384" w:type="dxa"/>
        <w:jc w:val="left"/>
        <w:tblInd w:w="0" w:type="dxa"/>
        <w:tblCellMar>
          <w:top w:w="0" w:type="dxa"/>
          <w:left w:w="0" w:type="dxa"/>
          <w:bottom w:w="0" w:type="dxa"/>
          <w:right w:w="0" w:type="dxa"/>
        </w:tblCellMar>
      </w:tblPr>
      <w:tblGrid>
        <w:gridCol w:w="2945"/>
        <w:gridCol w:w="60"/>
        <w:gridCol w:w="125"/>
        <w:gridCol w:w="845"/>
        <w:gridCol w:w="80"/>
        <w:gridCol w:w="60"/>
        <w:gridCol w:w="151"/>
        <w:gridCol w:w="1023"/>
        <w:gridCol w:w="95"/>
      </w:tblGrid>
      <w:tr>
        <w:trPr/>
        <w:tc>
          <w:tcPr>
            <w:tcW w:w="294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7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March 31,</w:t>
            </w:r>
          </w:p>
          <w:p>
            <w:pPr>
              <w:pStyle w:val="TableContents"/>
              <w:spacing w:before="0" w:after="0"/>
              <w:jc w:val="center"/>
              <w:rPr>
                <w:rFonts w:ascii="Times New Roman" w:hAnsi="Times New Roman"/>
                <w:b/>
                <w:sz w:val="20"/>
              </w:rPr>
            </w:pPr>
            <w:r>
              <w:rPr>
                <w:rFonts w:ascii="Times New Roman" w:hAnsi="Times New Roman"/>
                <w:b/>
                <w:sz w:val="20"/>
              </w:rPr>
              <w:t>2023</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74"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December 31,</w:t>
            </w:r>
          </w:p>
          <w:p>
            <w:pPr>
              <w:pStyle w:val="TableContents"/>
              <w:spacing w:before="0" w:after="0"/>
              <w:jc w:val="center"/>
              <w:rPr>
                <w:rFonts w:ascii="Times New Roman" w:hAnsi="Times New Roman"/>
                <w:b/>
                <w:sz w:val="20"/>
              </w:rPr>
            </w:pPr>
            <w:r>
              <w:rPr>
                <w:rFonts w:ascii="Times New Roman" w:hAnsi="Times New Roman"/>
                <w:b/>
                <w:sz w:val="20"/>
              </w:rPr>
              <w:t>2022</w:t>
            </w:r>
          </w:p>
        </w:tc>
        <w:tc>
          <w:tcPr>
            <w:tcW w:w="95" w:type="dxa"/>
            <w:tcBorders/>
            <w:shd w:fill="auto" w:val="clear"/>
            <w:vAlign w:val="bottom"/>
          </w:tcPr>
          <w:p>
            <w:pPr>
              <w:pStyle w:val="TableContents"/>
              <w:spacing w:before="0" w:after="283"/>
              <w:jc w:val="left"/>
              <w:rPr/>
            </w:pPr>
            <w:r>
              <w:rPr/>
              <w:t> </w:t>
            </w:r>
          </w:p>
        </w:tc>
      </w:tr>
      <w:tr>
        <w:trPr/>
        <w:tc>
          <w:tcPr>
            <w:tcW w:w="2945" w:type="dxa"/>
            <w:tcBorders/>
            <w:shd w:fill="CCEE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Commercial real estate</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926,018</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1023"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919,358</w:t>
            </w:r>
          </w:p>
        </w:tc>
        <w:tc>
          <w:tcPr>
            <w:tcW w:w="95" w:type="dxa"/>
            <w:tcBorders/>
            <w:shd w:fill="CCEEFF" w:val="clear"/>
            <w:vAlign w:val="bottom"/>
          </w:tcPr>
          <w:p>
            <w:pPr>
              <w:pStyle w:val="TableContents"/>
              <w:spacing w:before="0" w:after="283"/>
              <w:jc w:val="left"/>
              <w:rPr/>
            </w:pPr>
            <w:r>
              <w:rPr/>
              <w:t> </w:t>
            </w:r>
          </w:p>
        </w:tc>
      </w:tr>
      <w:tr>
        <w:trPr/>
        <w:tc>
          <w:tcPr>
            <w:tcW w:w="2945" w:type="dxa"/>
            <w:tcBorders/>
            <w:shd w:fill="auto"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Commercial - specialized</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315,473</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 </w:t>
            </w:r>
          </w:p>
        </w:tc>
        <w:tc>
          <w:tcPr>
            <w:tcW w:w="1023"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327,513</w:t>
            </w:r>
          </w:p>
        </w:tc>
        <w:tc>
          <w:tcPr>
            <w:tcW w:w="95" w:type="dxa"/>
            <w:tcBorders/>
            <w:shd w:fill="auto" w:val="clear"/>
            <w:vAlign w:val="bottom"/>
          </w:tcPr>
          <w:p>
            <w:pPr>
              <w:pStyle w:val="TableContents"/>
              <w:spacing w:before="0" w:after="283"/>
              <w:jc w:val="left"/>
              <w:rPr/>
            </w:pPr>
            <w:r>
              <w:rPr/>
              <w:t> </w:t>
            </w:r>
          </w:p>
        </w:tc>
      </w:tr>
      <w:tr>
        <w:trPr/>
        <w:tc>
          <w:tcPr>
            <w:tcW w:w="2945" w:type="dxa"/>
            <w:tcBorders/>
            <w:shd w:fill="CCEE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Commercial - general</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510,917</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 </w:t>
            </w:r>
          </w:p>
        </w:tc>
        <w:tc>
          <w:tcPr>
            <w:tcW w:w="1023"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484,783</w:t>
            </w:r>
          </w:p>
        </w:tc>
        <w:tc>
          <w:tcPr>
            <w:tcW w:w="95" w:type="dxa"/>
            <w:tcBorders/>
            <w:shd w:fill="CCEEFF" w:val="clear"/>
            <w:vAlign w:val="bottom"/>
          </w:tcPr>
          <w:p>
            <w:pPr>
              <w:pStyle w:val="TableContents"/>
              <w:spacing w:before="0" w:after="283"/>
              <w:jc w:val="left"/>
              <w:rPr/>
            </w:pPr>
            <w:r>
              <w:rPr/>
              <w:t> </w:t>
            </w:r>
          </w:p>
        </w:tc>
      </w:tr>
      <w:tr>
        <w:trPr/>
        <w:tc>
          <w:tcPr>
            <w:tcW w:w="2945" w:type="dxa"/>
            <w:tcBorders/>
            <w:shd w:fill="auto"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Consumer:</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 </w:t>
            </w:r>
          </w:p>
        </w:tc>
        <w:tc>
          <w:tcPr>
            <w:tcW w:w="1023"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r>
      <w:tr>
        <w:trPr/>
        <w:tc>
          <w:tcPr>
            <w:tcW w:w="2945" w:type="dxa"/>
            <w:tcBorders/>
            <w:shd w:fill="CCEEFF" w:val="clear"/>
            <w:vAlign w:val="bottom"/>
          </w:tcPr>
          <w:p>
            <w:pPr>
              <w:pStyle w:val="TableContents"/>
              <w:spacing w:before="0" w:after="0"/>
              <w:ind w:left="288" w:right="0" w:hanging="144"/>
              <w:jc w:val="left"/>
              <w:rPr>
                <w:rFonts w:ascii="Times New Roman" w:hAnsi="Times New Roman"/>
                <w:sz w:val="20"/>
              </w:rPr>
            </w:pPr>
            <w:r>
              <w:rPr>
                <w:rFonts w:ascii="Times New Roman" w:hAnsi="Times New Roman"/>
                <w:sz w:val="20"/>
              </w:rPr>
              <w:t>1-4 family residential</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485,396</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 </w:t>
            </w:r>
          </w:p>
        </w:tc>
        <w:tc>
          <w:tcPr>
            <w:tcW w:w="1023"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460,124</w:t>
            </w:r>
          </w:p>
        </w:tc>
        <w:tc>
          <w:tcPr>
            <w:tcW w:w="95" w:type="dxa"/>
            <w:tcBorders/>
            <w:shd w:fill="CCEEFF" w:val="clear"/>
            <w:vAlign w:val="bottom"/>
          </w:tcPr>
          <w:p>
            <w:pPr>
              <w:pStyle w:val="TableContents"/>
              <w:spacing w:before="0" w:after="283"/>
              <w:jc w:val="left"/>
              <w:rPr/>
            </w:pPr>
            <w:r>
              <w:rPr/>
              <w:t> </w:t>
            </w:r>
          </w:p>
        </w:tc>
      </w:tr>
      <w:tr>
        <w:trPr/>
        <w:tc>
          <w:tcPr>
            <w:tcW w:w="2945" w:type="dxa"/>
            <w:tcBorders/>
            <w:shd w:fill="auto" w:val="clear"/>
            <w:vAlign w:val="bottom"/>
          </w:tcPr>
          <w:p>
            <w:pPr>
              <w:pStyle w:val="TableContents"/>
              <w:spacing w:before="0" w:after="0"/>
              <w:ind w:left="288" w:right="0" w:hanging="144"/>
              <w:jc w:val="left"/>
              <w:rPr>
                <w:rFonts w:ascii="Times New Roman" w:hAnsi="Times New Roman"/>
                <w:sz w:val="20"/>
              </w:rPr>
            </w:pPr>
            <w:r>
              <w:rPr>
                <w:rFonts w:ascii="Times New Roman" w:hAnsi="Times New Roman"/>
                <w:sz w:val="20"/>
              </w:rPr>
              <w:t>Auto loans</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321,309</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jc w:val="left"/>
              <w:rPr/>
            </w:pPr>
            <w:r>
              <w:rPr/>
              <w:t> </w:t>
            </w:r>
          </w:p>
        </w:tc>
        <w:tc>
          <w:tcPr>
            <w:tcW w:w="1023"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321,476</w:t>
            </w:r>
          </w:p>
        </w:tc>
        <w:tc>
          <w:tcPr>
            <w:tcW w:w="95" w:type="dxa"/>
            <w:tcBorders/>
            <w:shd w:fill="auto" w:val="clear"/>
            <w:vAlign w:val="bottom"/>
          </w:tcPr>
          <w:p>
            <w:pPr>
              <w:pStyle w:val="TableContents"/>
              <w:spacing w:before="0" w:after="283"/>
              <w:jc w:val="left"/>
              <w:rPr/>
            </w:pPr>
            <w:r>
              <w:rPr/>
              <w:t> </w:t>
            </w:r>
          </w:p>
        </w:tc>
      </w:tr>
      <w:tr>
        <w:trPr/>
        <w:tc>
          <w:tcPr>
            <w:tcW w:w="2945" w:type="dxa"/>
            <w:tcBorders/>
            <w:shd w:fill="CCEEFF" w:val="clear"/>
            <w:vAlign w:val="bottom"/>
          </w:tcPr>
          <w:p>
            <w:pPr>
              <w:pStyle w:val="TableContents"/>
              <w:spacing w:before="0" w:after="0"/>
              <w:ind w:left="324" w:right="0" w:hanging="180"/>
              <w:jc w:val="left"/>
              <w:rPr>
                <w:rFonts w:ascii="Times New Roman" w:hAnsi="Times New Roman"/>
                <w:sz w:val="20"/>
              </w:rPr>
            </w:pPr>
            <w:r>
              <w:rPr>
                <w:rFonts w:ascii="Times New Roman" w:hAnsi="Times New Roman"/>
                <w:sz w:val="20"/>
              </w:rPr>
              <w:t>Other consumer</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81,413</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 </w:t>
            </w:r>
          </w:p>
        </w:tc>
        <w:tc>
          <w:tcPr>
            <w:tcW w:w="1023"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81,308</w:t>
            </w:r>
          </w:p>
        </w:tc>
        <w:tc>
          <w:tcPr>
            <w:tcW w:w="95" w:type="dxa"/>
            <w:tcBorders/>
            <w:shd w:fill="CCEEFF" w:val="clear"/>
            <w:vAlign w:val="bottom"/>
          </w:tcPr>
          <w:p>
            <w:pPr>
              <w:pStyle w:val="TableContents"/>
              <w:spacing w:before="0" w:after="283"/>
              <w:jc w:val="left"/>
              <w:rPr/>
            </w:pPr>
            <w:r>
              <w:rPr/>
              <w:t> </w:t>
            </w:r>
          </w:p>
        </w:tc>
      </w:tr>
      <w:tr>
        <w:trPr/>
        <w:tc>
          <w:tcPr>
            <w:tcW w:w="2945" w:type="dxa"/>
            <w:tcBorders/>
            <w:shd w:fill="auto"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Construction</w:t>
            </w:r>
          </w:p>
        </w:tc>
        <w:tc>
          <w:tcPr>
            <w:tcW w:w="60" w:type="dxa"/>
            <w:tcBorders/>
            <w:shd w:fill="auto" w:val="clear"/>
            <w:vAlign w:val="bottom"/>
          </w:tcPr>
          <w:p>
            <w:pPr>
              <w:pStyle w:val="TableContents"/>
              <w:spacing w:before="0" w:after="283"/>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148,114</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51"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023"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153,519</w:t>
            </w:r>
          </w:p>
        </w:tc>
        <w:tc>
          <w:tcPr>
            <w:tcW w:w="95" w:type="dxa"/>
            <w:tcBorders/>
            <w:shd w:fill="auto" w:val="clear"/>
            <w:vAlign w:val="bottom"/>
          </w:tcPr>
          <w:p>
            <w:pPr>
              <w:pStyle w:val="TableContents"/>
              <w:spacing w:before="0" w:after="283"/>
              <w:jc w:val="left"/>
              <w:rPr/>
            </w:pPr>
            <w:r>
              <w:rPr/>
              <w:t> </w:t>
            </w:r>
          </w:p>
        </w:tc>
      </w:tr>
      <w:tr>
        <w:trPr/>
        <w:tc>
          <w:tcPr>
            <w:tcW w:w="294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2,788,640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jc w:val="left"/>
              <w:rPr/>
            </w:pPr>
            <w:r>
              <w:rPr/>
              <w:t> </w:t>
            </w:r>
          </w:p>
        </w:tc>
        <w:tc>
          <w:tcPr>
            <w:tcW w:w="1023"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2,748,081</w:t>
            </w:r>
          </w:p>
        </w:tc>
        <w:tc>
          <w:tcPr>
            <w:tcW w:w="95" w:type="dxa"/>
            <w:tcBorders/>
            <w:shd w:fill="CCEEFF" w:val="clear"/>
            <w:vAlign w:val="bottom"/>
          </w:tcPr>
          <w:p>
            <w:pPr>
              <w:pStyle w:val="TableContents"/>
              <w:spacing w:before="0" w:after="283"/>
              <w:jc w:val="left"/>
              <w:rPr/>
            </w:pPr>
            <w:r>
              <w:rPr/>
              <w:t> </w:t>
            </w:r>
          </w:p>
        </w:tc>
      </w:tr>
      <w:tr>
        <w:trPr/>
        <w:tc>
          <w:tcPr>
            <w:tcW w:w="2945" w:type="dxa"/>
            <w:tcBorders/>
            <w:shd w:fill="auto"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 xml:space="preserve">Allowance for </w:t>
            </w:r>
            <w:r>
              <w:rPr>
                <w:rFonts w:ascii="Times New Roman;Times;serif" w:hAnsi="Times New Roman;Times;serif"/>
                <w:sz w:val="20"/>
              </w:rPr>
              <w:t>credit</w:t>
            </w:r>
            <w:r>
              <w:rPr>
                <w:rFonts w:ascii="Times New Roman" w:hAnsi="Times New Roman"/>
                <w:sz w:val="20"/>
              </w:rPr>
              <w:t xml:space="preserve"> losses </w:t>
            </w:r>
            <w:r>
              <w:rPr>
                <w:rFonts w:ascii="Times New Roman;Times;serif" w:hAnsi="Times New Roman;Times;serif"/>
                <w:sz w:val="20"/>
              </w:rPr>
              <w:t>on loans</w:t>
            </w:r>
          </w:p>
        </w:tc>
        <w:tc>
          <w:tcPr>
            <w:tcW w:w="60" w:type="dxa"/>
            <w:tcBorders/>
            <w:shd w:fill="auto" w:val="clear"/>
            <w:vAlign w:val="bottom"/>
          </w:tcPr>
          <w:p>
            <w:pPr>
              <w:pStyle w:val="TableContents"/>
              <w:spacing w:before="0" w:after="283"/>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(39,560</w:t>
            </w:r>
          </w:p>
        </w:tc>
        <w:tc>
          <w:tcPr>
            <w:tcW w:w="80"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auto" w:val="clear"/>
            <w:vAlign w:val="bottom"/>
          </w:tcPr>
          <w:p>
            <w:pPr>
              <w:pStyle w:val="TableContents"/>
              <w:spacing w:before="0" w:after="283"/>
              <w:rPr/>
            </w:pPr>
            <w:r>
              <w:rPr/>
              <w:t> </w:t>
            </w:r>
          </w:p>
        </w:tc>
        <w:tc>
          <w:tcPr>
            <w:tcW w:w="151"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023"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(39,288</w:t>
            </w:r>
          </w:p>
        </w:tc>
        <w:tc>
          <w:tcPr>
            <w:tcW w:w="95"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r>
      <w:tr>
        <w:trPr/>
        <w:tc>
          <w:tcPr>
            <w:tcW w:w="2945" w:type="dxa"/>
            <w:tcBorders/>
            <w:shd w:fill="CCEE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Loans, net</w:t>
            </w:r>
          </w:p>
        </w:tc>
        <w:tc>
          <w:tcPr>
            <w:tcW w:w="60" w:type="dxa"/>
            <w:tcBorders/>
            <w:shd w:fill="CCEEFF" w:val="clear"/>
            <w:vAlign w:val="bottom"/>
          </w:tcPr>
          <w:p>
            <w:pPr>
              <w:pStyle w:val="TableContents"/>
              <w:spacing w:before="0" w:after="283"/>
              <w:rPr/>
            </w:pPr>
            <w:r>
              <w:rPr/>
              <w:t> </w:t>
            </w:r>
          </w:p>
        </w:tc>
        <w:tc>
          <w:tcPr>
            <w:tcW w:w="125"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845"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2,749,080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1"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1023"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2,708,793</w:t>
            </w:r>
          </w:p>
        </w:tc>
        <w:tc>
          <w:tcPr>
            <w:tcW w:w="95" w:type="dxa"/>
            <w:tcBorders/>
            <w:shd w:fill="CCEEFF" w:val="clear"/>
            <w:vAlign w:val="bottom"/>
          </w:tcPr>
          <w:p>
            <w:pPr>
              <w:pStyle w:val="TableContents"/>
              <w:spacing w:before="0" w:after="283"/>
              <w:jc w:val="left"/>
              <w:rPr/>
            </w:pPr>
            <w:r>
              <w:rPr/>
              <w:t> </w:t>
            </w:r>
          </w:p>
        </w:tc>
      </w:tr>
    </w:tbl>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Company has certain lending policies, underwriting standards, and procedures in place that are designed to maximize loan income with an acceptable level of risk. Management reviews and approves these policies, underwriting standards, and procedures on a regular basis and makes changes as appropriate. Management receives frequent reports related to loan originations, quality, concentrations, delinquencies, non-performing, and potential problem loans. Diversification in the loan portfolio is a means of managing risk associated with fluctuations in economic conditions, both by type of loan and geography.</w:t>
      </w:r>
    </w:p>
    <w:p>
      <w:pPr>
        <w:pStyle w:val="TextBody"/>
        <w:spacing w:before="0" w:after="0"/>
        <w:jc w:val="both"/>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i/>
          <w:color w:val="000000"/>
          <w:sz w:val="20"/>
          <w:u w:val="single"/>
        </w:rPr>
        <w:t>Commercial Real Estate</w:t>
      </w:r>
      <w:r>
        <w:rPr>
          <w:rFonts w:ascii="Times New Roman" w:hAnsi="Times New Roman"/>
          <w:color w:val="000000"/>
          <w:sz w:val="20"/>
        </w:rPr>
        <w:t xml:space="preserve"> – Commercial real estate loans are also subject to underwriting standards and processes similar to commercial loans. These loans are underwritten primarily based on projected cash flows for income-producing properties and collateral values for non-income-producing properties. The repayment of these loans is generally dependent on the successful operation of the property securing the loans or the sale or refinancing of the property. Real estate loans may be adversely affected by conditions in the real estate markets or in the general economy. The properties securing the Company’s real estate portfolio are diversified by type and geographic location. This diversity helps reduce the exposure to adverse economic events that affect any single market or industry. </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i/>
          <w:color w:val="000000"/>
          <w:sz w:val="20"/>
          <w:u w:val="single"/>
        </w:rPr>
        <w:t>Commercial – General and Specialized</w:t>
      </w:r>
      <w:r>
        <w:rPr>
          <w:rFonts w:ascii="Times New Roman" w:hAnsi="Times New Roman"/>
          <w:color w:val="000000"/>
          <w:sz w:val="20"/>
        </w:rPr>
        <w:t xml:space="preserve"> – Commercial loans are underwritten after evaluating and understanding the borrower’s ability to operate profitably. Underwriting standards have been designed to determine whether the borrower possesses sound business ethics and practices, evaluate current and projected cash flows to determine the ability of the borrower to repay their obligations, as agreed and ensure appropriate collateral is obtained to secure the loan. Commercial loans are primarily made based on the identified cash flows of the borrower and, secondarily, on the underlying collateral provided by the borrower. Most commercial loans are secured by the assets being financed or other business assets, such as real estate, accounts receivable, or inventory, and typically include personal guarantees. Owner-occupied real estate is included in commercial loans, as the repayment of these loans is generally dependent on the operations of the commercial borrower’s business rather than on income-producing properties or the sale of the properties. Commercial loans are grouped into two distinct sub-categories: specialized and general. Commercial related segments that are considered “specialized” include agricultural production and real estate loans, energy loans, and finance, investment, and insurance loans. Commercial related segments that contain a broader diversity of borrowers, sub-industries, or serviced industries are grouped into the “general category.” These include goods, services, restaurant &amp; retail, construction, and other industries. Performance of these loans is subject to operating and cash flow results of the borrower, with risk in the volatility of operating results for particular industries.</w:t>
      </w:r>
    </w:p>
    <w:p>
      <w:pPr>
        <w:pStyle w:val="TextBody"/>
        <w:spacing w:before="0" w:after="0"/>
        <w:jc w:val="left"/>
        <w:rPr>
          <w:u w:val="single"/>
          <w:bdr w:val="single" w:sz="2" w:space="1" w:color="000000"/>
        </w:rPr>
      </w:pPr>
      <w:r>
        <w:rPr>
          <w:u w:val="single"/>
          <w:bdr w:val="single" w:sz="2" w:space="1" w:color="000000"/>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13</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b w:val="false"/>
            <w:i/>
            <w:color w:val="000000"/>
            <w:sz w:val="16"/>
          </w:rPr>
          <w:t>Table of Contents</w:t>
        </w:r>
      </w:hyperlink>
    </w:p>
    <w:p>
      <w:pPr>
        <w:pStyle w:val="TextBody"/>
        <w:spacing w:before="0" w:after="0"/>
        <w:jc w:val="both"/>
        <w:rPr>
          <w:rFonts w:ascii="Times New Roman" w:hAnsi="Times New Roman"/>
          <w:color w:val="000000"/>
          <w:sz w:val="20"/>
        </w:rPr>
      </w:pPr>
      <w:r>
        <w:rPr>
          <w:rFonts w:ascii="Times New Roman" w:hAnsi="Times New Roman"/>
          <w:i/>
          <w:color w:val="000000"/>
          <w:sz w:val="20"/>
          <w:u w:val="single"/>
        </w:rPr>
        <w:t>Consumer</w:t>
      </w:r>
      <w:r>
        <w:rPr>
          <w:rFonts w:ascii="Times New Roman" w:hAnsi="Times New Roman"/>
          <w:color w:val="000000"/>
          <w:sz w:val="20"/>
        </w:rPr>
        <w:t xml:space="preserve"> – Loans to consumers include 1-4 family residential loans, auto loans, and other loans for recreational vehicles or other purposes. The Company utilizes a computer-based credit scoring analysis to supplement its policies and procedures in underwriting consumer loans. The Company’s loan policy addresses types of consumer loans that may be originated and the collateral, if secured, which must be perfected. The relatively smaller individual dollar amounts of consumer loans that are spread over numerous individual borrowers also minimizes the Company’s risk. The Company generally requires mortgage title insurance and hazard insurance on 1-4 family residential loans. All consumer loans are generally dependent on the risk characteristics of the borrower’s ability to repay the loan, a consideration of the debt to income ratio, employment and income stability, the loan-to-value ratio, and the age, condition and marketability of the collateral.</w:t>
      </w:r>
    </w:p>
    <w:p>
      <w:pPr>
        <w:pStyle w:val="TextBody"/>
        <w:spacing w:before="0" w:after="0"/>
        <w:jc w:val="left"/>
        <w:rPr/>
      </w:pPr>
      <w:r>
        <w:rPr/>
      </w:r>
    </w:p>
    <w:p>
      <w:pPr>
        <w:pStyle w:val="TextBody"/>
        <w:spacing w:before="0" w:after="0"/>
        <w:jc w:val="both"/>
        <w:rPr>
          <w:rFonts w:ascii="Times New Roman" w:hAnsi="Times New Roman"/>
          <w:b w:val="false"/>
          <w:i w:val="false"/>
          <w:caps w:val="false"/>
          <w:smallCaps w:val="false"/>
          <w:color w:val="000000"/>
          <w:sz w:val="20"/>
          <w:highlight w:val="white"/>
        </w:rPr>
      </w:pPr>
      <w:r>
        <w:rPr>
          <w:rFonts w:ascii="Times New Roman" w:hAnsi="Times New Roman"/>
          <w:b w:val="false"/>
          <w:i/>
          <w:caps w:val="false"/>
          <w:smallCaps w:val="false"/>
          <w:color w:val="000000"/>
          <w:sz w:val="20"/>
          <w:highlight w:val="white"/>
          <w:u w:val="single"/>
        </w:rPr>
        <w:t>Construction</w:t>
      </w:r>
      <w:r>
        <w:rPr>
          <w:rFonts w:ascii="Times New Roman" w:hAnsi="Times New Roman"/>
          <w:b w:val="false"/>
          <w:i w:val="false"/>
          <w:caps w:val="false"/>
          <w:smallCaps w:val="false"/>
          <w:color w:val="000000"/>
          <w:sz w:val="20"/>
          <w:highlight w:val="white"/>
        </w:rPr>
        <w:t xml:space="preserve"> – Loans for residential construction are for single-family properties to developers, builders, or end-users. These loans are underwritten based on estimates of costs and completed value of the project. Funds are advanced based on estimated percentage of completion for the project. Performance of these loans is affected by economic conditions as well as the ability to control costs of the projects. </w:t>
      </w:r>
    </w:p>
    <w:p>
      <w:pPr>
        <w:pStyle w:val="TextBody"/>
        <w:spacing w:before="0" w:after="0"/>
        <w:jc w:val="left"/>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r>
    </w:p>
    <w:p>
      <w:pPr>
        <w:pStyle w:val="TextBody"/>
        <w:spacing w:before="0" w:after="0"/>
        <w:jc w:val="both"/>
        <w:rPr>
          <w:rFonts w:ascii="Times New Roman" w:hAnsi="Times New Roman"/>
          <w:color w:val="000000"/>
          <w:sz w:val="20"/>
        </w:rPr>
      </w:pPr>
      <w:r>
        <w:rPr>
          <w:rFonts w:ascii="Times New Roman" w:hAnsi="Times New Roman"/>
          <w:color w:val="000000"/>
          <w:sz w:val="20"/>
        </w:rPr>
        <w:t>The ACL for loans was $39.6 million at March 31, 2023, compared to $39.3 million at December 31, 2022. The ACL for loans to loans held for investment was 1.42% at March 31, 2023 and 1.43% at December 31, 2022.</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table details the activity in the ACL for loans for the periods indicated (dollars in thousands). Allocation of a portion of the allowance to one category of loans does not preclude its availability to absorb losses in other categories.</w:t>
      </w:r>
    </w:p>
    <w:p>
      <w:pPr>
        <w:pStyle w:val="TextBody"/>
        <w:spacing w:before="0" w:after="0"/>
        <w:jc w:val="left"/>
        <w:rPr/>
      </w:pPr>
      <w:r>
        <w:rPr/>
      </w:r>
    </w:p>
    <w:tbl>
      <w:tblPr>
        <w:tblW w:w="10205" w:type="dxa"/>
        <w:jc w:val="left"/>
        <w:tblInd w:w="0" w:type="dxa"/>
        <w:tblCellMar>
          <w:top w:w="0" w:type="dxa"/>
          <w:left w:w="0" w:type="dxa"/>
          <w:bottom w:w="0" w:type="dxa"/>
          <w:right w:w="0" w:type="dxa"/>
        </w:tblCellMar>
      </w:tblPr>
      <w:tblGrid>
        <w:gridCol w:w="3470"/>
        <w:gridCol w:w="60"/>
        <w:gridCol w:w="151"/>
        <w:gridCol w:w="739"/>
        <w:gridCol w:w="60"/>
        <w:gridCol w:w="60"/>
        <w:gridCol w:w="156"/>
        <w:gridCol w:w="714"/>
        <w:gridCol w:w="95"/>
        <w:gridCol w:w="60"/>
        <w:gridCol w:w="265"/>
        <w:gridCol w:w="866"/>
        <w:gridCol w:w="95"/>
        <w:gridCol w:w="60"/>
        <w:gridCol w:w="237"/>
        <w:gridCol w:w="773"/>
        <w:gridCol w:w="95"/>
        <w:gridCol w:w="60"/>
        <w:gridCol w:w="300"/>
        <w:gridCol w:w="815"/>
        <w:gridCol w:w="60"/>
        <w:gridCol w:w="60"/>
        <w:gridCol w:w="197"/>
        <w:gridCol w:w="680"/>
        <w:gridCol w:w="77"/>
      </w:tblGrid>
      <w:tr>
        <w:trPr/>
        <w:tc>
          <w:tcPr>
            <w:tcW w:w="347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9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Beginning</w:t>
            </w:r>
          </w:p>
          <w:p>
            <w:pPr>
              <w:pStyle w:val="TableContents"/>
              <w:spacing w:before="0" w:after="0"/>
              <w:jc w:val="center"/>
              <w:rPr>
                <w:rFonts w:ascii="Times New Roman" w:hAnsi="Times New Roman"/>
                <w:b/>
                <w:sz w:val="20"/>
              </w:rPr>
            </w:pPr>
            <w:r>
              <w:rPr>
                <w:rFonts w:ascii="Times New Roman" w:hAnsi="Times New Roman"/>
                <w:b/>
                <w:sz w:val="20"/>
              </w:rPr>
              <w:t>Balance</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7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20"/>
              </w:rPr>
            </w:pPr>
            <w:r>
              <w:rPr>
                <w:rFonts w:ascii="Times New Roman" w:hAnsi="Times New Roman"/>
                <w:b/>
                <w:color w:val="000000"/>
                <w:sz w:val="20"/>
              </w:rPr>
              <w:t xml:space="preserve">Impact of </w:t>
            </w:r>
          </w:p>
          <w:p>
            <w:pPr>
              <w:pStyle w:val="TableContents"/>
              <w:spacing w:before="0" w:after="0"/>
              <w:jc w:val="center"/>
              <w:rPr>
                <w:rFonts w:ascii="Times New Roman" w:hAnsi="Times New Roman"/>
                <w:b/>
                <w:color w:val="000000"/>
                <w:sz w:val="20"/>
              </w:rPr>
            </w:pPr>
            <w:r>
              <w:rPr>
                <w:rFonts w:ascii="Times New Roman" w:hAnsi="Times New Roman"/>
                <w:b/>
                <w:color w:val="000000"/>
                <w:sz w:val="20"/>
              </w:rPr>
              <w:t xml:space="preserve">CECL </w:t>
            </w:r>
          </w:p>
          <w:p>
            <w:pPr>
              <w:pStyle w:val="TableContents"/>
              <w:spacing w:before="0" w:after="0"/>
              <w:jc w:val="center"/>
              <w:rPr>
                <w:rFonts w:ascii="Times New Roman" w:hAnsi="Times New Roman"/>
                <w:b/>
                <w:color w:val="000000"/>
                <w:sz w:val="20"/>
              </w:rPr>
            </w:pPr>
            <w:r>
              <w:rPr>
                <w:rFonts w:ascii="Times New Roman" w:hAnsi="Times New Roman"/>
                <w:b/>
                <w:color w:val="000000"/>
                <w:sz w:val="20"/>
              </w:rPr>
              <w:t>Adoption</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31"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Provision for</w:t>
            </w:r>
          </w:p>
          <w:p>
            <w:pPr>
              <w:pStyle w:val="TableContents"/>
              <w:spacing w:before="0" w:after="0"/>
              <w:jc w:val="center"/>
              <w:rPr>
                <w:rFonts w:ascii="Times New Roman" w:hAnsi="Times New Roman"/>
                <w:b/>
                <w:sz w:val="20"/>
              </w:rPr>
            </w:pPr>
            <w:r>
              <w:rPr>
                <w:rFonts w:ascii="Times New Roman" w:hAnsi="Times New Roman"/>
                <w:b/>
                <w:sz w:val="20"/>
              </w:rPr>
              <w:t>Credit</w:t>
            </w:r>
          </w:p>
          <w:p>
            <w:pPr>
              <w:pStyle w:val="TableContents"/>
              <w:spacing w:before="0" w:after="0"/>
              <w:jc w:val="center"/>
              <w:rPr>
                <w:rFonts w:ascii="Times New Roman" w:hAnsi="Times New Roman"/>
                <w:b/>
                <w:sz w:val="20"/>
              </w:rPr>
            </w:pPr>
            <w:r>
              <w:rPr>
                <w:rFonts w:ascii="Times New Roman" w:hAnsi="Times New Roman"/>
                <w:b/>
                <w:sz w:val="20"/>
              </w:rPr>
              <w:t>Losses</w:t>
            </w:r>
            <w:r>
              <w:rPr>
                <w:rFonts w:ascii="Times New Roman" w:hAnsi="Times New Roman"/>
                <w:b/>
                <w:position w:val="7"/>
                <w:sz w:val="16"/>
                <w:sz w:val="20"/>
              </w:rPr>
              <w:t>(1)</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01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Charge-offs</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center"/>
              <w:rPr/>
            </w:pPr>
            <w:r>
              <w:rPr/>
              <w:t> </w:t>
            </w:r>
          </w:p>
        </w:tc>
        <w:tc>
          <w:tcPr>
            <w:tcW w:w="1115" w:type="dxa"/>
            <w:gridSpan w:val="2"/>
            <w:tcBorders>
              <w:bottom w:val="single" w:sz="12" w:space="0" w:color="000000"/>
            </w:tcBorders>
            <w:shd w:fill="auto" w:val="clear"/>
            <w:tcMar>
              <w:bottom w:w="28" w:type="dxa"/>
            </w:tcMar>
            <w:vAlign w:val="bottom"/>
          </w:tcPr>
          <w:p>
            <w:pPr>
              <w:pStyle w:val="TableContents"/>
              <w:spacing w:before="0" w:after="283"/>
              <w:jc w:val="center"/>
              <w:rPr>
                <w:rFonts w:ascii="Times New Roman" w:hAnsi="Times New Roman"/>
                <w:b/>
              </w:rPr>
            </w:pPr>
            <w:r>
              <w:rPr>
                <w:rFonts w:ascii="Times New Roman" w:hAnsi="Times New Roman"/>
                <w:b/>
              </w:rPr>
              <w:t>Recoveries</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left"/>
              <w:rPr/>
            </w:pPr>
            <w:r>
              <w:rPr/>
              <w:t> </w:t>
            </w:r>
          </w:p>
        </w:tc>
        <w:tc>
          <w:tcPr>
            <w:tcW w:w="877"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Ending</w:t>
            </w:r>
          </w:p>
          <w:p>
            <w:pPr>
              <w:pStyle w:val="TableContents"/>
              <w:spacing w:before="0" w:after="0"/>
              <w:jc w:val="center"/>
              <w:rPr>
                <w:rFonts w:ascii="Times New Roman" w:hAnsi="Times New Roman"/>
                <w:b/>
                <w:sz w:val="20"/>
              </w:rPr>
            </w:pPr>
            <w:r>
              <w:rPr>
                <w:rFonts w:ascii="Times New Roman" w:hAnsi="Times New Roman"/>
                <w:b/>
                <w:sz w:val="20"/>
              </w:rPr>
              <w:t>Balance</w:t>
            </w:r>
          </w:p>
        </w:tc>
        <w:tc>
          <w:tcPr>
            <w:tcW w:w="77" w:type="dxa"/>
            <w:tcBorders/>
            <w:shd w:fill="auto" w:val="clear"/>
            <w:vAlign w:val="bottom"/>
          </w:tcPr>
          <w:p>
            <w:pPr>
              <w:pStyle w:val="TableContents"/>
              <w:spacing w:before="0" w:after="283"/>
              <w:jc w:val="left"/>
              <w:rPr/>
            </w:pPr>
            <w:r>
              <w:rPr/>
              <w:t> </w:t>
            </w:r>
          </w:p>
        </w:tc>
      </w:tr>
      <w:tr>
        <w:trPr/>
        <w:tc>
          <w:tcPr>
            <w:tcW w:w="3470" w:type="dxa"/>
            <w:tcBorders/>
            <w:shd w:fill="auto" w:val="clear"/>
            <w:vAlign w:val="bottom"/>
          </w:tcPr>
          <w:p>
            <w:pPr>
              <w:pStyle w:val="TableContents"/>
              <w:spacing w:before="0" w:after="0"/>
              <w:ind w:left="180" w:right="0" w:hanging="0"/>
              <w:jc w:val="left"/>
              <w:rPr>
                <w:rFonts w:ascii="Times New Roman" w:hAnsi="Times New Roman"/>
                <w:sz w:val="20"/>
                <w:u w:val="single"/>
              </w:rPr>
            </w:pPr>
            <w:r>
              <w:rPr>
                <w:rFonts w:ascii="Times New Roman" w:hAnsi="Times New Roman"/>
                <w:sz w:val="20"/>
                <w:u w:val="single"/>
              </w:rPr>
              <w:t>For the three months ended March 31, 2023</w:t>
            </w:r>
          </w:p>
        </w:tc>
        <w:tc>
          <w:tcPr>
            <w:tcW w:w="60" w:type="dxa"/>
            <w:tcBorders/>
            <w:shd w:fill="auto" w:val="clear"/>
            <w:vAlign w:val="bottom"/>
          </w:tcPr>
          <w:p>
            <w:pPr>
              <w:pStyle w:val="TableContents"/>
              <w:spacing w:before="0" w:after="283"/>
              <w:rPr/>
            </w:pPr>
            <w:r>
              <w:rPr/>
              <w:t> </w:t>
            </w:r>
          </w:p>
        </w:tc>
        <w:tc>
          <w:tcPr>
            <w:tcW w:w="89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70" w:type="dxa"/>
            <w:gridSpan w:val="2"/>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31" w:type="dxa"/>
            <w:gridSpan w:val="2"/>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010" w:type="dxa"/>
            <w:gridSpan w:val="2"/>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1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left"/>
              <w:rPr/>
            </w:pPr>
            <w:r>
              <w:rPr/>
              <w:t> </w:t>
            </w:r>
          </w:p>
        </w:tc>
        <w:tc>
          <w:tcPr>
            <w:tcW w:w="877" w:type="dxa"/>
            <w:gridSpan w:val="2"/>
            <w:tcBorders/>
            <w:shd w:fill="auto" w:val="clear"/>
            <w:vAlign w:val="bottom"/>
          </w:tcPr>
          <w:p>
            <w:pPr>
              <w:pStyle w:val="TableContents"/>
              <w:spacing w:before="0" w:after="283"/>
              <w:jc w:val="left"/>
              <w:rPr/>
            </w:pPr>
            <w:r>
              <w:rPr/>
              <w:t> </w:t>
            </w:r>
          </w:p>
        </w:tc>
        <w:tc>
          <w:tcPr>
            <w:tcW w:w="77" w:type="dxa"/>
            <w:tcBorders/>
            <w:shd w:fill="auto" w:val="clear"/>
            <w:vAlign w:val="bottom"/>
          </w:tcPr>
          <w:p>
            <w:pPr>
              <w:pStyle w:val="TableContents"/>
              <w:spacing w:before="0" w:after="283"/>
              <w:jc w:val="left"/>
              <w:rPr/>
            </w:pPr>
            <w:r>
              <w:rPr/>
              <w:t> </w:t>
            </w:r>
          </w:p>
        </w:tc>
      </w:tr>
      <w:tr>
        <w:trPr/>
        <w:tc>
          <w:tcPr>
            <w:tcW w:w="3470" w:type="dxa"/>
            <w:tcBorders/>
            <w:shd w:fill="CCEE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Commercial real estate</w:t>
            </w:r>
          </w:p>
        </w:tc>
        <w:tc>
          <w:tcPr>
            <w:tcW w:w="60" w:type="dxa"/>
            <w:tcBorders/>
            <w:shd w:fill="CCEEFF" w:val="clear"/>
            <w:vAlign w:val="bottom"/>
          </w:tcPr>
          <w:p>
            <w:pPr>
              <w:pStyle w:val="TableContents"/>
              <w:spacing w:before="0" w:after="283"/>
              <w:jc w:val="right"/>
              <w:rPr/>
            </w:pPr>
            <w:r>
              <w:rPr/>
              <w:t> </w:t>
            </w:r>
          </w:p>
        </w:tc>
        <w:tc>
          <w:tcPr>
            <w:tcW w:w="151" w:type="dxa"/>
            <w:tcBorders/>
            <w:shd w:fill="CCEEFF" w:val="clear"/>
            <w:vAlign w:val="bottom"/>
          </w:tcPr>
          <w:p>
            <w:pPr>
              <w:pStyle w:val="TableContents"/>
              <w:spacing w:before="0" w:after="283"/>
              <w:jc w:val="left"/>
              <w:rPr/>
            </w:pPr>
            <w:r>
              <w:rPr/>
              <w:t>$</w:t>
            </w:r>
          </w:p>
        </w:tc>
        <w:tc>
          <w:tcPr>
            <w:tcW w:w="739" w:type="dxa"/>
            <w:tcBorders/>
            <w:shd w:fill="CCEEFF" w:val="clear"/>
            <w:vAlign w:val="bottom"/>
          </w:tcPr>
          <w:p>
            <w:pPr>
              <w:pStyle w:val="TableContents"/>
              <w:spacing w:before="0" w:after="283"/>
              <w:jc w:val="right"/>
              <w:rPr/>
            </w:pPr>
            <w:r>
              <w:rPr/>
              <w:t>13,029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56" w:type="dxa"/>
            <w:tcBorders/>
            <w:shd w:fill="CCEEFF" w:val="clear"/>
            <w:vAlign w:val="bottom"/>
          </w:tcPr>
          <w:p>
            <w:pPr>
              <w:pStyle w:val="TableContents"/>
              <w:spacing w:before="0" w:after="283"/>
              <w:jc w:val="left"/>
              <w:rPr/>
            </w:pPr>
            <w:r>
              <w:rPr/>
              <w:t>$</w:t>
            </w:r>
          </w:p>
        </w:tc>
        <w:tc>
          <w:tcPr>
            <w:tcW w:w="714" w:type="dxa"/>
            <w:tcBorders/>
            <w:shd w:fill="CCEEFF" w:val="clear"/>
            <w:vAlign w:val="bottom"/>
          </w:tcPr>
          <w:p>
            <w:pPr>
              <w:pStyle w:val="TableContents"/>
              <w:spacing w:before="0" w:after="283"/>
              <w:jc w:val="right"/>
              <w:rPr/>
            </w:pPr>
            <w:r>
              <w:rPr/>
              <w:t>827</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65" w:type="dxa"/>
            <w:tcBorders/>
            <w:shd w:fill="CCEEFF" w:val="clear"/>
            <w:vAlign w:val="bottom"/>
          </w:tcPr>
          <w:p>
            <w:pPr>
              <w:pStyle w:val="TableContents"/>
              <w:spacing w:before="0" w:after="283"/>
              <w:jc w:val="left"/>
              <w:rPr/>
            </w:pPr>
            <w:r>
              <w:rPr/>
              <w:t>$</w:t>
            </w:r>
          </w:p>
        </w:tc>
        <w:tc>
          <w:tcPr>
            <w:tcW w:w="866" w:type="dxa"/>
            <w:tcBorders/>
            <w:shd w:fill="CCEEFF" w:val="clear"/>
            <w:vAlign w:val="bottom"/>
          </w:tcPr>
          <w:p>
            <w:pPr>
              <w:pStyle w:val="TableContents"/>
              <w:spacing w:before="0" w:after="283"/>
              <w:jc w:val="right"/>
              <w:rPr/>
            </w:pPr>
            <w:r>
              <w:rPr/>
              <w:t>(475</w:t>
            </w:r>
          </w:p>
        </w:tc>
        <w:tc>
          <w:tcPr>
            <w:tcW w:w="95" w:type="dxa"/>
            <w:tcBorders/>
            <w:shd w:fill="CCEEFF" w:val="clear"/>
            <w:vAlign w:val="bottom"/>
          </w:tcPr>
          <w:p>
            <w:pPr>
              <w:pStyle w:val="TableContents"/>
              <w:spacing w:before="0" w:after="283"/>
              <w:jc w:val="left"/>
              <w:rPr/>
            </w:pPr>
            <w:r>
              <w:rPr/>
              <w:t>)</w:t>
            </w:r>
          </w:p>
        </w:tc>
        <w:tc>
          <w:tcPr>
            <w:tcW w:w="60" w:type="dxa"/>
            <w:tcBorders/>
            <w:shd w:fill="CCEEFF" w:val="clear"/>
            <w:vAlign w:val="bottom"/>
          </w:tcPr>
          <w:p>
            <w:pPr>
              <w:pStyle w:val="TableContents"/>
              <w:spacing w:before="0" w:after="283"/>
              <w:jc w:val="right"/>
              <w:rPr/>
            </w:pPr>
            <w:r>
              <w:rPr/>
              <w:t> </w:t>
            </w:r>
          </w:p>
        </w:tc>
        <w:tc>
          <w:tcPr>
            <w:tcW w:w="237" w:type="dxa"/>
            <w:tcBorders/>
            <w:shd w:fill="CCEEFF" w:val="clear"/>
            <w:vAlign w:val="bottom"/>
          </w:tcPr>
          <w:p>
            <w:pPr>
              <w:pStyle w:val="TableContents"/>
              <w:spacing w:before="0" w:after="283"/>
              <w:jc w:val="left"/>
              <w:rPr/>
            </w:pPr>
            <w:r>
              <w:rPr/>
              <w:t>$</w:t>
            </w:r>
          </w:p>
        </w:tc>
        <w:tc>
          <w:tcPr>
            <w:tcW w:w="773"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300" w:type="dxa"/>
            <w:tcBorders/>
            <w:shd w:fill="CCEEFF" w:val="clear"/>
            <w:vAlign w:val="bottom"/>
          </w:tcPr>
          <w:p>
            <w:pPr>
              <w:pStyle w:val="TableContents"/>
              <w:spacing w:before="0" w:after="283"/>
              <w:jc w:val="left"/>
              <w:rPr/>
            </w:pPr>
            <w:r>
              <w:rPr/>
              <w:t>$</w:t>
            </w:r>
          </w:p>
        </w:tc>
        <w:tc>
          <w:tcPr>
            <w:tcW w:w="815"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97" w:type="dxa"/>
            <w:tcBorders/>
            <w:shd w:fill="CCEEFF" w:val="clear"/>
            <w:vAlign w:val="bottom"/>
          </w:tcPr>
          <w:p>
            <w:pPr>
              <w:pStyle w:val="TableContents"/>
              <w:spacing w:before="0" w:after="283"/>
              <w:jc w:val="left"/>
              <w:rPr/>
            </w:pPr>
            <w:r>
              <w:rPr/>
              <w:t xml:space="preserve">$ </w:t>
            </w:r>
          </w:p>
        </w:tc>
        <w:tc>
          <w:tcPr>
            <w:tcW w:w="680" w:type="dxa"/>
            <w:tcBorders/>
            <w:shd w:fill="CCEEFF" w:val="clear"/>
            <w:vAlign w:val="bottom"/>
          </w:tcPr>
          <w:p>
            <w:pPr>
              <w:pStyle w:val="TableContents"/>
              <w:spacing w:before="0" w:after="283"/>
              <w:jc w:val="right"/>
              <w:rPr/>
            </w:pPr>
            <w:r>
              <w:rPr/>
              <w:t>13,381</w:t>
            </w:r>
          </w:p>
        </w:tc>
        <w:tc>
          <w:tcPr>
            <w:tcW w:w="77" w:type="dxa"/>
            <w:tcBorders/>
            <w:shd w:fill="CCEEFF" w:val="clear"/>
            <w:vAlign w:val="bottom"/>
          </w:tcPr>
          <w:p>
            <w:pPr>
              <w:pStyle w:val="TableContents"/>
              <w:spacing w:before="0" w:after="283"/>
              <w:jc w:val="left"/>
              <w:rPr/>
            </w:pPr>
            <w:r>
              <w:rPr/>
              <w:t> </w:t>
            </w:r>
          </w:p>
        </w:tc>
      </w:tr>
      <w:tr>
        <w:trPr/>
        <w:tc>
          <w:tcPr>
            <w:tcW w:w="3470" w:type="dxa"/>
            <w:tcBorders/>
            <w:shd w:fill="auto"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Commercial - specialized</w:t>
            </w:r>
          </w:p>
        </w:tc>
        <w:tc>
          <w:tcPr>
            <w:tcW w:w="60" w:type="dxa"/>
            <w:tcBorders/>
            <w:shd w:fill="auto" w:val="clear"/>
            <w:vAlign w:val="bottom"/>
          </w:tcPr>
          <w:p>
            <w:pPr>
              <w:pStyle w:val="TableContents"/>
              <w:spacing w:before="0" w:after="283"/>
              <w:jc w:val="right"/>
              <w:rPr/>
            </w:pPr>
            <w:r>
              <w:rPr/>
              <w:t> </w:t>
            </w:r>
          </w:p>
        </w:tc>
        <w:tc>
          <w:tcPr>
            <w:tcW w:w="151" w:type="dxa"/>
            <w:tcBorders/>
            <w:shd w:fill="auto" w:val="clear"/>
            <w:vAlign w:val="bottom"/>
          </w:tcPr>
          <w:p>
            <w:pPr>
              <w:pStyle w:val="TableContents"/>
              <w:spacing w:before="0" w:after="283"/>
              <w:jc w:val="left"/>
              <w:rPr/>
            </w:pPr>
            <w:r>
              <w:rPr/>
              <w:t> </w:t>
            </w:r>
          </w:p>
        </w:tc>
        <w:tc>
          <w:tcPr>
            <w:tcW w:w="739" w:type="dxa"/>
            <w:tcBorders/>
            <w:shd w:fill="auto" w:val="clear"/>
            <w:vAlign w:val="bottom"/>
          </w:tcPr>
          <w:p>
            <w:pPr>
              <w:pStyle w:val="TableContents"/>
              <w:spacing w:before="0" w:after="283"/>
              <w:jc w:val="right"/>
              <w:rPr/>
            </w:pPr>
            <w:r>
              <w:rPr/>
              <w:t>3,425</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56" w:type="dxa"/>
            <w:tcBorders/>
            <w:shd w:fill="auto" w:val="clear"/>
            <w:vAlign w:val="bottom"/>
          </w:tcPr>
          <w:p>
            <w:pPr>
              <w:pStyle w:val="TableContents"/>
              <w:spacing w:before="0" w:after="283"/>
              <w:jc w:val="left"/>
              <w:rPr/>
            </w:pPr>
            <w:r>
              <w:rPr/>
              <w:t> </w:t>
            </w:r>
          </w:p>
        </w:tc>
        <w:tc>
          <w:tcPr>
            <w:tcW w:w="714" w:type="dxa"/>
            <w:tcBorders/>
            <w:shd w:fill="auto" w:val="clear"/>
            <w:vAlign w:val="bottom"/>
          </w:tcPr>
          <w:p>
            <w:pPr>
              <w:pStyle w:val="TableContents"/>
              <w:spacing w:before="0" w:after="283"/>
              <w:jc w:val="right"/>
              <w:rPr/>
            </w:pPr>
            <w:r>
              <w:rPr/>
              <w:t>33</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65" w:type="dxa"/>
            <w:tcBorders/>
            <w:shd w:fill="auto" w:val="clear"/>
            <w:vAlign w:val="bottom"/>
          </w:tcPr>
          <w:p>
            <w:pPr>
              <w:pStyle w:val="TableContents"/>
              <w:spacing w:before="0" w:after="283"/>
              <w:jc w:val="left"/>
              <w:rPr/>
            </w:pPr>
            <w:r>
              <w:rPr/>
              <w:t> </w:t>
            </w:r>
          </w:p>
        </w:tc>
        <w:tc>
          <w:tcPr>
            <w:tcW w:w="866" w:type="dxa"/>
            <w:tcBorders/>
            <w:shd w:fill="auto" w:val="clear"/>
            <w:vAlign w:val="bottom"/>
          </w:tcPr>
          <w:p>
            <w:pPr>
              <w:pStyle w:val="TableContents"/>
              <w:spacing w:before="0" w:after="283"/>
              <w:jc w:val="right"/>
              <w:rPr/>
            </w:pPr>
            <w:r>
              <w:rPr/>
              <w:t>(11</w:t>
            </w:r>
          </w:p>
        </w:tc>
        <w:tc>
          <w:tcPr>
            <w:tcW w:w="95" w:type="dxa"/>
            <w:tcBorders/>
            <w:shd w:fill="auto" w:val="clear"/>
            <w:vAlign w:val="bottom"/>
          </w:tcPr>
          <w:p>
            <w:pPr>
              <w:pStyle w:val="TableContents"/>
              <w:spacing w:before="0" w:after="283"/>
              <w:jc w:val="left"/>
              <w:rPr/>
            </w:pPr>
            <w:r>
              <w:rPr/>
              <w:t>)</w:t>
            </w:r>
          </w:p>
        </w:tc>
        <w:tc>
          <w:tcPr>
            <w:tcW w:w="60" w:type="dxa"/>
            <w:tcBorders/>
            <w:shd w:fill="auto" w:val="clear"/>
            <w:vAlign w:val="bottom"/>
          </w:tcPr>
          <w:p>
            <w:pPr>
              <w:pStyle w:val="TableContents"/>
              <w:spacing w:before="0" w:after="283"/>
              <w:jc w:val="right"/>
              <w:rPr/>
            </w:pPr>
            <w:r>
              <w:rPr/>
              <w:t> </w:t>
            </w:r>
          </w:p>
        </w:tc>
        <w:tc>
          <w:tcPr>
            <w:tcW w:w="237" w:type="dxa"/>
            <w:tcBorders/>
            <w:shd w:fill="auto" w:val="clear"/>
            <w:vAlign w:val="bottom"/>
          </w:tcPr>
          <w:p>
            <w:pPr>
              <w:pStyle w:val="TableContents"/>
              <w:spacing w:before="0" w:after="283"/>
              <w:jc w:val="left"/>
              <w:rPr/>
            </w:pPr>
            <w:r>
              <w:rPr/>
              <w:t> </w:t>
            </w:r>
          </w:p>
        </w:tc>
        <w:tc>
          <w:tcPr>
            <w:tcW w:w="773" w:type="dxa"/>
            <w:tcBorders/>
            <w:shd w:fill="auto" w:val="cle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300" w:type="dxa"/>
            <w:tcBorders/>
            <w:shd w:fill="auto" w:val="clear"/>
            <w:vAlign w:val="bottom"/>
          </w:tcPr>
          <w:p>
            <w:pPr>
              <w:pStyle w:val="TableContents"/>
              <w:spacing w:before="0" w:after="283"/>
              <w:jc w:val="left"/>
              <w:rPr/>
            </w:pPr>
            <w:r>
              <w:rPr/>
              <w:t> </w:t>
            </w:r>
          </w:p>
        </w:tc>
        <w:tc>
          <w:tcPr>
            <w:tcW w:w="815" w:type="dxa"/>
            <w:tcBorders/>
            <w:shd w:fill="auto" w:val="clear"/>
            <w:vAlign w:val="bottom"/>
          </w:tcPr>
          <w:p>
            <w:pPr>
              <w:pStyle w:val="TableContents"/>
              <w:spacing w:before="0" w:after="283"/>
              <w:jc w:val="right"/>
              <w:rPr/>
            </w:pPr>
            <w:r>
              <w:rPr/>
              <w:t>63</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97" w:type="dxa"/>
            <w:tcBorders/>
            <w:shd w:fill="auto" w:val="clear"/>
            <w:vAlign w:val="bottom"/>
          </w:tcPr>
          <w:p>
            <w:pPr>
              <w:pStyle w:val="TableContents"/>
              <w:spacing w:before="0" w:after="283"/>
              <w:jc w:val="left"/>
              <w:rPr/>
            </w:pPr>
            <w:r>
              <w:rPr/>
              <w:t> </w:t>
            </w:r>
          </w:p>
        </w:tc>
        <w:tc>
          <w:tcPr>
            <w:tcW w:w="680" w:type="dxa"/>
            <w:tcBorders/>
            <w:shd w:fill="auto" w:val="clear"/>
            <w:vAlign w:val="bottom"/>
          </w:tcPr>
          <w:p>
            <w:pPr>
              <w:pStyle w:val="TableContents"/>
              <w:spacing w:before="0" w:after="283"/>
              <w:jc w:val="right"/>
              <w:rPr/>
            </w:pPr>
            <w:r>
              <w:rPr/>
              <w:t>3,510</w:t>
            </w:r>
          </w:p>
        </w:tc>
        <w:tc>
          <w:tcPr>
            <w:tcW w:w="77" w:type="dxa"/>
            <w:tcBorders/>
            <w:shd w:fill="auto" w:val="clear"/>
            <w:vAlign w:val="bottom"/>
          </w:tcPr>
          <w:p>
            <w:pPr>
              <w:pStyle w:val="TableContents"/>
              <w:spacing w:before="0" w:after="283"/>
              <w:jc w:val="left"/>
              <w:rPr/>
            </w:pPr>
            <w:r>
              <w:rPr/>
              <w:t> </w:t>
            </w:r>
          </w:p>
        </w:tc>
      </w:tr>
      <w:tr>
        <w:trPr/>
        <w:tc>
          <w:tcPr>
            <w:tcW w:w="3470" w:type="dxa"/>
            <w:tcBorders/>
            <w:shd w:fill="CCEE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Commercial - general</w:t>
            </w:r>
          </w:p>
        </w:tc>
        <w:tc>
          <w:tcPr>
            <w:tcW w:w="60" w:type="dxa"/>
            <w:tcBorders/>
            <w:shd w:fill="CCEEFF" w:val="clear"/>
            <w:vAlign w:val="bottom"/>
          </w:tcPr>
          <w:p>
            <w:pPr>
              <w:pStyle w:val="TableContents"/>
              <w:spacing w:before="0" w:after="283"/>
              <w:jc w:val="right"/>
              <w:rPr/>
            </w:pPr>
            <w:r>
              <w:rPr/>
              <w:t> </w:t>
            </w:r>
          </w:p>
        </w:tc>
        <w:tc>
          <w:tcPr>
            <w:tcW w:w="151" w:type="dxa"/>
            <w:tcBorders/>
            <w:shd w:fill="CCEEFF" w:val="clear"/>
            <w:vAlign w:val="bottom"/>
          </w:tcPr>
          <w:p>
            <w:pPr>
              <w:pStyle w:val="TableContents"/>
              <w:spacing w:before="0" w:after="283"/>
              <w:jc w:val="left"/>
              <w:rPr/>
            </w:pPr>
            <w:r>
              <w:rPr/>
              <w:t> </w:t>
            </w:r>
          </w:p>
        </w:tc>
        <w:tc>
          <w:tcPr>
            <w:tcW w:w="739" w:type="dxa"/>
            <w:tcBorders/>
            <w:shd w:fill="CCEEFF" w:val="clear"/>
            <w:vAlign w:val="bottom"/>
          </w:tcPr>
          <w:p>
            <w:pPr>
              <w:pStyle w:val="TableContents"/>
              <w:spacing w:before="0" w:after="283"/>
              <w:jc w:val="right"/>
              <w:rPr/>
            </w:pPr>
            <w:r>
              <w:rPr/>
              <w:t>9,215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56" w:type="dxa"/>
            <w:tcBorders/>
            <w:shd w:fill="CCEEFF" w:val="clear"/>
            <w:vAlign w:val="bottom"/>
          </w:tcPr>
          <w:p>
            <w:pPr>
              <w:pStyle w:val="TableContents"/>
              <w:spacing w:before="0" w:after="283"/>
              <w:jc w:val="left"/>
              <w:rPr/>
            </w:pPr>
            <w:r>
              <w:rPr/>
              <w:t> </w:t>
            </w:r>
          </w:p>
        </w:tc>
        <w:tc>
          <w:tcPr>
            <w:tcW w:w="714" w:type="dxa"/>
            <w:tcBorders/>
            <w:shd w:fill="CCEEFF" w:val="clear"/>
            <w:vAlign w:val="bottom"/>
          </w:tcPr>
          <w:p>
            <w:pPr>
              <w:pStyle w:val="TableContents"/>
              <w:spacing w:before="0" w:after="283"/>
              <w:jc w:val="right"/>
              <w:rPr/>
            </w:pPr>
            <w:r>
              <w:rPr/>
              <w:t>(2,574</w:t>
            </w:r>
          </w:p>
        </w:tc>
        <w:tc>
          <w:tcPr>
            <w:tcW w:w="95" w:type="dxa"/>
            <w:tcBorders/>
            <w:shd w:fill="CCEEFF" w:val="clear"/>
            <w:vAlign w:val="bottom"/>
          </w:tcPr>
          <w:p>
            <w:pPr>
              <w:pStyle w:val="TableContents"/>
              <w:spacing w:before="0" w:after="283"/>
              <w:jc w:val="left"/>
              <w:rPr/>
            </w:pPr>
            <w:r>
              <w:rPr/>
              <w:t>)</w:t>
            </w:r>
          </w:p>
        </w:tc>
        <w:tc>
          <w:tcPr>
            <w:tcW w:w="60" w:type="dxa"/>
            <w:tcBorders/>
            <w:shd w:fill="CCEEFF" w:val="clear"/>
            <w:vAlign w:val="bottom"/>
          </w:tcPr>
          <w:p>
            <w:pPr>
              <w:pStyle w:val="TableContents"/>
              <w:spacing w:before="0" w:after="283"/>
              <w:jc w:val="right"/>
              <w:rPr/>
            </w:pPr>
            <w:r>
              <w:rPr/>
              <w:t> </w:t>
            </w:r>
          </w:p>
        </w:tc>
        <w:tc>
          <w:tcPr>
            <w:tcW w:w="265" w:type="dxa"/>
            <w:tcBorders/>
            <w:shd w:fill="CCEEFF" w:val="clear"/>
            <w:vAlign w:val="bottom"/>
          </w:tcPr>
          <w:p>
            <w:pPr>
              <w:pStyle w:val="TableContents"/>
              <w:spacing w:before="0" w:after="283"/>
              <w:jc w:val="left"/>
              <w:rPr/>
            </w:pPr>
            <w:r>
              <w:rPr/>
              <w:t> </w:t>
            </w:r>
          </w:p>
        </w:tc>
        <w:tc>
          <w:tcPr>
            <w:tcW w:w="866" w:type="dxa"/>
            <w:tcBorders/>
            <w:shd w:fill="CCEEFF" w:val="clear"/>
            <w:vAlign w:val="bottom"/>
          </w:tcPr>
          <w:p>
            <w:pPr>
              <w:pStyle w:val="TableContents"/>
              <w:spacing w:before="0" w:after="283"/>
              <w:jc w:val="right"/>
              <w:rPr/>
            </w:pPr>
            <w:r>
              <w:rPr/>
              <w:t>(237</w:t>
            </w:r>
          </w:p>
        </w:tc>
        <w:tc>
          <w:tcPr>
            <w:tcW w:w="95" w:type="dxa"/>
            <w:tcBorders/>
            <w:shd w:fill="CCEEFF" w:val="clear"/>
            <w:vAlign w:val="bottom"/>
          </w:tcPr>
          <w:p>
            <w:pPr>
              <w:pStyle w:val="TableContents"/>
              <w:spacing w:before="0" w:after="283"/>
              <w:jc w:val="left"/>
              <w:rPr/>
            </w:pPr>
            <w:r>
              <w:rPr/>
              <w:t>)</w:t>
            </w:r>
          </w:p>
        </w:tc>
        <w:tc>
          <w:tcPr>
            <w:tcW w:w="60" w:type="dxa"/>
            <w:tcBorders/>
            <w:shd w:fill="CCEEFF" w:val="clear"/>
            <w:vAlign w:val="bottom"/>
          </w:tcPr>
          <w:p>
            <w:pPr>
              <w:pStyle w:val="TableContents"/>
              <w:spacing w:before="0" w:after="283"/>
              <w:jc w:val="right"/>
              <w:rPr/>
            </w:pPr>
            <w:r>
              <w:rPr/>
              <w:t> </w:t>
            </w:r>
          </w:p>
        </w:tc>
        <w:tc>
          <w:tcPr>
            <w:tcW w:w="237" w:type="dxa"/>
            <w:tcBorders/>
            <w:shd w:fill="CCEEFF" w:val="clear"/>
            <w:vAlign w:val="bottom"/>
          </w:tcPr>
          <w:p>
            <w:pPr>
              <w:pStyle w:val="TableContents"/>
              <w:spacing w:before="0" w:after="283"/>
              <w:jc w:val="left"/>
              <w:rPr/>
            </w:pPr>
            <w:r>
              <w:rPr/>
              <w:t> </w:t>
            </w:r>
          </w:p>
        </w:tc>
        <w:tc>
          <w:tcPr>
            <w:tcW w:w="773" w:type="dxa"/>
            <w:tcBorders/>
            <w:shd w:fill="CCEEFF" w:val="clear"/>
            <w:vAlign w:val="bottom"/>
          </w:tcPr>
          <w:p>
            <w:pPr>
              <w:pStyle w:val="TableContents"/>
              <w:spacing w:before="0" w:after="283"/>
              <w:jc w:val="right"/>
              <w:rPr/>
            </w:pPr>
            <w:r>
              <w:rPr/>
              <w:t>(199</w:t>
            </w:r>
          </w:p>
        </w:tc>
        <w:tc>
          <w:tcPr>
            <w:tcW w:w="95" w:type="dxa"/>
            <w:tcBorders/>
            <w:shd w:fill="CCEEFF" w:val="clear"/>
            <w:vAlign w:val="bottom"/>
          </w:tcPr>
          <w:p>
            <w:pPr>
              <w:pStyle w:val="TableContents"/>
              <w:spacing w:before="0" w:after="283"/>
              <w:jc w:val="left"/>
              <w:rPr/>
            </w:pPr>
            <w:r>
              <w:rPr/>
              <w:t>)</w:t>
            </w:r>
          </w:p>
        </w:tc>
        <w:tc>
          <w:tcPr>
            <w:tcW w:w="60" w:type="dxa"/>
            <w:tcBorders/>
            <w:shd w:fill="CCEEFF" w:val="clear"/>
            <w:vAlign w:val="bottom"/>
          </w:tcPr>
          <w:p>
            <w:pPr>
              <w:pStyle w:val="TableContents"/>
              <w:spacing w:before="0" w:after="283"/>
              <w:jc w:val="right"/>
              <w:rPr/>
            </w:pPr>
            <w:r>
              <w:rPr/>
              <w:t> </w:t>
            </w:r>
          </w:p>
        </w:tc>
        <w:tc>
          <w:tcPr>
            <w:tcW w:w="300" w:type="dxa"/>
            <w:tcBorders/>
            <w:shd w:fill="CCEEFF" w:val="clear"/>
            <w:vAlign w:val="bottom"/>
          </w:tcPr>
          <w:p>
            <w:pPr>
              <w:pStyle w:val="TableContents"/>
              <w:spacing w:before="0" w:after="283"/>
              <w:jc w:val="left"/>
              <w:rPr/>
            </w:pPr>
            <w:r>
              <w:rPr/>
              <w:t> </w:t>
            </w:r>
          </w:p>
        </w:tc>
        <w:tc>
          <w:tcPr>
            <w:tcW w:w="815" w:type="dxa"/>
            <w:tcBorders/>
            <w:shd w:fill="CCEEFF" w:val="clear"/>
            <w:vAlign w:val="bottom"/>
          </w:tcPr>
          <w:p>
            <w:pPr>
              <w:pStyle w:val="TableContents"/>
              <w:spacing w:before="0" w:after="283"/>
              <w:jc w:val="right"/>
              <w:rPr/>
            </w:pPr>
            <w:r>
              <w:rPr/>
              <w:t>62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97" w:type="dxa"/>
            <w:tcBorders/>
            <w:shd w:fill="CCEEFF" w:val="clear"/>
            <w:vAlign w:val="bottom"/>
          </w:tcPr>
          <w:p>
            <w:pPr>
              <w:pStyle w:val="TableContents"/>
              <w:spacing w:before="0" w:after="283"/>
              <w:jc w:val="left"/>
              <w:rPr/>
            </w:pPr>
            <w:r>
              <w:rPr/>
              <w:t> </w:t>
            </w:r>
          </w:p>
        </w:tc>
        <w:tc>
          <w:tcPr>
            <w:tcW w:w="680" w:type="dxa"/>
            <w:tcBorders/>
            <w:shd w:fill="CCEEFF" w:val="clear"/>
            <w:vAlign w:val="bottom"/>
          </w:tcPr>
          <w:p>
            <w:pPr>
              <w:pStyle w:val="TableContents"/>
              <w:spacing w:before="0" w:after="283"/>
              <w:jc w:val="right"/>
              <w:rPr/>
            </w:pPr>
            <w:r>
              <w:rPr/>
              <w:t>6,267</w:t>
            </w:r>
          </w:p>
        </w:tc>
        <w:tc>
          <w:tcPr>
            <w:tcW w:w="77" w:type="dxa"/>
            <w:tcBorders/>
            <w:shd w:fill="CCEEFF" w:val="clear"/>
            <w:vAlign w:val="bottom"/>
          </w:tcPr>
          <w:p>
            <w:pPr>
              <w:pStyle w:val="TableContents"/>
              <w:spacing w:before="0" w:after="283"/>
              <w:jc w:val="left"/>
              <w:rPr/>
            </w:pPr>
            <w:r>
              <w:rPr/>
              <w:t> </w:t>
            </w:r>
          </w:p>
        </w:tc>
      </w:tr>
      <w:tr>
        <w:trPr/>
        <w:tc>
          <w:tcPr>
            <w:tcW w:w="3470" w:type="dxa"/>
            <w:tcBorders/>
            <w:shd w:fill="auto"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Consumer:</w:t>
            </w:r>
          </w:p>
        </w:tc>
        <w:tc>
          <w:tcPr>
            <w:tcW w:w="60" w:type="dxa"/>
            <w:tcBorders/>
            <w:shd w:fill="auto" w:val="clear"/>
            <w:vAlign w:val="bottom"/>
          </w:tcPr>
          <w:p>
            <w:pPr>
              <w:pStyle w:val="TableContents"/>
              <w:spacing w:before="0" w:after="283"/>
              <w:jc w:val="right"/>
              <w:rPr/>
            </w:pPr>
            <w:r>
              <w:rPr/>
              <w:t> </w:t>
            </w:r>
          </w:p>
        </w:tc>
        <w:tc>
          <w:tcPr>
            <w:tcW w:w="151" w:type="dxa"/>
            <w:tcBorders/>
            <w:shd w:fill="auto" w:val="clear"/>
            <w:vAlign w:val="bottom"/>
          </w:tcPr>
          <w:p>
            <w:pPr>
              <w:pStyle w:val="TableContents"/>
              <w:spacing w:before="0" w:after="283"/>
              <w:jc w:val="left"/>
              <w:rPr/>
            </w:pPr>
            <w:r>
              <w:rPr/>
              <w:t> </w:t>
            </w:r>
          </w:p>
        </w:tc>
        <w:tc>
          <w:tcPr>
            <w:tcW w:w="739"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56" w:type="dxa"/>
            <w:tcBorders/>
            <w:shd w:fill="auto" w:val="clear"/>
            <w:vAlign w:val="bottom"/>
          </w:tcPr>
          <w:p>
            <w:pPr>
              <w:pStyle w:val="TableContents"/>
              <w:spacing w:before="0" w:after="283"/>
              <w:jc w:val="left"/>
              <w:rPr/>
            </w:pPr>
            <w:r>
              <w:rPr/>
              <w:t> </w:t>
            </w:r>
          </w:p>
        </w:tc>
        <w:tc>
          <w:tcPr>
            <w:tcW w:w="714"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65" w:type="dxa"/>
            <w:tcBorders/>
            <w:shd w:fill="auto" w:val="clear"/>
            <w:vAlign w:val="bottom"/>
          </w:tcPr>
          <w:p>
            <w:pPr>
              <w:pStyle w:val="TableContents"/>
              <w:spacing w:before="0" w:after="283"/>
              <w:jc w:val="left"/>
              <w:rPr/>
            </w:pPr>
            <w:r>
              <w:rPr/>
              <w:t> </w:t>
            </w:r>
          </w:p>
        </w:tc>
        <w:tc>
          <w:tcPr>
            <w:tcW w:w="866"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37" w:type="dxa"/>
            <w:tcBorders/>
            <w:shd w:fill="auto" w:val="clear"/>
            <w:vAlign w:val="bottom"/>
          </w:tcPr>
          <w:p>
            <w:pPr>
              <w:pStyle w:val="TableContents"/>
              <w:spacing w:before="0" w:after="283"/>
              <w:jc w:val="left"/>
              <w:rPr/>
            </w:pPr>
            <w:r>
              <w:rPr/>
              <w:t> </w:t>
            </w:r>
          </w:p>
        </w:tc>
        <w:tc>
          <w:tcPr>
            <w:tcW w:w="773"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300" w:type="dxa"/>
            <w:tcBorders/>
            <w:shd w:fill="auto" w:val="clear"/>
            <w:vAlign w:val="bottom"/>
          </w:tcPr>
          <w:p>
            <w:pPr>
              <w:pStyle w:val="TableContents"/>
              <w:spacing w:before="0" w:after="283"/>
              <w:jc w:val="left"/>
              <w:rPr/>
            </w:pPr>
            <w:r>
              <w:rPr/>
              <w:t> </w:t>
            </w:r>
          </w:p>
        </w:tc>
        <w:tc>
          <w:tcPr>
            <w:tcW w:w="81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97" w:type="dxa"/>
            <w:tcBorders/>
            <w:shd w:fill="auto" w:val="clear"/>
            <w:vAlign w:val="bottom"/>
          </w:tcPr>
          <w:p>
            <w:pPr>
              <w:pStyle w:val="TableContents"/>
              <w:spacing w:before="0" w:after="283"/>
              <w:jc w:val="left"/>
              <w:rPr/>
            </w:pPr>
            <w:r>
              <w:rPr/>
              <w:t> </w:t>
            </w:r>
          </w:p>
        </w:tc>
        <w:tc>
          <w:tcPr>
            <w:tcW w:w="680" w:type="dxa"/>
            <w:tcBorders/>
            <w:shd w:fill="auto" w:val="clear"/>
            <w:vAlign w:val="bottom"/>
          </w:tcPr>
          <w:p>
            <w:pPr>
              <w:pStyle w:val="TableContents"/>
              <w:spacing w:before="0" w:after="283"/>
              <w:jc w:val="right"/>
              <w:rPr/>
            </w:pPr>
            <w:r>
              <w:rPr/>
              <w:t> </w:t>
            </w:r>
          </w:p>
        </w:tc>
        <w:tc>
          <w:tcPr>
            <w:tcW w:w="77" w:type="dxa"/>
            <w:tcBorders/>
            <w:shd w:fill="auto" w:val="clear"/>
            <w:vAlign w:val="bottom"/>
          </w:tcPr>
          <w:p>
            <w:pPr>
              <w:pStyle w:val="TableContents"/>
              <w:spacing w:before="0" w:after="283"/>
              <w:jc w:val="left"/>
              <w:rPr/>
            </w:pPr>
            <w:r>
              <w:rPr/>
              <w:t> </w:t>
            </w:r>
          </w:p>
        </w:tc>
      </w:tr>
      <w:tr>
        <w:trPr/>
        <w:tc>
          <w:tcPr>
            <w:tcW w:w="3470" w:type="dxa"/>
            <w:tcBorders/>
            <w:shd w:fill="CCEEFF" w:val="clear"/>
            <w:vAlign w:val="bottom"/>
          </w:tcPr>
          <w:p>
            <w:pPr>
              <w:pStyle w:val="TableContents"/>
              <w:spacing w:before="0" w:after="0"/>
              <w:ind w:left="288" w:right="0" w:hanging="144"/>
              <w:jc w:val="left"/>
              <w:rPr>
                <w:rFonts w:ascii="Times New Roman" w:hAnsi="Times New Roman"/>
                <w:sz w:val="20"/>
              </w:rPr>
            </w:pPr>
            <w:r>
              <w:rPr>
                <w:rFonts w:ascii="Times New Roman" w:hAnsi="Times New Roman"/>
                <w:sz w:val="20"/>
              </w:rPr>
              <w:t>1-4 family residential</w:t>
            </w:r>
          </w:p>
        </w:tc>
        <w:tc>
          <w:tcPr>
            <w:tcW w:w="60" w:type="dxa"/>
            <w:tcBorders/>
            <w:shd w:fill="CCEEFF" w:val="clear"/>
            <w:vAlign w:val="bottom"/>
          </w:tcPr>
          <w:p>
            <w:pPr>
              <w:pStyle w:val="TableContents"/>
              <w:spacing w:before="0" w:after="283"/>
              <w:jc w:val="right"/>
              <w:rPr/>
            </w:pPr>
            <w:r>
              <w:rPr/>
              <w:t> </w:t>
            </w:r>
          </w:p>
        </w:tc>
        <w:tc>
          <w:tcPr>
            <w:tcW w:w="151" w:type="dxa"/>
            <w:tcBorders/>
            <w:shd w:fill="CCEEFF" w:val="clear"/>
            <w:vAlign w:val="bottom"/>
          </w:tcPr>
          <w:p>
            <w:pPr>
              <w:pStyle w:val="TableContents"/>
              <w:spacing w:before="0" w:after="283"/>
              <w:jc w:val="left"/>
              <w:rPr/>
            </w:pPr>
            <w:r>
              <w:rPr/>
              <w:t> </w:t>
            </w:r>
          </w:p>
        </w:tc>
        <w:tc>
          <w:tcPr>
            <w:tcW w:w="739" w:type="dxa"/>
            <w:tcBorders/>
            <w:shd w:fill="CCEEFF" w:val="clear"/>
            <w:vAlign w:val="bottom"/>
          </w:tcPr>
          <w:p>
            <w:pPr>
              <w:pStyle w:val="TableContents"/>
              <w:spacing w:before="0" w:after="283"/>
              <w:jc w:val="right"/>
              <w:rPr/>
            </w:pPr>
            <w:r>
              <w:rPr/>
              <w:t>6,194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56" w:type="dxa"/>
            <w:tcBorders/>
            <w:shd w:fill="CCEEFF" w:val="clear"/>
            <w:vAlign w:val="bottom"/>
          </w:tcPr>
          <w:p>
            <w:pPr>
              <w:pStyle w:val="TableContents"/>
              <w:spacing w:before="0" w:after="283"/>
              <w:jc w:val="left"/>
              <w:rPr/>
            </w:pPr>
            <w:r>
              <w:rPr/>
              <w:t> </w:t>
            </w:r>
          </w:p>
        </w:tc>
        <w:tc>
          <w:tcPr>
            <w:tcW w:w="714" w:type="dxa"/>
            <w:tcBorders/>
            <w:shd w:fill="CCEEFF" w:val="clear"/>
            <w:vAlign w:val="bottom"/>
          </w:tcPr>
          <w:p>
            <w:pPr>
              <w:pStyle w:val="TableContents"/>
              <w:spacing w:before="0" w:after="283"/>
              <w:jc w:val="right"/>
              <w:rPr/>
            </w:pPr>
            <w:r>
              <w:rPr/>
              <w:t>1,700</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65" w:type="dxa"/>
            <w:tcBorders/>
            <w:shd w:fill="CCEEFF" w:val="clear"/>
            <w:vAlign w:val="bottom"/>
          </w:tcPr>
          <w:p>
            <w:pPr>
              <w:pStyle w:val="TableContents"/>
              <w:spacing w:before="0" w:after="283"/>
              <w:jc w:val="left"/>
              <w:rPr/>
            </w:pPr>
            <w:r>
              <w:rPr/>
              <w:t> </w:t>
            </w:r>
          </w:p>
        </w:tc>
        <w:tc>
          <w:tcPr>
            <w:tcW w:w="866" w:type="dxa"/>
            <w:tcBorders/>
            <w:shd w:fill="CCEEFF" w:val="clear"/>
            <w:vAlign w:val="bottom"/>
          </w:tcPr>
          <w:p>
            <w:pPr>
              <w:pStyle w:val="TableContents"/>
              <w:spacing w:before="0" w:after="283"/>
              <w:jc w:val="right"/>
              <w:rPr/>
            </w:pPr>
            <w:r>
              <w:rPr/>
              <w:t>635</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37" w:type="dxa"/>
            <w:tcBorders/>
            <w:shd w:fill="CCEEFF" w:val="clear"/>
            <w:vAlign w:val="bottom"/>
          </w:tcPr>
          <w:p>
            <w:pPr>
              <w:pStyle w:val="TableContents"/>
              <w:spacing w:before="0" w:after="283"/>
              <w:jc w:val="left"/>
              <w:rPr/>
            </w:pPr>
            <w:r>
              <w:rPr/>
              <w:t> </w:t>
            </w:r>
          </w:p>
        </w:tc>
        <w:tc>
          <w:tcPr>
            <w:tcW w:w="773"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300" w:type="dxa"/>
            <w:tcBorders/>
            <w:shd w:fill="CCEEFF" w:val="clear"/>
            <w:vAlign w:val="bottom"/>
          </w:tcPr>
          <w:p>
            <w:pPr>
              <w:pStyle w:val="TableContents"/>
              <w:spacing w:before="0" w:after="283"/>
              <w:jc w:val="left"/>
              <w:rPr/>
            </w:pPr>
            <w:r>
              <w:rPr/>
              <w:t> </w:t>
            </w:r>
          </w:p>
        </w:tc>
        <w:tc>
          <w:tcPr>
            <w:tcW w:w="815" w:type="dxa"/>
            <w:tcBorders/>
            <w:shd w:fill="CCEEFF" w:val="clear"/>
            <w:vAlign w:val="bottom"/>
          </w:tcPr>
          <w:p>
            <w:pPr>
              <w:pStyle w:val="TableContents"/>
              <w:spacing w:before="0" w:after="283"/>
              <w:jc w:val="right"/>
              <w:rPr/>
            </w:pPr>
            <w:r>
              <w:rPr/>
              <w:t>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97" w:type="dxa"/>
            <w:tcBorders/>
            <w:shd w:fill="CCEEFF" w:val="clear"/>
            <w:vAlign w:val="bottom"/>
          </w:tcPr>
          <w:p>
            <w:pPr>
              <w:pStyle w:val="TableContents"/>
              <w:spacing w:before="0" w:after="283"/>
              <w:jc w:val="left"/>
              <w:rPr/>
            </w:pPr>
            <w:r>
              <w:rPr/>
              <w:t> </w:t>
            </w:r>
          </w:p>
        </w:tc>
        <w:tc>
          <w:tcPr>
            <w:tcW w:w="680" w:type="dxa"/>
            <w:tcBorders/>
            <w:shd w:fill="CCEEFF" w:val="clear"/>
            <w:vAlign w:val="bottom"/>
          </w:tcPr>
          <w:p>
            <w:pPr>
              <w:pStyle w:val="TableContents"/>
              <w:spacing w:before="0" w:after="283"/>
              <w:jc w:val="right"/>
              <w:rPr/>
            </w:pPr>
            <w:r>
              <w:rPr/>
              <w:t>8,531</w:t>
            </w:r>
          </w:p>
        </w:tc>
        <w:tc>
          <w:tcPr>
            <w:tcW w:w="77" w:type="dxa"/>
            <w:tcBorders/>
            <w:shd w:fill="CCEEFF" w:val="clear"/>
            <w:vAlign w:val="bottom"/>
          </w:tcPr>
          <w:p>
            <w:pPr>
              <w:pStyle w:val="TableContents"/>
              <w:spacing w:before="0" w:after="283"/>
              <w:jc w:val="left"/>
              <w:rPr/>
            </w:pPr>
            <w:r>
              <w:rPr/>
              <w:t> </w:t>
            </w:r>
          </w:p>
        </w:tc>
      </w:tr>
      <w:tr>
        <w:trPr/>
        <w:tc>
          <w:tcPr>
            <w:tcW w:w="3470" w:type="dxa"/>
            <w:tcBorders/>
            <w:shd w:fill="auto" w:val="clear"/>
            <w:vAlign w:val="bottom"/>
          </w:tcPr>
          <w:p>
            <w:pPr>
              <w:pStyle w:val="TableContents"/>
              <w:spacing w:before="0" w:after="0"/>
              <w:ind w:left="288" w:right="0" w:hanging="144"/>
              <w:jc w:val="left"/>
              <w:rPr>
                <w:rFonts w:ascii="Times New Roman" w:hAnsi="Times New Roman"/>
                <w:sz w:val="20"/>
              </w:rPr>
            </w:pPr>
            <w:r>
              <w:rPr>
                <w:rFonts w:ascii="Times New Roman" w:hAnsi="Times New Roman"/>
                <w:sz w:val="20"/>
              </w:rPr>
              <w:t>Auto loans</w:t>
            </w:r>
          </w:p>
        </w:tc>
        <w:tc>
          <w:tcPr>
            <w:tcW w:w="60" w:type="dxa"/>
            <w:tcBorders/>
            <w:shd w:fill="auto" w:val="clear"/>
            <w:vAlign w:val="bottom"/>
          </w:tcPr>
          <w:p>
            <w:pPr>
              <w:pStyle w:val="TableContents"/>
              <w:spacing w:before="0" w:after="283"/>
              <w:jc w:val="right"/>
              <w:rPr/>
            </w:pPr>
            <w:r>
              <w:rPr/>
              <w:t> </w:t>
            </w:r>
          </w:p>
        </w:tc>
        <w:tc>
          <w:tcPr>
            <w:tcW w:w="151" w:type="dxa"/>
            <w:tcBorders/>
            <w:shd w:fill="auto" w:val="clear"/>
            <w:vAlign w:val="bottom"/>
          </w:tcPr>
          <w:p>
            <w:pPr>
              <w:pStyle w:val="TableContents"/>
              <w:spacing w:before="0" w:after="283"/>
              <w:jc w:val="left"/>
              <w:rPr/>
            </w:pPr>
            <w:r>
              <w:rPr/>
              <w:t> </w:t>
            </w:r>
          </w:p>
        </w:tc>
        <w:tc>
          <w:tcPr>
            <w:tcW w:w="739" w:type="dxa"/>
            <w:tcBorders/>
            <w:shd w:fill="auto" w:val="clear"/>
            <w:vAlign w:val="bottom"/>
          </w:tcPr>
          <w:p>
            <w:pPr>
              <w:pStyle w:val="TableContents"/>
              <w:spacing w:before="0" w:after="283"/>
              <w:jc w:val="right"/>
              <w:rPr/>
            </w:pPr>
            <w:r>
              <w:rPr/>
              <w:t>3,926</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56" w:type="dxa"/>
            <w:tcBorders/>
            <w:shd w:fill="auto" w:val="clear"/>
            <w:vAlign w:val="bottom"/>
          </w:tcPr>
          <w:p>
            <w:pPr>
              <w:pStyle w:val="TableContents"/>
              <w:spacing w:before="0" w:after="283"/>
              <w:jc w:val="left"/>
              <w:rPr/>
            </w:pPr>
            <w:r>
              <w:rPr/>
              <w:t> </w:t>
            </w:r>
          </w:p>
        </w:tc>
        <w:tc>
          <w:tcPr>
            <w:tcW w:w="714" w:type="dxa"/>
            <w:tcBorders/>
            <w:shd w:fill="auto" w:val="clear"/>
            <w:vAlign w:val="bottom"/>
          </w:tcPr>
          <w:p>
            <w:pPr>
              <w:pStyle w:val="TableContents"/>
              <w:spacing w:before="0" w:after="283"/>
              <w:jc w:val="right"/>
              <w:rPr/>
            </w:pPr>
            <w:r>
              <w:rPr/>
              <w:t>(332</w:t>
            </w:r>
          </w:p>
        </w:tc>
        <w:tc>
          <w:tcPr>
            <w:tcW w:w="95" w:type="dxa"/>
            <w:tcBorders/>
            <w:shd w:fill="auto" w:val="clear"/>
            <w:vAlign w:val="bottom"/>
          </w:tcPr>
          <w:p>
            <w:pPr>
              <w:pStyle w:val="TableContents"/>
              <w:spacing w:before="0" w:after="283"/>
              <w:jc w:val="left"/>
              <w:rPr/>
            </w:pPr>
            <w:r>
              <w:rPr/>
              <w:t>)</w:t>
            </w:r>
          </w:p>
        </w:tc>
        <w:tc>
          <w:tcPr>
            <w:tcW w:w="60" w:type="dxa"/>
            <w:tcBorders/>
            <w:shd w:fill="auto" w:val="clear"/>
            <w:vAlign w:val="bottom"/>
          </w:tcPr>
          <w:p>
            <w:pPr>
              <w:pStyle w:val="TableContents"/>
              <w:spacing w:before="0" w:after="283"/>
              <w:jc w:val="right"/>
              <w:rPr/>
            </w:pPr>
            <w:r>
              <w:rPr/>
              <w:t> </w:t>
            </w:r>
          </w:p>
        </w:tc>
        <w:tc>
          <w:tcPr>
            <w:tcW w:w="265" w:type="dxa"/>
            <w:tcBorders/>
            <w:shd w:fill="auto" w:val="clear"/>
            <w:vAlign w:val="bottom"/>
          </w:tcPr>
          <w:p>
            <w:pPr>
              <w:pStyle w:val="TableContents"/>
              <w:spacing w:before="0" w:after="283"/>
              <w:jc w:val="left"/>
              <w:rPr/>
            </w:pPr>
            <w:r>
              <w:rPr/>
              <w:t> </w:t>
            </w:r>
          </w:p>
        </w:tc>
        <w:tc>
          <w:tcPr>
            <w:tcW w:w="866" w:type="dxa"/>
            <w:tcBorders/>
            <w:shd w:fill="auto" w:val="clear"/>
            <w:vAlign w:val="bottom"/>
          </w:tcPr>
          <w:p>
            <w:pPr>
              <w:pStyle w:val="TableContents"/>
              <w:spacing w:before="0" w:after="283"/>
              <w:jc w:val="right"/>
              <w:rPr/>
            </w:pPr>
            <w:r>
              <w:rPr/>
              <w:t>298</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37" w:type="dxa"/>
            <w:tcBorders/>
            <w:shd w:fill="auto" w:val="clear"/>
            <w:vAlign w:val="bottom"/>
          </w:tcPr>
          <w:p>
            <w:pPr>
              <w:pStyle w:val="TableContents"/>
              <w:spacing w:before="0" w:after="283"/>
              <w:jc w:val="left"/>
              <w:rPr/>
            </w:pPr>
            <w:r>
              <w:rPr/>
              <w:t> </w:t>
            </w:r>
          </w:p>
        </w:tc>
        <w:tc>
          <w:tcPr>
            <w:tcW w:w="773" w:type="dxa"/>
            <w:tcBorders/>
            <w:shd w:fill="auto" w:val="clear"/>
            <w:vAlign w:val="bottom"/>
          </w:tcPr>
          <w:p>
            <w:pPr>
              <w:pStyle w:val="TableContents"/>
              <w:spacing w:before="0" w:after="283"/>
              <w:jc w:val="right"/>
              <w:rPr/>
            </w:pPr>
            <w:r>
              <w:rPr/>
              <w:t>(254</w:t>
            </w:r>
          </w:p>
        </w:tc>
        <w:tc>
          <w:tcPr>
            <w:tcW w:w="95" w:type="dxa"/>
            <w:tcBorders/>
            <w:shd w:fill="auto" w:val="clear"/>
            <w:vAlign w:val="bottom"/>
          </w:tcPr>
          <w:p>
            <w:pPr>
              <w:pStyle w:val="TableContents"/>
              <w:spacing w:before="0" w:after="283"/>
              <w:jc w:val="left"/>
              <w:rPr/>
            </w:pPr>
            <w:r>
              <w:rPr/>
              <w:t>)</w:t>
            </w:r>
          </w:p>
        </w:tc>
        <w:tc>
          <w:tcPr>
            <w:tcW w:w="60" w:type="dxa"/>
            <w:tcBorders/>
            <w:shd w:fill="auto" w:val="clear"/>
            <w:vAlign w:val="bottom"/>
          </w:tcPr>
          <w:p>
            <w:pPr>
              <w:pStyle w:val="TableContents"/>
              <w:spacing w:before="0" w:after="283"/>
              <w:jc w:val="right"/>
              <w:rPr/>
            </w:pPr>
            <w:r>
              <w:rPr/>
              <w:t> </w:t>
            </w:r>
          </w:p>
        </w:tc>
        <w:tc>
          <w:tcPr>
            <w:tcW w:w="300" w:type="dxa"/>
            <w:tcBorders/>
            <w:shd w:fill="auto" w:val="clear"/>
            <w:vAlign w:val="bottom"/>
          </w:tcPr>
          <w:p>
            <w:pPr>
              <w:pStyle w:val="TableContents"/>
              <w:spacing w:before="0" w:after="283"/>
              <w:jc w:val="left"/>
              <w:rPr/>
            </w:pPr>
            <w:r>
              <w:rPr/>
              <w:t> </w:t>
            </w:r>
          </w:p>
        </w:tc>
        <w:tc>
          <w:tcPr>
            <w:tcW w:w="815" w:type="dxa"/>
            <w:tcBorders/>
            <w:shd w:fill="auto" w:val="clear"/>
            <w:vAlign w:val="bottom"/>
          </w:tcPr>
          <w:p>
            <w:pPr>
              <w:pStyle w:val="TableContents"/>
              <w:spacing w:before="0" w:after="283"/>
              <w:jc w:val="right"/>
              <w:rPr/>
            </w:pPr>
            <w:r>
              <w:rPr/>
              <w:t>76</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97" w:type="dxa"/>
            <w:tcBorders/>
            <w:shd w:fill="auto" w:val="clear"/>
            <w:vAlign w:val="bottom"/>
          </w:tcPr>
          <w:p>
            <w:pPr>
              <w:pStyle w:val="TableContents"/>
              <w:spacing w:before="0" w:after="283"/>
              <w:jc w:val="left"/>
              <w:rPr/>
            </w:pPr>
            <w:r>
              <w:rPr/>
              <w:t> </w:t>
            </w:r>
          </w:p>
        </w:tc>
        <w:tc>
          <w:tcPr>
            <w:tcW w:w="680" w:type="dxa"/>
            <w:tcBorders/>
            <w:shd w:fill="auto" w:val="clear"/>
            <w:vAlign w:val="bottom"/>
          </w:tcPr>
          <w:p>
            <w:pPr>
              <w:pStyle w:val="TableContents"/>
              <w:spacing w:before="0" w:after="283"/>
              <w:jc w:val="right"/>
              <w:rPr/>
            </w:pPr>
            <w:r>
              <w:rPr/>
              <w:t>3,714</w:t>
            </w:r>
          </w:p>
        </w:tc>
        <w:tc>
          <w:tcPr>
            <w:tcW w:w="77" w:type="dxa"/>
            <w:tcBorders/>
            <w:shd w:fill="auto" w:val="clear"/>
            <w:vAlign w:val="bottom"/>
          </w:tcPr>
          <w:p>
            <w:pPr>
              <w:pStyle w:val="TableContents"/>
              <w:spacing w:before="0" w:after="283"/>
              <w:jc w:val="left"/>
              <w:rPr/>
            </w:pPr>
            <w:r>
              <w:rPr/>
              <w:t> </w:t>
            </w:r>
          </w:p>
        </w:tc>
      </w:tr>
      <w:tr>
        <w:trPr/>
        <w:tc>
          <w:tcPr>
            <w:tcW w:w="3470" w:type="dxa"/>
            <w:tcBorders/>
            <w:shd w:fill="CCEEFF" w:val="clear"/>
            <w:vAlign w:val="bottom"/>
          </w:tcPr>
          <w:p>
            <w:pPr>
              <w:pStyle w:val="TableContents"/>
              <w:spacing w:before="0" w:after="0"/>
              <w:ind w:left="288" w:right="0" w:hanging="144"/>
              <w:jc w:val="left"/>
              <w:rPr>
                <w:rFonts w:ascii="Times New Roman" w:hAnsi="Times New Roman"/>
                <w:sz w:val="20"/>
              </w:rPr>
            </w:pPr>
            <w:r>
              <w:rPr>
                <w:rFonts w:ascii="Times New Roman" w:hAnsi="Times New Roman"/>
                <w:sz w:val="20"/>
              </w:rPr>
              <w:t>Other consumer</w:t>
            </w:r>
          </w:p>
        </w:tc>
        <w:tc>
          <w:tcPr>
            <w:tcW w:w="60" w:type="dxa"/>
            <w:tcBorders/>
            <w:shd w:fill="CCEEFF" w:val="clear"/>
            <w:vAlign w:val="bottom"/>
          </w:tcPr>
          <w:p>
            <w:pPr>
              <w:pStyle w:val="TableContents"/>
              <w:spacing w:before="0" w:after="283"/>
              <w:jc w:val="right"/>
              <w:rPr/>
            </w:pPr>
            <w:r>
              <w:rPr/>
              <w:t> </w:t>
            </w:r>
          </w:p>
        </w:tc>
        <w:tc>
          <w:tcPr>
            <w:tcW w:w="151" w:type="dxa"/>
            <w:tcBorders/>
            <w:shd w:fill="CCEEFF" w:val="clear"/>
            <w:vAlign w:val="bottom"/>
          </w:tcPr>
          <w:p>
            <w:pPr>
              <w:pStyle w:val="TableContents"/>
              <w:spacing w:before="0" w:after="283"/>
              <w:jc w:val="left"/>
              <w:rPr/>
            </w:pPr>
            <w:r>
              <w:rPr/>
              <w:t> </w:t>
            </w:r>
          </w:p>
        </w:tc>
        <w:tc>
          <w:tcPr>
            <w:tcW w:w="739" w:type="dxa"/>
            <w:tcBorders/>
            <w:shd w:fill="CCEEFF" w:val="clear"/>
            <w:vAlign w:val="bottom"/>
          </w:tcPr>
          <w:p>
            <w:pPr>
              <w:pStyle w:val="TableContents"/>
              <w:spacing w:before="0" w:after="283"/>
              <w:jc w:val="right"/>
              <w:rPr/>
            </w:pPr>
            <w:r>
              <w:rPr/>
              <w:t>1,376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56" w:type="dxa"/>
            <w:tcBorders/>
            <w:shd w:fill="CCEEFF" w:val="clear"/>
            <w:vAlign w:val="bottom"/>
          </w:tcPr>
          <w:p>
            <w:pPr>
              <w:pStyle w:val="TableContents"/>
              <w:spacing w:before="0" w:after="283"/>
              <w:jc w:val="left"/>
              <w:rPr/>
            </w:pPr>
            <w:r>
              <w:rPr/>
              <w:t> </w:t>
            </w:r>
          </w:p>
        </w:tc>
        <w:tc>
          <w:tcPr>
            <w:tcW w:w="714" w:type="dxa"/>
            <w:tcBorders/>
            <w:shd w:fill="CCEEFF" w:val="clear"/>
            <w:vAlign w:val="bottom"/>
          </w:tcPr>
          <w:p>
            <w:pPr>
              <w:pStyle w:val="TableContents"/>
              <w:spacing w:before="0" w:after="283"/>
              <w:jc w:val="right"/>
              <w:rPr/>
            </w:pPr>
            <w:r>
              <w:rPr/>
              <w:t>(235</w:t>
            </w:r>
          </w:p>
        </w:tc>
        <w:tc>
          <w:tcPr>
            <w:tcW w:w="95" w:type="dxa"/>
            <w:tcBorders/>
            <w:shd w:fill="CCEEFF" w:val="clear"/>
            <w:vAlign w:val="bottom"/>
          </w:tcPr>
          <w:p>
            <w:pPr>
              <w:pStyle w:val="TableContents"/>
              <w:spacing w:before="0" w:after="283"/>
              <w:jc w:val="left"/>
              <w:rPr/>
            </w:pPr>
            <w:r>
              <w:rPr/>
              <w:t>)</w:t>
            </w:r>
          </w:p>
        </w:tc>
        <w:tc>
          <w:tcPr>
            <w:tcW w:w="60" w:type="dxa"/>
            <w:tcBorders/>
            <w:shd w:fill="CCEEFF" w:val="clear"/>
            <w:vAlign w:val="bottom"/>
          </w:tcPr>
          <w:p>
            <w:pPr>
              <w:pStyle w:val="TableContents"/>
              <w:spacing w:before="0" w:after="283"/>
              <w:jc w:val="right"/>
              <w:rPr/>
            </w:pPr>
            <w:r>
              <w:rPr/>
              <w:t> </w:t>
            </w:r>
          </w:p>
        </w:tc>
        <w:tc>
          <w:tcPr>
            <w:tcW w:w="265" w:type="dxa"/>
            <w:tcBorders/>
            <w:shd w:fill="CCEEFF" w:val="clear"/>
            <w:vAlign w:val="bottom"/>
          </w:tcPr>
          <w:p>
            <w:pPr>
              <w:pStyle w:val="TableContents"/>
              <w:spacing w:before="0" w:after="283"/>
              <w:jc w:val="left"/>
              <w:rPr/>
            </w:pPr>
            <w:r>
              <w:rPr/>
              <w:t> </w:t>
            </w:r>
          </w:p>
        </w:tc>
        <w:tc>
          <w:tcPr>
            <w:tcW w:w="866" w:type="dxa"/>
            <w:tcBorders/>
            <w:shd w:fill="CCEEFF" w:val="clear"/>
            <w:vAlign w:val="bottom"/>
          </w:tcPr>
          <w:p>
            <w:pPr>
              <w:pStyle w:val="TableContents"/>
              <w:spacing w:before="0" w:after="283"/>
              <w:jc w:val="right"/>
              <w:rPr/>
            </w:pPr>
            <w:r>
              <w:rPr/>
              <w:t>68</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37" w:type="dxa"/>
            <w:tcBorders/>
            <w:shd w:fill="CCEEFF" w:val="clear"/>
            <w:vAlign w:val="bottom"/>
          </w:tcPr>
          <w:p>
            <w:pPr>
              <w:pStyle w:val="TableContents"/>
              <w:spacing w:before="0" w:after="283"/>
              <w:jc w:val="left"/>
              <w:rPr/>
            </w:pPr>
            <w:r>
              <w:rPr/>
              <w:t> </w:t>
            </w:r>
          </w:p>
        </w:tc>
        <w:tc>
          <w:tcPr>
            <w:tcW w:w="773" w:type="dxa"/>
            <w:tcBorders/>
            <w:shd w:fill="CCEEFF" w:val="clear"/>
            <w:vAlign w:val="bottom"/>
          </w:tcPr>
          <w:p>
            <w:pPr>
              <w:pStyle w:val="TableContents"/>
              <w:spacing w:before="0" w:after="283"/>
              <w:jc w:val="right"/>
              <w:rPr/>
            </w:pPr>
            <w:r>
              <w:rPr/>
              <w:t>(214</w:t>
            </w:r>
          </w:p>
        </w:tc>
        <w:tc>
          <w:tcPr>
            <w:tcW w:w="95" w:type="dxa"/>
            <w:tcBorders/>
            <w:shd w:fill="CCEEFF" w:val="clear"/>
            <w:vAlign w:val="bottom"/>
          </w:tcPr>
          <w:p>
            <w:pPr>
              <w:pStyle w:val="TableContents"/>
              <w:spacing w:before="0" w:after="283"/>
              <w:jc w:val="left"/>
              <w:rPr/>
            </w:pPr>
            <w:r>
              <w:rPr/>
              <w:t>)</w:t>
            </w:r>
          </w:p>
        </w:tc>
        <w:tc>
          <w:tcPr>
            <w:tcW w:w="60" w:type="dxa"/>
            <w:tcBorders/>
            <w:shd w:fill="CCEEFF" w:val="clear"/>
            <w:vAlign w:val="bottom"/>
          </w:tcPr>
          <w:p>
            <w:pPr>
              <w:pStyle w:val="TableContents"/>
              <w:spacing w:before="0" w:after="283"/>
              <w:jc w:val="right"/>
              <w:rPr/>
            </w:pPr>
            <w:r>
              <w:rPr/>
              <w:t> </w:t>
            </w:r>
          </w:p>
        </w:tc>
        <w:tc>
          <w:tcPr>
            <w:tcW w:w="300" w:type="dxa"/>
            <w:tcBorders/>
            <w:shd w:fill="CCEEFF" w:val="clear"/>
            <w:vAlign w:val="bottom"/>
          </w:tcPr>
          <w:p>
            <w:pPr>
              <w:pStyle w:val="TableContents"/>
              <w:spacing w:before="0" w:after="283"/>
              <w:jc w:val="left"/>
              <w:rPr/>
            </w:pPr>
            <w:r>
              <w:rPr/>
              <w:t> </w:t>
            </w:r>
          </w:p>
        </w:tc>
        <w:tc>
          <w:tcPr>
            <w:tcW w:w="815" w:type="dxa"/>
            <w:tcBorders/>
            <w:shd w:fill="CCEEFF" w:val="clear"/>
            <w:vAlign w:val="bottom"/>
          </w:tcPr>
          <w:p>
            <w:pPr>
              <w:pStyle w:val="TableContents"/>
              <w:spacing w:before="0" w:after="283"/>
              <w:jc w:val="right"/>
              <w:rPr/>
            </w:pPr>
            <w:r>
              <w:rPr/>
              <w:t>106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97" w:type="dxa"/>
            <w:tcBorders/>
            <w:shd w:fill="CCEEFF" w:val="clear"/>
            <w:vAlign w:val="bottom"/>
          </w:tcPr>
          <w:p>
            <w:pPr>
              <w:pStyle w:val="TableContents"/>
              <w:spacing w:before="0" w:after="283"/>
              <w:jc w:val="left"/>
              <w:rPr/>
            </w:pPr>
            <w:r>
              <w:rPr/>
              <w:t> </w:t>
            </w:r>
          </w:p>
        </w:tc>
        <w:tc>
          <w:tcPr>
            <w:tcW w:w="680" w:type="dxa"/>
            <w:tcBorders/>
            <w:shd w:fill="CCEEFF" w:val="clear"/>
            <w:vAlign w:val="bottom"/>
          </w:tcPr>
          <w:p>
            <w:pPr>
              <w:pStyle w:val="TableContents"/>
              <w:spacing w:before="0" w:after="283"/>
              <w:jc w:val="right"/>
              <w:rPr/>
            </w:pPr>
            <w:r>
              <w:rPr/>
              <w:t>1,101</w:t>
            </w:r>
          </w:p>
        </w:tc>
        <w:tc>
          <w:tcPr>
            <w:tcW w:w="77" w:type="dxa"/>
            <w:tcBorders/>
            <w:shd w:fill="CCEEFF" w:val="clear"/>
            <w:vAlign w:val="bottom"/>
          </w:tcPr>
          <w:p>
            <w:pPr>
              <w:pStyle w:val="TableContents"/>
              <w:spacing w:before="0" w:after="283"/>
              <w:jc w:val="left"/>
              <w:rPr/>
            </w:pPr>
            <w:r>
              <w:rPr/>
              <w:t> </w:t>
            </w:r>
          </w:p>
        </w:tc>
      </w:tr>
      <w:tr>
        <w:trPr/>
        <w:tc>
          <w:tcPr>
            <w:tcW w:w="3470" w:type="dxa"/>
            <w:tcBorders/>
            <w:shd w:fill="auto"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Construction</w:t>
            </w:r>
          </w:p>
        </w:tc>
        <w:tc>
          <w:tcPr>
            <w:tcW w:w="60" w:type="dxa"/>
            <w:tcBorders/>
            <w:shd w:fill="auto" w:val="clear"/>
            <w:vAlign w:val="bottom"/>
          </w:tcPr>
          <w:p>
            <w:pPr>
              <w:pStyle w:val="TableContents"/>
              <w:spacing w:before="0" w:after="283"/>
              <w:jc w:val="right"/>
              <w:rPr/>
            </w:pPr>
            <w:r>
              <w:rPr/>
              <w:t> </w:t>
            </w:r>
          </w:p>
        </w:tc>
        <w:tc>
          <w:tcPr>
            <w:tcW w:w="151"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739" w:type="dxa"/>
            <w:tcBorders>
              <w:bottom w:val="single" w:sz="12" w:space="0" w:color="000000"/>
            </w:tcBorders>
            <w:shd w:fill="auto" w:val="clear"/>
            <w:tcMar>
              <w:bottom w:w="28" w:type="dxa"/>
            </w:tcMar>
            <w:vAlign w:val="bottom"/>
          </w:tcPr>
          <w:p>
            <w:pPr>
              <w:pStyle w:val="TableContents"/>
              <w:spacing w:before="0" w:after="283"/>
              <w:jc w:val="right"/>
              <w:rPr/>
            </w:pPr>
            <w:r>
              <w:rPr/>
              <w:t>2,123</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56"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714" w:type="dxa"/>
            <w:tcBorders>
              <w:bottom w:val="single" w:sz="12" w:space="0" w:color="000000"/>
            </w:tcBorders>
            <w:shd w:fill="auto" w:val="clear"/>
            <w:tcMar>
              <w:bottom w:w="28" w:type="dxa"/>
            </w:tcMar>
            <w:vAlign w:val="bottom"/>
          </w:tcPr>
          <w:p>
            <w:pPr>
              <w:pStyle w:val="TableContents"/>
              <w:spacing w:before="0" w:after="283"/>
              <w:jc w:val="right"/>
              <w:rPr/>
            </w:pPr>
            <w:r>
              <w:rPr/>
              <w:t>683</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6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66" w:type="dxa"/>
            <w:tcBorders>
              <w:bottom w:val="single" w:sz="12" w:space="0" w:color="000000"/>
            </w:tcBorders>
            <w:shd w:fill="auto" w:val="clear"/>
            <w:tcMar>
              <w:bottom w:w="28" w:type="dxa"/>
            </w:tcMar>
            <w:vAlign w:val="bottom"/>
          </w:tcPr>
          <w:p>
            <w:pPr>
              <w:pStyle w:val="TableContents"/>
              <w:spacing w:before="0" w:after="283"/>
              <w:jc w:val="right"/>
              <w:rPr/>
            </w:pPr>
            <w:r>
              <w:rPr/>
              <w:t>522</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37"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773" w:type="dxa"/>
            <w:tcBorders>
              <w:bottom w:val="single" w:sz="12" w:space="0" w:color="000000"/>
            </w:tcBorders>
            <w:shd w:fill="auto" w:val="clear"/>
            <w:tcMar>
              <w:bottom w:w="28" w:type="dxa"/>
            </w:tcMar>
            <w:vAlign w:val="bottom"/>
          </w:tcPr>
          <w:p>
            <w:pPr>
              <w:pStyle w:val="TableContents"/>
              <w:spacing w:before="0" w:after="283"/>
              <w:jc w:val="right"/>
              <w:rPr/>
            </w:pPr>
            <w:r>
              <w:rPr/>
              <w:t>(272</w:t>
            </w:r>
          </w:p>
        </w:tc>
        <w:tc>
          <w:tcPr>
            <w:tcW w:w="95" w:type="dxa"/>
            <w:tcBorders/>
            <w:shd w:fill="auto" w:val="clear"/>
            <w:vAlign w:val="bottom"/>
          </w:tcPr>
          <w:p>
            <w:pPr>
              <w:pStyle w:val="TableContents"/>
              <w:spacing w:before="0" w:after="283"/>
              <w:jc w:val="left"/>
              <w:rPr/>
            </w:pPr>
            <w:r>
              <w:rPr/>
              <w:t>)</w:t>
            </w:r>
          </w:p>
        </w:tc>
        <w:tc>
          <w:tcPr>
            <w:tcW w:w="60" w:type="dxa"/>
            <w:tcBorders/>
            <w:shd w:fill="auto" w:val="clear"/>
            <w:vAlign w:val="bottom"/>
          </w:tcPr>
          <w:p>
            <w:pPr>
              <w:pStyle w:val="TableContents"/>
              <w:spacing w:before="0" w:after="283"/>
              <w:jc w:val="right"/>
              <w:rPr/>
            </w:pPr>
            <w:r>
              <w:rPr/>
              <w:t> </w:t>
            </w:r>
          </w:p>
        </w:tc>
        <w:tc>
          <w:tcPr>
            <w:tcW w:w="30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15" w:type="dxa"/>
            <w:tcBorders>
              <w:bottom w:val="single" w:sz="12" w:space="0" w:color="000000"/>
            </w:tcBorders>
            <w:shd w:fill="auto" w:val="clear"/>
            <w:tcMar>
              <w:bottom w:w="28" w:type="dxa"/>
            </w:tcM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97"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80" w:type="dxa"/>
            <w:tcBorders>
              <w:bottom w:val="single" w:sz="12" w:space="0" w:color="000000"/>
            </w:tcBorders>
            <w:shd w:fill="auto" w:val="clear"/>
            <w:tcMar>
              <w:bottom w:w="28" w:type="dxa"/>
            </w:tcMar>
            <w:vAlign w:val="bottom"/>
          </w:tcPr>
          <w:p>
            <w:pPr>
              <w:pStyle w:val="TableContents"/>
              <w:spacing w:before="0" w:after="283"/>
              <w:jc w:val="right"/>
              <w:rPr/>
            </w:pPr>
            <w:r>
              <w:rPr/>
              <w:t>3,056</w:t>
            </w:r>
          </w:p>
        </w:tc>
        <w:tc>
          <w:tcPr>
            <w:tcW w:w="77" w:type="dxa"/>
            <w:tcBorders/>
            <w:shd w:fill="auto" w:val="clear"/>
            <w:vAlign w:val="bottom"/>
          </w:tcPr>
          <w:p>
            <w:pPr>
              <w:pStyle w:val="TableContents"/>
              <w:spacing w:before="0" w:after="283"/>
              <w:jc w:val="left"/>
              <w:rPr/>
            </w:pPr>
            <w:r>
              <w:rPr/>
              <w:t> </w:t>
            </w:r>
          </w:p>
        </w:tc>
      </w:tr>
      <w:tr>
        <w:trPr/>
        <w:tc>
          <w:tcPr>
            <w:tcW w:w="3470" w:type="dxa"/>
            <w:tcBorders/>
            <w:shd w:fill="CCEE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r>
          </w:p>
        </w:tc>
        <w:tc>
          <w:tcPr>
            <w:tcW w:w="60" w:type="dxa"/>
            <w:tcBorders/>
            <w:shd w:fill="CCEEFF" w:val="clear"/>
            <w:vAlign w:val="bottom"/>
          </w:tcPr>
          <w:p>
            <w:pPr>
              <w:pStyle w:val="TableContents"/>
              <w:spacing w:before="0" w:after="283"/>
              <w:jc w:val="right"/>
              <w:rPr/>
            </w:pPr>
            <w:r>
              <w:rPr/>
              <w:t> </w:t>
            </w:r>
          </w:p>
        </w:tc>
        <w:tc>
          <w:tcPr>
            <w:tcW w:w="151" w:type="dxa"/>
            <w:tcBorders>
              <w:bottom w:val="double" w:sz="8" w:space="0" w:color="000000"/>
            </w:tcBorders>
            <w:shd w:fill="CCEEFF" w:val="clear"/>
            <w:tcMar>
              <w:bottom w:w="28" w:type="dxa"/>
            </w:tcMar>
            <w:vAlign w:val="bottom"/>
          </w:tcPr>
          <w:p>
            <w:pPr>
              <w:pStyle w:val="TableContents"/>
              <w:spacing w:before="0" w:after="283"/>
              <w:jc w:val="left"/>
              <w:rPr/>
            </w:pPr>
            <w:r>
              <w:rPr/>
              <w:t>$</w:t>
            </w:r>
          </w:p>
        </w:tc>
        <w:tc>
          <w:tcPr>
            <w:tcW w:w="739" w:type="dxa"/>
            <w:tcBorders>
              <w:bottom w:val="double" w:sz="8" w:space="0" w:color="000000"/>
            </w:tcBorders>
            <w:shd w:fill="CCEEFF" w:val="clear"/>
            <w:tcMar>
              <w:bottom w:w="28" w:type="dxa"/>
            </w:tcMar>
            <w:vAlign w:val="bottom"/>
          </w:tcPr>
          <w:p>
            <w:pPr>
              <w:pStyle w:val="TableContents"/>
              <w:spacing w:before="0" w:after="283"/>
              <w:jc w:val="right"/>
              <w:rPr/>
            </w:pPr>
            <w:r>
              <w:rPr/>
              <w:t>39,288</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56" w:type="dxa"/>
            <w:tcBorders>
              <w:bottom w:val="double" w:sz="8" w:space="0" w:color="000000"/>
            </w:tcBorders>
            <w:shd w:fill="CCEEFF" w:val="clear"/>
            <w:tcMar>
              <w:bottom w:w="28" w:type="dxa"/>
            </w:tcMar>
            <w:vAlign w:val="bottom"/>
          </w:tcPr>
          <w:p>
            <w:pPr>
              <w:pStyle w:val="TableContents"/>
              <w:spacing w:before="0" w:after="283"/>
              <w:jc w:val="left"/>
              <w:rPr/>
            </w:pPr>
            <w:r>
              <w:rPr/>
              <w:t>$</w:t>
            </w:r>
          </w:p>
        </w:tc>
        <w:tc>
          <w:tcPr>
            <w:tcW w:w="714" w:type="dxa"/>
            <w:tcBorders>
              <w:bottom w:val="double" w:sz="8" w:space="0" w:color="000000"/>
            </w:tcBorders>
            <w:shd w:fill="CCEEFF" w:val="clear"/>
            <w:tcMar>
              <w:bottom w:w="28" w:type="dxa"/>
            </w:tcMar>
            <w:vAlign w:val="bottom"/>
          </w:tcPr>
          <w:p>
            <w:pPr>
              <w:pStyle w:val="TableContents"/>
              <w:spacing w:before="0" w:after="283"/>
              <w:jc w:val="right"/>
              <w:rPr/>
            </w:pPr>
            <w:r>
              <w:rPr/>
              <w:t>102</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65" w:type="dxa"/>
            <w:tcBorders>
              <w:bottom w:val="double" w:sz="8" w:space="0" w:color="000000"/>
            </w:tcBorders>
            <w:shd w:fill="CCEEFF" w:val="clear"/>
            <w:tcMar>
              <w:bottom w:w="28" w:type="dxa"/>
            </w:tcMar>
            <w:vAlign w:val="bottom"/>
          </w:tcPr>
          <w:p>
            <w:pPr>
              <w:pStyle w:val="TableContents"/>
              <w:spacing w:before="0" w:after="283"/>
              <w:jc w:val="left"/>
              <w:rPr/>
            </w:pPr>
            <w:r>
              <w:rPr/>
              <w:t>$</w:t>
            </w:r>
          </w:p>
        </w:tc>
        <w:tc>
          <w:tcPr>
            <w:tcW w:w="866" w:type="dxa"/>
            <w:tcBorders>
              <w:bottom w:val="double" w:sz="8" w:space="0" w:color="000000"/>
            </w:tcBorders>
            <w:shd w:fill="CCEEFF" w:val="clear"/>
            <w:tcMar>
              <w:bottom w:w="28" w:type="dxa"/>
            </w:tcMar>
            <w:vAlign w:val="bottom"/>
          </w:tcPr>
          <w:p>
            <w:pPr>
              <w:pStyle w:val="TableContents"/>
              <w:spacing w:before="0" w:after="283"/>
              <w:jc w:val="right"/>
              <w:rPr/>
            </w:pPr>
            <w:r>
              <w:rPr/>
              <w:t>800</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37" w:type="dxa"/>
            <w:tcBorders>
              <w:bottom w:val="double" w:sz="8" w:space="0" w:color="000000"/>
            </w:tcBorders>
            <w:shd w:fill="CCEEFF" w:val="clear"/>
            <w:tcMar>
              <w:bottom w:w="28" w:type="dxa"/>
            </w:tcMar>
            <w:vAlign w:val="bottom"/>
          </w:tcPr>
          <w:p>
            <w:pPr>
              <w:pStyle w:val="TableContents"/>
              <w:spacing w:before="0" w:after="283"/>
              <w:jc w:val="left"/>
              <w:rPr/>
            </w:pPr>
            <w:r>
              <w:rPr/>
              <w:t>$</w:t>
            </w:r>
          </w:p>
        </w:tc>
        <w:tc>
          <w:tcPr>
            <w:tcW w:w="773" w:type="dxa"/>
            <w:tcBorders>
              <w:bottom w:val="double" w:sz="8" w:space="0" w:color="000000"/>
            </w:tcBorders>
            <w:shd w:fill="CCEEFF" w:val="clear"/>
            <w:tcMar>
              <w:bottom w:w="28" w:type="dxa"/>
            </w:tcMar>
            <w:vAlign w:val="bottom"/>
          </w:tcPr>
          <w:p>
            <w:pPr>
              <w:pStyle w:val="TableContents"/>
              <w:spacing w:before="0" w:after="283"/>
              <w:jc w:val="right"/>
              <w:rPr/>
            </w:pPr>
            <w:r>
              <w:rPr/>
              <w:t>(939</w:t>
            </w:r>
          </w:p>
        </w:tc>
        <w:tc>
          <w:tcPr>
            <w:tcW w:w="95" w:type="dxa"/>
            <w:tcBorders/>
            <w:shd w:fill="CCEEFF" w:val="clear"/>
            <w:vAlign w:val="bottom"/>
          </w:tcPr>
          <w:p>
            <w:pPr>
              <w:pStyle w:val="TableContents"/>
              <w:spacing w:before="0" w:after="283"/>
              <w:jc w:val="left"/>
              <w:rPr/>
            </w:pPr>
            <w:r>
              <w:rPr/>
              <w:t>)</w:t>
            </w:r>
          </w:p>
        </w:tc>
        <w:tc>
          <w:tcPr>
            <w:tcW w:w="60" w:type="dxa"/>
            <w:tcBorders/>
            <w:shd w:fill="CCEEFF" w:val="clear"/>
            <w:vAlign w:val="bottom"/>
          </w:tcPr>
          <w:p>
            <w:pPr>
              <w:pStyle w:val="TableContents"/>
              <w:spacing w:before="0" w:after="283"/>
              <w:jc w:val="right"/>
              <w:rPr/>
            </w:pPr>
            <w:r>
              <w:rPr/>
              <w:t> </w:t>
            </w:r>
          </w:p>
        </w:tc>
        <w:tc>
          <w:tcPr>
            <w:tcW w:w="300" w:type="dxa"/>
            <w:tcBorders>
              <w:bottom w:val="double" w:sz="8" w:space="0" w:color="000000"/>
            </w:tcBorders>
            <w:shd w:fill="CCEEFF" w:val="clear"/>
            <w:tcMar>
              <w:bottom w:w="28" w:type="dxa"/>
            </w:tcMar>
            <w:vAlign w:val="bottom"/>
          </w:tcPr>
          <w:p>
            <w:pPr>
              <w:pStyle w:val="TableContents"/>
              <w:spacing w:before="0" w:after="283"/>
              <w:jc w:val="left"/>
              <w:rPr/>
            </w:pPr>
            <w:r>
              <w:rPr/>
              <w:t>$</w:t>
            </w:r>
          </w:p>
        </w:tc>
        <w:tc>
          <w:tcPr>
            <w:tcW w:w="815" w:type="dxa"/>
            <w:tcBorders>
              <w:bottom w:val="double" w:sz="8" w:space="0" w:color="000000"/>
            </w:tcBorders>
            <w:shd w:fill="CCEEFF" w:val="clear"/>
            <w:tcMar>
              <w:bottom w:w="28" w:type="dxa"/>
            </w:tcMar>
            <w:vAlign w:val="bottom"/>
          </w:tcPr>
          <w:p>
            <w:pPr>
              <w:pStyle w:val="TableContents"/>
              <w:spacing w:before="0" w:after="283"/>
              <w:jc w:val="right"/>
              <w:rPr/>
            </w:pPr>
            <w:r>
              <w:rPr/>
              <w:t>309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97" w:type="dxa"/>
            <w:tcBorders>
              <w:bottom w:val="double" w:sz="8" w:space="0" w:color="000000"/>
            </w:tcBorders>
            <w:shd w:fill="CCEEFF" w:val="clear"/>
            <w:tcMar>
              <w:bottom w:w="28" w:type="dxa"/>
            </w:tcMar>
            <w:vAlign w:val="bottom"/>
          </w:tcPr>
          <w:p>
            <w:pPr>
              <w:pStyle w:val="TableContents"/>
              <w:spacing w:before="0" w:after="283"/>
              <w:jc w:val="left"/>
              <w:rPr/>
            </w:pPr>
            <w:r>
              <w:rPr/>
              <w:t xml:space="preserve">$ </w:t>
            </w:r>
          </w:p>
        </w:tc>
        <w:tc>
          <w:tcPr>
            <w:tcW w:w="680" w:type="dxa"/>
            <w:tcBorders>
              <w:bottom w:val="double" w:sz="8" w:space="0" w:color="000000"/>
            </w:tcBorders>
            <w:shd w:fill="CCEEFF" w:val="clear"/>
            <w:tcMar>
              <w:bottom w:w="28" w:type="dxa"/>
            </w:tcMar>
            <w:vAlign w:val="bottom"/>
          </w:tcPr>
          <w:p>
            <w:pPr>
              <w:pStyle w:val="TableContents"/>
              <w:spacing w:before="0" w:after="283"/>
              <w:jc w:val="right"/>
              <w:rPr/>
            </w:pPr>
            <w:r>
              <w:rPr/>
              <w:t>39,560</w:t>
            </w:r>
          </w:p>
        </w:tc>
        <w:tc>
          <w:tcPr>
            <w:tcW w:w="77" w:type="dxa"/>
            <w:tcBorders/>
            <w:shd w:fill="CCEEFF" w:val="clear"/>
            <w:vAlign w:val="bottom"/>
          </w:tcPr>
          <w:p>
            <w:pPr>
              <w:pStyle w:val="TableContents"/>
              <w:spacing w:before="0" w:after="283"/>
              <w:jc w:val="left"/>
              <w:rPr/>
            </w:pPr>
            <w:r>
              <w:rPr/>
              <w:t> </w:t>
            </w:r>
          </w:p>
        </w:tc>
      </w:tr>
    </w:tbl>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(1) The $1.0 million provision for credit loss on the consolidated statement of comprehensive income (loss) includes a $800 thousand provision for credit losses on loans and a $210 thousand provision for off-balance sheet credit exposures for the three months ended March 31, 2023.</w:t>
      </w:r>
    </w:p>
    <w:p>
      <w:pPr>
        <w:pStyle w:val="TextBody"/>
        <w:spacing w:before="0" w:after="0"/>
        <w:jc w:val="left"/>
        <w:rPr/>
      </w:pPr>
      <w:r>
        <w:rPr/>
      </w:r>
    </w:p>
    <w:tbl>
      <w:tblPr>
        <w:tblW w:w="9089" w:type="dxa"/>
        <w:jc w:val="left"/>
        <w:tblInd w:w="0" w:type="dxa"/>
        <w:tblCellMar>
          <w:top w:w="0" w:type="dxa"/>
          <w:left w:w="0" w:type="dxa"/>
          <w:bottom w:w="0" w:type="dxa"/>
          <w:right w:w="0" w:type="dxa"/>
        </w:tblCellMar>
      </w:tblPr>
      <w:tblGrid>
        <w:gridCol w:w="3575"/>
        <w:gridCol w:w="60"/>
        <w:gridCol w:w="151"/>
        <w:gridCol w:w="739"/>
        <w:gridCol w:w="60"/>
        <w:gridCol w:w="60"/>
        <w:gridCol w:w="208"/>
        <w:gridCol w:w="951"/>
        <w:gridCol w:w="95"/>
        <w:gridCol w:w="60"/>
        <w:gridCol w:w="237"/>
        <w:gridCol w:w="773"/>
        <w:gridCol w:w="95"/>
        <w:gridCol w:w="60"/>
        <w:gridCol w:w="255"/>
        <w:gridCol w:w="695"/>
        <w:gridCol w:w="60"/>
        <w:gridCol w:w="60"/>
        <w:gridCol w:w="140"/>
        <w:gridCol w:w="680"/>
        <w:gridCol w:w="75"/>
      </w:tblGrid>
      <w:tr>
        <w:trPr/>
        <w:tc>
          <w:tcPr>
            <w:tcW w:w="3575" w:type="dxa"/>
            <w:tcBorders/>
            <w:shd w:fill="auto" w:val="clear"/>
            <w:vAlign w:val="bottom"/>
          </w:tcPr>
          <w:p>
            <w:pPr>
              <w:pStyle w:val="TableContents"/>
              <w:spacing w:before="0" w:after="283"/>
              <w:rPr/>
            </w:pPr>
            <w:r>
              <w:rPr/>
            </w:r>
          </w:p>
        </w:tc>
        <w:tc>
          <w:tcPr>
            <w:tcW w:w="60" w:type="dxa"/>
            <w:tcBorders/>
            <w:shd w:fill="auto" w:val="clear"/>
            <w:vAlign w:val="bottom"/>
          </w:tcPr>
          <w:p>
            <w:pPr>
              <w:pStyle w:val="TableContents"/>
              <w:spacing w:before="0" w:after="283"/>
              <w:rPr/>
            </w:pPr>
            <w:r>
              <w:rPr/>
              <w:t> </w:t>
            </w:r>
          </w:p>
        </w:tc>
        <w:tc>
          <w:tcPr>
            <w:tcW w:w="89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Beginning</w:t>
            </w:r>
          </w:p>
          <w:p>
            <w:pPr>
              <w:pStyle w:val="TableContents"/>
              <w:spacing w:before="0" w:after="0"/>
              <w:jc w:val="center"/>
              <w:rPr>
                <w:rFonts w:ascii="Times New Roman" w:hAnsi="Times New Roman"/>
                <w:b/>
                <w:sz w:val="20"/>
              </w:rPr>
            </w:pPr>
            <w:r>
              <w:rPr>
                <w:rFonts w:ascii="Times New Roman" w:hAnsi="Times New Roman"/>
                <w:b/>
                <w:sz w:val="20"/>
              </w:rPr>
              <w:t>Balance</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59"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Provision for</w:t>
            </w:r>
          </w:p>
          <w:p>
            <w:pPr>
              <w:pStyle w:val="TableContents"/>
              <w:spacing w:before="0" w:after="0"/>
              <w:jc w:val="center"/>
              <w:rPr>
                <w:rFonts w:ascii="Times New Roman" w:hAnsi="Times New Roman"/>
                <w:b/>
                <w:sz w:val="20"/>
              </w:rPr>
            </w:pPr>
            <w:r>
              <w:rPr>
                <w:rFonts w:ascii="Times New Roman" w:hAnsi="Times New Roman"/>
                <w:b/>
                <w:sz w:val="20"/>
              </w:rPr>
              <w:t>Credit Losses</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01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Charge-offs</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5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Recoveries</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2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Ending</w:t>
            </w:r>
          </w:p>
          <w:p>
            <w:pPr>
              <w:pStyle w:val="TableContents"/>
              <w:spacing w:before="0" w:after="0"/>
              <w:jc w:val="center"/>
              <w:rPr>
                <w:rFonts w:ascii="Times New Roman" w:hAnsi="Times New Roman"/>
                <w:b/>
                <w:sz w:val="20"/>
              </w:rPr>
            </w:pPr>
            <w:r>
              <w:rPr>
                <w:rFonts w:ascii="Times New Roman" w:hAnsi="Times New Roman"/>
                <w:b/>
                <w:sz w:val="20"/>
              </w:rPr>
              <w:t>Balance</w:t>
            </w:r>
          </w:p>
        </w:tc>
        <w:tc>
          <w:tcPr>
            <w:tcW w:w="75" w:type="dxa"/>
            <w:tcBorders/>
            <w:shd w:fill="auto" w:val="clear"/>
            <w:vAlign w:val="bottom"/>
          </w:tcPr>
          <w:p>
            <w:pPr>
              <w:pStyle w:val="TableContents"/>
              <w:spacing w:before="0" w:after="283"/>
              <w:jc w:val="left"/>
              <w:rPr/>
            </w:pPr>
            <w:r>
              <w:rPr/>
              <w:t> </w:t>
            </w:r>
          </w:p>
        </w:tc>
      </w:tr>
      <w:tr>
        <w:trPr/>
        <w:tc>
          <w:tcPr>
            <w:tcW w:w="3575" w:type="dxa"/>
            <w:tcBorders/>
            <w:shd w:fill="auto" w:val="clear"/>
            <w:vAlign w:val="bottom"/>
          </w:tcPr>
          <w:p>
            <w:pPr>
              <w:pStyle w:val="TableContents"/>
              <w:spacing w:before="0" w:after="0"/>
              <w:ind w:left="180" w:right="0" w:hanging="0"/>
              <w:jc w:val="left"/>
              <w:rPr>
                <w:rFonts w:ascii="Times New Roman" w:hAnsi="Times New Roman"/>
                <w:sz w:val="20"/>
                <w:u w:val="single"/>
              </w:rPr>
            </w:pPr>
            <w:r>
              <w:rPr>
                <w:rFonts w:ascii="Times New Roman" w:hAnsi="Times New Roman"/>
                <w:sz w:val="20"/>
                <w:u w:val="single"/>
              </w:rPr>
              <w:t>For the three months ended March 31, 2022</w:t>
            </w:r>
          </w:p>
        </w:tc>
        <w:tc>
          <w:tcPr>
            <w:tcW w:w="60" w:type="dxa"/>
            <w:tcBorders/>
            <w:shd w:fill="auto" w:val="clear"/>
            <w:vAlign w:val="bottom"/>
          </w:tcPr>
          <w:p>
            <w:pPr>
              <w:pStyle w:val="TableContents"/>
              <w:spacing w:before="0" w:after="283"/>
              <w:jc w:val="right"/>
              <w:rPr/>
            </w:pPr>
            <w:r>
              <w:rPr/>
              <w:t> </w:t>
            </w:r>
          </w:p>
        </w:tc>
        <w:tc>
          <w:tcPr>
            <w:tcW w:w="890" w:type="dxa"/>
            <w:gridSpan w:val="2"/>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159" w:type="dxa"/>
            <w:gridSpan w:val="2"/>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010" w:type="dxa"/>
            <w:gridSpan w:val="2"/>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950" w:type="dxa"/>
            <w:gridSpan w:val="2"/>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820" w:type="dxa"/>
            <w:gridSpan w:val="2"/>
            <w:tcBorders/>
            <w:shd w:fill="auto" w:val="clear"/>
            <w:vAlign w:val="bottom"/>
          </w:tcPr>
          <w:p>
            <w:pPr>
              <w:pStyle w:val="TableContents"/>
              <w:spacing w:before="0" w:after="283"/>
              <w:jc w:val="right"/>
              <w:rPr/>
            </w:pPr>
            <w:r>
              <w:rPr/>
              <w:t> </w:t>
            </w:r>
          </w:p>
        </w:tc>
        <w:tc>
          <w:tcPr>
            <w:tcW w:w="75" w:type="dxa"/>
            <w:tcBorders/>
            <w:shd w:fill="auto" w:val="clear"/>
            <w:vAlign w:val="bottom"/>
          </w:tcPr>
          <w:p>
            <w:pPr>
              <w:pStyle w:val="TableContents"/>
              <w:spacing w:before="0" w:after="283"/>
              <w:jc w:val="left"/>
              <w:rPr/>
            </w:pPr>
            <w:r>
              <w:rPr/>
              <w:t> </w:t>
            </w:r>
          </w:p>
        </w:tc>
      </w:tr>
      <w:tr>
        <w:trPr/>
        <w:tc>
          <w:tcPr>
            <w:tcW w:w="3575" w:type="dxa"/>
            <w:tcBorders/>
            <w:shd w:fill="CCEE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Commercial real estate</w:t>
            </w:r>
          </w:p>
        </w:tc>
        <w:tc>
          <w:tcPr>
            <w:tcW w:w="60" w:type="dxa"/>
            <w:tcBorders/>
            <w:shd w:fill="CCEEFF" w:val="clear"/>
            <w:vAlign w:val="bottom"/>
          </w:tcPr>
          <w:p>
            <w:pPr>
              <w:pStyle w:val="TableContents"/>
              <w:spacing w:before="0" w:after="283"/>
              <w:jc w:val="right"/>
              <w:rPr/>
            </w:pPr>
            <w:r>
              <w:rPr/>
              <w:t> </w:t>
            </w:r>
          </w:p>
        </w:tc>
        <w:tc>
          <w:tcPr>
            <w:tcW w:w="151" w:type="dxa"/>
            <w:tcBorders/>
            <w:shd w:fill="CCEEFF" w:val="clear"/>
            <w:vAlign w:val="bottom"/>
          </w:tcPr>
          <w:p>
            <w:pPr>
              <w:pStyle w:val="TableContents"/>
              <w:spacing w:before="0" w:after="283"/>
              <w:jc w:val="left"/>
              <w:rPr/>
            </w:pPr>
            <w:r>
              <w:rPr/>
              <w:t>$</w:t>
            </w:r>
          </w:p>
        </w:tc>
        <w:tc>
          <w:tcPr>
            <w:tcW w:w="739" w:type="dxa"/>
            <w:tcBorders/>
            <w:shd w:fill="CCEEFF" w:val="clear"/>
            <w:vAlign w:val="bottom"/>
          </w:tcPr>
          <w:p>
            <w:pPr>
              <w:pStyle w:val="TableContents"/>
              <w:spacing w:before="0" w:after="283"/>
              <w:jc w:val="right"/>
              <w:rPr/>
            </w:pPr>
            <w:r>
              <w:rPr/>
              <w:t>17,245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08" w:type="dxa"/>
            <w:tcBorders/>
            <w:shd w:fill="CCEEFF" w:val="clear"/>
            <w:vAlign w:val="bottom"/>
          </w:tcPr>
          <w:p>
            <w:pPr>
              <w:pStyle w:val="TableContents"/>
              <w:spacing w:before="0" w:after="283"/>
              <w:jc w:val="left"/>
              <w:rPr/>
            </w:pPr>
            <w:r>
              <w:rPr/>
              <w:t>$</w:t>
            </w:r>
          </w:p>
        </w:tc>
        <w:tc>
          <w:tcPr>
            <w:tcW w:w="951" w:type="dxa"/>
            <w:tcBorders/>
            <w:shd w:fill="CCEEFF" w:val="clear"/>
            <w:vAlign w:val="bottom"/>
          </w:tcPr>
          <w:p>
            <w:pPr>
              <w:pStyle w:val="TableContents"/>
              <w:spacing w:before="0" w:after="283"/>
              <w:jc w:val="right"/>
              <w:rPr/>
            </w:pPr>
            <w:r>
              <w:rPr/>
              <w:t>(2,649</w:t>
            </w:r>
          </w:p>
        </w:tc>
        <w:tc>
          <w:tcPr>
            <w:tcW w:w="95" w:type="dxa"/>
            <w:tcBorders/>
            <w:shd w:fill="CCEEFF" w:val="clear"/>
            <w:vAlign w:val="bottom"/>
          </w:tcPr>
          <w:p>
            <w:pPr>
              <w:pStyle w:val="TableContents"/>
              <w:spacing w:before="0" w:after="283"/>
              <w:jc w:val="left"/>
              <w:rPr/>
            </w:pPr>
            <w:r>
              <w:rPr/>
              <w:t>)</w:t>
            </w:r>
          </w:p>
        </w:tc>
        <w:tc>
          <w:tcPr>
            <w:tcW w:w="60" w:type="dxa"/>
            <w:tcBorders/>
            <w:shd w:fill="CCEEFF" w:val="clear"/>
            <w:vAlign w:val="bottom"/>
          </w:tcPr>
          <w:p>
            <w:pPr>
              <w:pStyle w:val="TableContents"/>
              <w:spacing w:before="0" w:after="283"/>
              <w:jc w:val="right"/>
              <w:rPr/>
            </w:pPr>
            <w:r>
              <w:rPr/>
              <w:t> </w:t>
            </w:r>
          </w:p>
        </w:tc>
        <w:tc>
          <w:tcPr>
            <w:tcW w:w="237" w:type="dxa"/>
            <w:tcBorders/>
            <w:shd w:fill="CCEEFF" w:val="clear"/>
            <w:vAlign w:val="bottom"/>
          </w:tcPr>
          <w:p>
            <w:pPr>
              <w:pStyle w:val="TableContents"/>
              <w:spacing w:before="0" w:after="283"/>
              <w:jc w:val="left"/>
              <w:rPr/>
            </w:pPr>
            <w:r>
              <w:rPr/>
              <w:t>$</w:t>
            </w:r>
          </w:p>
        </w:tc>
        <w:tc>
          <w:tcPr>
            <w:tcW w:w="773" w:type="dxa"/>
            <w:tcBorders/>
            <w:shd w:fill="CCEEFF" w:val="clear"/>
            <w:vAlign w:val="bottom"/>
          </w:tcPr>
          <w:p>
            <w:pPr>
              <w:pStyle w:val="TableContents"/>
              <w:spacing w:before="0" w:after="283"/>
              <w:jc w:val="right"/>
              <w:rPr/>
            </w:pPr>
            <w:r>
              <w:rPr/>
              <w:t>—</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55" w:type="dxa"/>
            <w:tcBorders/>
            <w:shd w:fill="CCEEFF" w:val="clear"/>
            <w:vAlign w:val="bottom"/>
          </w:tcPr>
          <w:p>
            <w:pPr>
              <w:pStyle w:val="TableContents"/>
              <w:spacing w:before="0" w:after="283"/>
              <w:jc w:val="left"/>
              <w:rPr/>
            </w:pPr>
            <w:r>
              <w:rPr/>
              <w:t>$</w:t>
            </w:r>
          </w:p>
        </w:tc>
        <w:tc>
          <w:tcPr>
            <w:tcW w:w="695" w:type="dxa"/>
            <w:tcBorders/>
            <w:shd w:fill="CCEEFF" w:val="clear"/>
            <w:vAlign w:val="bottom"/>
          </w:tcPr>
          <w:p>
            <w:pPr>
              <w:pStyle w:val="TableContents"/>
              <w:spacing w:before="0" w:after="283"/>
              <w:jc w:val="right"/>
              <w:rPr/>
            </w:pPr>
            <w:r>
              <w:rPr/>
              <w:t>25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w:t>
            </w:r>
          </w:p>
        </w:tc>
        <w:tc>
          <w:tcPr>
            <w:tcW w:w="680" w:type="dxa"/>
            <w:tcBorders/>
            <w:shd w:fill="CCEEFF" w:val="clear"/>
            <w:vAlign w:val="bottom"/>
          </w:tcPr>
          <w:p>
            <w:pPr>
              <w:pStyle w:val="TableContents"/>
              <w:spacing w:before="0" w:after="283"/>
              <w:jc w:val="right"/>
              <w:rPr/>
            </w:pPr>
            <w:r>
              <w:rPr/>
              <w:t>14,621</w:t>
            </w:r>
          </w:p>
        </w:tc>
        <w:tc>
          <w:tcPr>
            <w:tcW w:w="75" w:type="dxa"/>
            <w:tcBorders/>
            <w:shd w:fill="CCEEFF" w:val="clear"/>
            <w:vAlign w:val="bottom"/>
          </w:tcPr>
          <w:p>
            <w:pPr>
              <w:pStyle w:val="TableContents"/>
              <w:spacing w:before="0" w:after="283"/>
              <w:jc w:val="left"/>
              <w:rPr/>
            </w:pPr>
            <w:r>
              <w:rPr/>
              <w:t> </w:t>
            </w:r>
          </w:p>
        </w:tc>
      </w:tr>
      <w:tr>
        <w:trPr/>
        <w:tc>
          <w:tcPr>
            <w:tcW w:w="3575" w:type="dxa"/>
            <w:tcBorders/>
            <w:shd w:fill="auto"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Commercial - specialized</w:t>
            </w:r>
          </w:p>
        </w:tc>
        <w:tc>
          <w:tcPr>
            <w:tcW w:w="60" w:type="dxa"/>
            <w:tcBorders/>
            <w:shd w:fill="auto" w:val="clear"/>
            <w:vAlign w:val="bottom"/>
          </w:tcPr>
          <w:p>
            <w:pPr>
              <w:pStyle w:val="TableContents"/>
              <w:spacing w:before="0" w:after="283"/>
              <w:jc w:val="right"/>
              <w:rPr/>
            </w:pPr>
            <w:r>
              <w:rPr/>
              <w:t> </w:t>
            </w:r>
          </w:p>
        </w:tc>
        <w:tc>
          <w:tcPr>
            <w:tcW w:w="151" w:type="dxa"/>
            <w:tcBorders/>
            <w:shd w:fill="auto" w:val="clear"/>
            <w:vAlign w:val="bottom"/>
          </w:tcPr>
          <w:p>
            <w:pPr>
              <w:pStyle w:val="TableContents"/>
              <w:spacing w:before="0" w:after="283"/>
              <w:jc w:val="left"/>
              <w:rPr/>
            </w:pPr>
            <w:r>
              <w:rPr/>
              <w:t> </w:t>
            </w:r>
          </w:p>
        </w:tc>
        <w:tc>
          <w:tcPr>
            <w:tcW w:w="739" w:type="dxa"/>
            <w:tcBorders/>
            <w:shd w:fill="auto" w:val="clear"/>
            <w:vAlign w:val="bottom"/>
          </w:tcPr>
          <w:p>
            <w:pPr>
              <w:pStyle w:val="TableContents"/>
              <w:spacing w:before="0" w:after="283"/>
              <w:jc w:val="right"/>
              <w:rPr/>
            </w:pPr>
            <w:r>
              <w:rPr/>
              <w:t>4,363</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08" w:type="dxa"/>
            <w:tcBorders/>
            <w:shd w:fill="auto" w:val="clear"/>
            <w:vAlign w:val="bottom"/>
          </w:tcPr>
          <w:p>
            <w:pPr>
              <w:pStyle w:val="TableContents"/>
              <w:spacing w:before="0" w:after="283"/>
              <w:jc w:val="left"/>
              <w:rPr/>
            </w:pPr>
            <w:r>
              <w:rPr/>
              <w:t> </w:t>
            </w:r>
          </w:p>
        </w:tc>
        <w:tc>
          <w:tcPr>
            <w:tcW w:w="951" w:type="dxa"/>
            <w:tcBorders/>
            <w:shd w:fill="auto" w:val="clear"/>
            <w:vAlign w:val="bottom"/>
          </w:tcPr>
          <w:p>
            <w:pPr>
              <w:pStyle w:val="TableContents"/>
              <w:spacing w:before="0" w:after="283"/>
              <w:jc w:val="right"/>
              <w:rPr/>
            </w:pPr>
            <w:r>
              <w:rPr/>
              <w:t>(1,083</w:t>
            </w:r>
          </w:p>
        </w:tc>
        <w:tc>
          <w:tcPr>
            <w:tcW w:w="95" w:type="dxa"/>
            <w:tcBorders/>
            <w:shd w:fill="auto" w:val="clear"/>
            <w:vAlign w:val="bottom"/>
          </w:tcPr>
          <w:p>
            <w:pPr>
              <w:pStyle w:val="TableContents"/>
              <w:spacing w:before="0" w:after="283"/>
              <w:jc w:val="left"/>
              <w:rPr/>
            </w:pPr>
            <w:r>
              <w:rPr/>
              <w:t>)</w:t>
            </w:r>
          </w:p>
        </w:tc>
        <w:tc>
          <w:tcPr>
            <w:tcW w:w="60" w:type="dxa"/>
            <w:tcBorders/>
            <w:shd w:fill="auto" w:val="clear"/>
            <w:vAlign w:val="bottom"/>
          </w:tcPr>
          <w:p>
            <w:pPr>
              <w:pStyle w:val="TableContents"/>
              <w:spacing w:before="0" w:after="283"/>
              <w:jc w:val="right"/>
              <w:rPr/>
            </w:pPr>
            <w:r>
              <w:rPr/>
              <w:t> </w:t>
            </w:r>
          </w:p>
        </w:tc>
        <w:tc>
          <w:tcPr>
            <w:tcW w:w="237" w:type="dxa"/>
            <w:tcBorders/>
            <w:shd w:fill="auto" w:val="clear"/>
            <w:vAlign w:val="bottom"/>
          </w:tcPr>
          <w:p>
            <w:pPr>
              <w:pStyle w:val="TableContents"/>
              <w:spacing w:before="0" w:after="283"/>
              <w:jc w:val="left"/>
              <w:rPr/>
            </w:pPr>
            <w:r>
              <w:rPr/>
              <w:t> </w:t>
            </w:r>
          </w:p>
        </w:tc>
        <w:tc>
          <w:tcPr>
            <w:tcW w:w="773" w:type="dxa"/>
            <w:tcBorders/>
            <w:shd w:fill="auto" w:val="clear"/>
            <w:vAlign w:val="bottom"/>
          </w:tcPr>
          <w:p>
            <w:pPr>
              <w:pStyle w:val="TableContents"/>
              <w:spacing w:before="0" w:after="283"/>
              <w:jc w:val="right"/>
              <w:rPr/>
            </w:pPr>
            <w:r>
              <w:rPr/>
              <w:t>(39</w:t>
            </w:r>
          </w:p>
        </w:tc>
        <w:tc>
          <w:tcPr>
            <w:tcW w:w="95" w:type="dxa"/>
            <w:tcBorders/>
            <w:shd w:fill="auto" w:val="clear"/>
            <w:vAlign w:val="bottom"/>
          </w:tcPr>
          <w:p>
            <w:pPr>
              <w:pStyle w:val="TableContents"/>
              <w:spacing w:before="0" w:after="283"/>
              <w:jc w:val="left"/>
              <w:rPr/>
            </w:pPr>
            <w:r>
              <w:rPr/>
              <w:t>)</w:t>
            </w:r>
          </w:p>
        </w:tc>
        <w:tc>
          <w:tcPr>
            <w:tcW w:w="60" w:type="dxa"/>
            <w:tcBorders/>
            <w:shd w:fill="auto" w:val="clear"/>
            <w:vAlign w:val="bottom"/>
          </w:tcPr>
          <w:p>
            <w:pPr>
              <w:pStyle w:val="TableContents"/>
              <w:spacing w:before="0" w:after="283"/>
              <w:jc w:val="right"/>
              <w:rPr/>
            </w:pPr>
            <w:r>
              <w:rPr/>
              <w:t> </w:t>
            </w:r>
          </w:p>
        </w:tc>
        <w:tc>
          <w:tcPr>
            <w:tcW w:w="25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283"/>
              <w:jc w:val="right"/>
              <w:rPr/>
            </w:pPr>
            <w:r>
              <w:rPr/>
              <w:t>34</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680" w:type="dxa"/>
            <w:tcBorders/>
            <w:shd w:fill="auto" w:val="clear"/>
            <w:vAlign w:val="bottom"/>
          </w:tcPr>
          <w:p>
            <w:pPr>
              <w:pStyle w:val="TableContents"/>
              <w:spacing w:before="0" w:after="283"/>
              <w:jc w:val="right"/>
              <w:rPr/>
            </w:pPr>
            <w:r>
              <w:rPr/>
              <w:t>3,275</w:t>
            </w:r>
          </w:p>
        </w:tc>
        <w:tc>
          <w:tcPr>
            <w:tcW w:w="75" w:type="dxa"/>
            <w:tcBorders/>
            <w:shd w:fill="auto" w:val="clear"/>
            <w:vAlign w:val="bottom"/>
          </w:tcPr>
          <w:p>
            <w:pPr>
              <w:pStyle w:val="TableContents"/>
              <w:spacing w:before="0" w:after="283"/>
              <w:jc w:val="left"/>
              <w:rPr/>
            </w:pPr>
            <w:r>
              <w:rPr/>
              <w:t> </w:t>
            </w:r>
          </w:p>
        </w:tc>
      </w:tr>
      <w:tr>
        <w:trPr/>
        <w:tc>
          <w:tcPr>
            <w:tcW w:w="3575" w:type="dxa"/>
            <w:tcBorders/>
            <w:shd w:fill="CCEE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Commercial - general</w:t>
            </w:r>
          </w:p>
        </w:tc>
        <w:tc>
          <w:tcPr>
            <w:tcW w:w="60" w:type="dxa"/>
            <w:tcBorders/>
            <w:shd w:fill="CCEEFF" w:val="clear"/>
            <w:vAlign w:val="bottom"/>
          </w:tcPr>
          <w:p>
            <w:pPr>
              <w:pStyle w:val="TableContents"/>
              <w:spacing w:before="0" w:after="283"/>
              <w:jc w:val="right"/>
              <w:rPr/>
            </w:pPr>
            <w:r>
              <w:rPr/>
              <w:t> </w:t>
            </w:r>
          </w:p>
        </w:tc>
        <w:tc>
          <w:tcPr>
            <w:tcW w:w="151" w:type="dxa"/>
            <w:tcBorders/>
            <w:shd w:fill="CCEEFF" w:val="clear"/>
            <w:vAlign w:val="bottom"/>
          </w:tcPr>
          <w:p>
            <w:pPr>
              <w:pStyle w:val="TableContents"/>
              <w:spacing w:before="0" w:after="283"/>
              <w:jc w:val="left"/>
              <w:rPr/>
            </w:pPr>
            <w:r>
              <w:rPr/>
              <w:t> </w:t>
            </w:r>
          </w:p>
        </w:tc>
        <w:tc>
          <w:tcPr>
            <w:tcW w:w="739" w:type="dxa"/>
            <w:tcBorders/>
            <w:shd w:fill="CCEEFF" w:val="clear"/>
            <w:vAlign w:val="bottom"/>
          </w:tcPr>
          <w:p>
            <w:pPr>
              <w:pStyle w:val="TableContents"/>
              <w:spacing w:before="0" w:after="283"/>
              <w:jc w:val="right"/>
              <w:rPr/>
            </w:pPr>
            <w:r>
              <w:rPr/>
              <w:t>8,466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08" w:type="dxa"/>
            <w:tcBorders/>
            <w:shd w:fill="CCEEFF" w:val="clear"/>
            <w:vAlign w:val="bottom"/>
          </w:tcPr>
          <w:p>
            <w:pPr>
              <w:pStyle w:val="TableContents"/>
              <w:spacing w:before="0" w:after="283"/>
              <w:jc w:val="left"/>
              <w:rPr/>
            </w:pPr>
            <w:r>
              <w:rPr/>
              <w:t> </w:t>
            </w:r>
          </w:p>
        </w:tc>
        <w:tc>
          <w:tcPr>
            <w:tcW w:w="951" w:type="dxa"/>
            <w:tcBorders/>
            <w:shd w:fill="CCEEFF" w:val="clear"/>
            <w:vAlign w:val="bottom"/>
          </w:tcPr>
          <w:p>
            <w:pPr>
              <w:pStyle w:val="TableContents"/>
              <w:spacing w:before="0" w:after="283"/>
              <w:jc w:val="right"/>
              <w:rPr/>
            </w:pPr>
            <w:r>
              <w:rPr/>
              <w:t>1,659</w:t>
            </w:r>
          </w:p>
        </w:tc>
        <w:tc>
          <w:tcPr>
            <w:tcW w:w="95" w:type="dxa"/>
            <w:tcBorders/>
            <w:shd w:fill="CCEEFF" w:val="clear"/>
            <w:vAlign w:val="bottom"/>
          </w:tcPr>
          <w:p>
            <w:pPr>
              <w:pStyle w:val="TableContents"/>
              <w:spacing w:before="0" w:after="283"/>
              <w:rPr/>
            </w:pPr>
            <w:r>
              <w:rPr/>
            </w:r>
          </w:p>
        </w:tc>
        <w:tc>
          <w:tcPr>
            <w:tcW w:w="60" w:type="dxa"/>
            <w:tcBorders/>
            <w:shd w:fill="CCEEFF" w:val="clear"/>
            <w:vAlign w:val="bottom"/>
          </w:tcPr>
          <w:p>
            <w:pPr>
              <w:pStyle w:val="TableContents"/>
              <w:spacing w:before="0" w:after="283"/>
              <w:jc w:val="right"/>
              <w:rPr/>
            </w:pPr>
            <w:r>
              <w:rPr/>
              <w:t> </w:t>
            </w:r>
          </w:p>
        </w:tc>
        <w:tc>
          <w:tcPr>
            <w:tcW w:w="237" w:type="dxa"/>
            <w:tcBorders/>
            <w:shd w:fill="CCEEFF" w:val="clear"/>
            <w:vAlign w:val="bottom"/>
          </w:tcPr>
          <w:p>
            <w:pPr>
              <w:pStyle w:val="TableContents"/>
              <w:spacing w:before="0" w:after="283"/>
              <w:jc w:val="left"/>
              <w:rPr/>
            </w:pPr>
            <w:r>
              <w:rPr/>
              <w:t> </w:t>
            </w:r>
          </w:p>
        </w:tc>
        <w:tc>
          <w:tcPr>
            <w:tcW w:w="773" w:type="dxa"/>
            <w:tcBorders/>
            <w:shd w:fill="CCEEFF" w:val="clear"/>
            <w:vAlign w:val="bottom"/>
          </w:tcPr>
          <w:p>
            <w:pPr>
              <w:pStyle w:val="TableContents"/>
              <w:spacing w:before="0" w:after="283"/>
              <w:jc w:val="right"/>
              <w:rPr/>
            </w:pPr>
            <w:r>
              <w:rPr/>
              <w:t>(307</w:t>
            </w:r>
          </w:p>
        </w:tc>
        <w:tc>
          <w:tcPr>
            <w:tcW w:w="95" w:type="dxa"/>
            <w:tcBorders/>
            <w:shd w:fill="CCEEFF" w:val="clear"/>
            <w:vAlign w:val="bottom"/>
          </w:tcPr>
          <w:p>
            <w:pPr>
              <w:pStyle w:val="TableContents"/>
              <w:spacing w:before="0" w:after="283"/>
              <w:jc w:val="left"/>
              <w:rPr/>
            </w:pPr>
            <w:r>
              <w:rPr/>
              <w:t>)</w:t>
            </w:r>
          </w:p>
        </w:tc>
        <w:tc>
          <w:tcPr>
            <w:tcW w:w="60" w:type="dxa"/>
            <w:tcBorders/>
            <w:shd w:fill="CCEEFF" w:val="clear"/>
            <w:vAlign w:val="bottom"/>
          </w:tcPr>
          <w:p>
            <w:pPr>
              <w:pStyle w:val="TableContents"/>
              <w:spacing w:before="0" w:after="283"/>
              <w:jc w:val="right"/>
              <w:rPr/>
            </w:pPr>
            <w:r>
              <w:rPr/>
              <w:t> </w:t>
            </w:r>
          </w:p>
        </w:tc>
        <w:tc>
          <w:tcPr>
            <w:tcW w:w="255"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283"/>
              <w:jc w:val="right"/>
              <w:rPr/>
            </w:pPr>
            <w:r>
              <w:rPr/>
              <w:t>122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680" w:type="dxa"/>
            <w:tcBorders/>
            <w:shd w:fill="CCEEFF" w:val="clear"/>
            <w:vAlign w:val="bottom"/>
          </w:tcPr>
          <w:p>
            <w:pPr>
              <w:pStyle w:val="TableContents"/>
              <w:spacing w:before="0" w:after="283"/>
              <w:jc w:val="right"/>
              <w:rPr/>
            </w:pPr>
            <w:r>
              <w:rPr/>
              <w:t>9,940</w:t>
            </w:r>
          </w:p>
        </w:tc>
        <w:tc>
          <w:tcPr>
            <w:tcW w:w="75" w:type="dxa"/>
            <w:tcBorders/>
            <w:shd w:fill="CCEEFF" w:val="clear"/>
            <w:vAlign w:val="bottom"/>
          </w:tcPr>
          <w:p>
            <w:pPr>
              <w:pStyle w:val="TableContents"/>
              <w:spacing w:before="0" w:after="283"/>
              <w:jc w:val="left"/>
              <w:rPr/>
            </w:pPr>
            <w:r>
              <w:rPr/>
              <w:t> </w:t>
            </w:r>
          </w:p>
        </w:tc>
      </w:tr>
      <w:tr>
        <w:trPr/>
        <w:tc>
          <w:tcPr>
            <w:tcW w:w="3575" w:type="dxa"/>
            <w:tcBorders/>
            <w:shd w:fill="auto"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Consumer:</w:t>
            </w:r>
          </w:p>
        </w:tc>
        <w:tc>
          <w:tcPr>
            <w:tcW w:w="60" w:type="dxa"/>
            <w:tcBorders/>
            <w:shd w:fill="auto" w:val="clear"/>
            <w:vAlign w:val="bottom"/>
          </w:tcPr>
          <w:p>
            <w:pPr>
              <w:pStyle w:val="TableContents"/>
              <w:spacing w:before="0" w:after="283"/>
              <w:jc w:val="right"/>
              <w:rPr/>
            </w:pPr>
            <w:r>
              <w:rPr/>
              <w:t> </w:t>
            </w:r>
          </w:p>
        </w:tc>
        <w:tc>
          <w:tcPr>
            <w:tcW w:w="151" w:type="dxa"/>
            <w:tcBorders/>
            <w:shd w:fill="auto" w:val="clear"/>
            <w:vAlign w:val="bottom"/>
          </w:tcPr>
          <w:p>
            <w:pPr>
              <w:pStyle w:val="TableContents"/>
              <w:spacing w:before="0" w:after="283"/>
              <w:jc w:val="left"/>
              <w:rPr/>
            </w:pPr>
            <w:r>
              <w:rPr/>
              <w:t> </w:t>
            </w:r>
          </w:p>
        </w:tc>
        <w:tc>
          <w:tcPr>
            <w:tcW w:w="739"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08" w:type="dxa"/>
            <w:tcBorders/>
            <w:shd w:fill="auto" w:val="clear"/>
            <w:vAlign w:val="bottom"/>
          </w:tcPr>
          <w:p>
            <w:pPr>
              <w:pStyle w:val="TableContents"/>
              <w:spacing w:before="0" w:after="283"/>
              <w:jc w:val="left"/>
              <w:rPr/>
            </w:pPr>
            <w:r>
              <w:rPr/>
              <w:t> </w:t>
            </w:r>
          </w:p>
        </w:tc>
        <w:tc>
          <w:tcPr>
            <w:tcW w:w="951"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37" w:type="dxa"/>
            <w:tcBorders/>
            <w:shd w:fill="auto" w:val="clear"/>
            <w:vAlign w:val="bottom"/>
          </w:tcPr>
          <w:p>
            <w:pPr>
              <w:pStyle w:val="TableContents"/>
              <w:spacing w:before="0" w:after="283"/>
              <w:jc w:val="left"/>
              <w:rPr/>
            </w:pPr>
            <w:r>
              <w:rPr/>
              <w:t> </w:t>
            </w:r>
          </w:p>
        </w:tc>
        <w:tc>
          <w:tcPr>
            <w:tcW w:w="773"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5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680" w:type="dxa"/>
            <w:tcBorders/>
            <w:shd w:fill="auto" w:val="clear"/>
            <w:vAlign w:val="bottom"/>
          </w:tcPr>
          <w:p>
            <w:pPr>
              <w:pStyle w:val="TableContents"/>
              <w:spacing w:before="0" w:after="283"/>
              <w:jc w:val="right"/>
              <w:rPr/>
            </w:pPr>
            <w:r>
              <w:rPr/>
              <w:t> </w:t>
            </w:r>
          </w:p>
        </w:tc>
        <w:tc>
          <w:tcPr>
            <w:tcW w:w="75" w:type="dxa"/>
            <w:tcBorders/>
            <w:shd w:fill="auto" w:val="clear"/>
            <w:vAlign w:val="bottom"/>
          </w:tcPr>
          <w:p>
            <w:pPr>
              <w:pStyle w:val="TableContents"/>
              <w:spacing w:before="0" w:after="283"/>
              <w:jc w:val="left"/>
              <w:rPr/>
            </w:pPr>
            <w:r>
              <w:rPr/>
              <w:t> </w:t>
            </w:r>
          </w:p>
        </w:tc>
      </w:tr>
      <w:tr>
        <w:trPr/>
        <w:tc>
          <w:tcPr>
            <w:tcW w:w="3575" w:type="dxa"/>
            <w:tcBorders/>
            <w:shd w:fill="CCEEFF" w:val="clear"/>
            <w:vAlign w:val="bottom"/>
          </w:tcPr>
          <w:p>
            <w:pPr>
              <w:pStyle w:val="TableContents"/>
              <w:spacing w:before="0" w:after="0"/>
              <w:ind w:left="288" w:right="0" w:hanging="144"/>
              <w:jc w:val="left"/>
              <w:rPr>
                <w:rFonts w:ascii="Times New Roman" w:hAnsi="Times New Roman"/>
                <w:sz w:val="20"/>
              </w:rPr>
            </w:pPr>
            <w:r>
              <w:rPr>
                <w:rFonts w:ascii="Times New Roman" w:hAnsi="Times New Roman"/>
                <w:sz w:val="20"/>
              </w:rPr>
              <w:t>1-4 family residential</w:t>
            </w:r>
          </w:p>
        </w:tc>
        <w:tc>
          <w:tcPr>
            <w:tcW w:w="60" w:type="dxa"/>
            <w:tcBorders/>
            <w:shd w:fill="CCEEFF" w:val="clear"/>
            <w:vAlign w:val="bottom"/>
          </w:tcPr>
          <w:p>
            <w:pPr>
              <w:pStyle w:val="TableContents"/>
              <w:spacing w:before="0" w:after="283"/>
              <w:jc w:val="right"/>
              <w:rPr/>
            </w:pPr>
            <w:r>
              <w:rPr/>
              <w:t> </w:t>
            </w:r>
          </w:p>
        </w:tc>
        <w:tc>
          <w:tcPr>
            <w:tcW w:w="151" w:type="dxa"/>
            <w:tcBorders/>
            <w:shd w:fill="CCEEFF" w:val="clear"/>
            <w:vAlign w:val="bottom"/>
          </w:tcPr>
          <w:p>
            <w:pPr>
              <w:pStyle w:val="TableContents"/>
              <w:spacing w:before="0" w:after="283"/>
              <w:jc w:val="left"/>
              <w:rPr/>
            </w:pPr>
            <w:r>
              <w:rPr/>
              <w:t> </w:t>
            </w:r>
          </w:p>
        </w:tc>
        <w:tc>
          <w:tcPr>
            <w:tcW w:w="739" w:type="dxa"/>
            <w:tcBorders/>
            <w:shd w:fill="CCEEFF" w:val="clear"/>
            <w:vAlign w:val="bottom"/>
          </w:tcPr>
          <w:p>
            <w:pPr>
              <w:pStyle w:val="TableContents"/>
              <w:spacing w:before="0" w:after="283"/>
              <w:jc w:val="right"/>
              <w:rPr/>
            </w:pPr>
            <w:r>
              <w:rPr/>
              <w:t>5,268</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08" w:type="dxa"/>
            <w:tcBorders/>
            <w:shd w:fill="CCEEFF" w:val="clear"/>
            <w:vAlign w:val="bottom"/>
          </w:tcPr>
          <w:p>
            <w:pPr>
              <w:pStyle w:val="TableContents"/>
              <w:spacing w:before="0" w:after="283"/>
              <w:jc w:val="left"/>
              <w:rPr/>
            </w:pPr>
            <w:r>
              <w:rPr/>
              <w:t> </w:t>
            </w:r>
          </w:p>
        </w:tc>
        <w:tc>
          <w:tcPr>
            <w:tcW w:w="951" w:type="dxa"/>
            <w:tcBorders/>
            <w:shd w:fill="CCEEFF" w:val="clear"/>
            <w:vAlign w:val="bottom"/>
          </w:tcPr>
          <w:p>
            <w:pPr>
              <w:pStyle w:val="TableContents"/>
              <w:spacing w:before="0" w:after="283"/>
              <w:jc w:val="right"/>
              <w:rPr/>
            </w:pPr>
            <w:r>
              <w:rPr/>
              <w:t>(298</w:t>
            </w:r>
          </w:p>
        </w:tc>
        <w:tc>
          <w:tcPr>
            <w:tcW w:w="95" w:type="dxa"/>
            <w:tcBorders/>
            <w:shd w:fill="CCEEFF" w:val="clear"/>
            <w:vAlign w:val="bottom"/>
          </w:tcPr>
          <w:p>
            <w:pPr>
              <w:pStyle w:val="TableContents"/>
              <w:spacing w:before="0" w:after="283"/>
              <w:jc w:val="left"/>
              <w:rPr/>
            </w:pPr>
            <w:r>
              <w:rPr/>
              <w:t>)</w:t>
            </w:r>
          </w:p>
        </w:tc>
        <w:tc>
          <w:tcPr>
            <w:tcW w:w="60" w:type="dxa"/>
            <w:tcBorders/>
            <w:shd w:fill="CCEEFF" w:val="clear"/>
            <w:vAlign w:val="bottom"/>
          </w:tcPr>
          <w:p>
            <w:pPr>
              <w:pStyle w:val="TableContents"/>
              <w:spacing w:before="0" w:after="283"/>
              <w:jc w:val="right"/>
              <w:rPr/>
            </w:pPr>
            <w:r>
              <w:rPr/>
              <w:t> </w:t>
            </w:r>
          </w:p>
        </w:tc>
        <w:tc>
          <w:tcPr>
            <w:tcW w:w="237" w:type="dxa"/>
            <w:tcBorders/>
            <w:shd w:fill="CCEEFF" w:val="clear"/>
            <w:vAlign w:val="bottom"/>
          </w:tcPr>
          <w:p>
            <w:pPr>
              <w:pStyle w:val="TableContents"/>
              <w:spacing w:before="0" w:after="283"/>
              <w:jc w:val="left"/>
              <w:rPr/>
            </w:pPr>
            <w:r>
              <w:rPr/>
              <w:t> </w:t>
            </w:r>
          </w:p>
        </w:tc>
        <w:tc>
          <w:tcPr>
            <w:tcW w:w="773" w:type="dxa"/>
            <w:tcBorders/>
            <w:shd w:fill="CCEEFF" w:val="clear"/>
            <w:vAlign w:val="bottom"/>
          </w:tcPr>
          <w:p>
            <w:pPr>
              <w:pStyle w:val="TableContents"/>
              <w:spacing w:before="0" w:after="283"/>
              <w:jc w:val="right"/>
              <w:rPr/>
            </w:pPr>
            <w:r>
              <w:rPr/>
              <w:t>(40</w:t>
            </w:r>
          </w:p>
        </w:tc>
        <w:tc>
          <w:tcPr>
            <w:tcW w:w="95" w:type="dxa"/>
            <w:tcBorders/>
            <w:shd w:fill="CCEEFF" w:val="clear"/>
            <w:vAlign w:val="bottom"/>
          </w:tcPr>
          <w:p>
            <w:pPr>
              <w:pStyle w:val="TableContents"/>
              <w:spacing w:before="0" w:after="283"/>
              <w:jc w:val="left"/>
              <w:rPr/>
            </w:pPr>
            <w:r>
              <w:rPr/>
              <w:t>)</w:t>
            </w:r>
          </w:p>
        </w:tc>
        <w:tc>
          <w:tcPr>
            <w:tcW w:w="60" w:type="dxa"/>
            <w:tcBorders/>
            <w:shd w:fill="CCEEFF" w:val="clear"/>
            <w:vAlign w:val="bottom"/>
          </w:tcPr>
          <w:p>
            <w:pPr>
              <w:pStyle w:val="TableContents"/>
              <w:spacing w:before="0" w:after="283"/>
              <w:jc w:val="right"/>
              <w:rPr/>
            </w:pPr>
            <w:r>
              <w:rPr/>
              <w:t> </w:t>
            </w:r>
          </w:p>
        </w:tc>
        <w:tc>
          <w:tcPr>
            <w:tcW w:w="255"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283"/>
              <w:jc w:val="right"/>
              <w:rPr/>
            </w:pPr>
            <w:r>
              <w:rPr/>
              <w:t>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680" w:type="dxa"/>
            <w:tcBorders/>
            <w:shd w:fill="CCEEFF" w:val="clear"/>
            <w:vAlign w:val="bottom"/>
          </w:tcPr>
          <w:p>
            <w:pPr>
              <w:pStyle w:val="TableContents"/>
              <w:spacing w:before="0" w:after="283"/>
              <w:jc w:val="right"/>
              <w:rPr/>
            </w:pPr>
            <w:r>
              <w:rPr/>
              <w:t>4,931</w:t>
            </w:r>
          </w:p>
        </w:tc>
        <w:tc>
          <w:tcPr>
            <w:tcW w:w="75" w:type="dxa"/>
            <w:tcBorders/>
            <w:shd w:fill="CCEEFF" w:val="clear"/>
            <w:vAlign w:val="bottom"/>
          </w:tcPr>
          <w:p>
            <w:pPr>
              <w:pStyle w:val="TableContents"/>
              <w:spacing w:before="0" w:after="283"/>
              <w:jc w:val="left"/>
              <w:rPr/>
            </w:pPr>
            <w:r>
              <w:rPr/>
              <w:t> </w:t>
            </w:r>
          </w:p>
        </w:tc>
      </w:tr>
      <w:tr>
        <w:trPr/>
        <w:tc>
          <w:tcPr>
            <w:tcW w:w="3575" w:type="dxa"/>
            <w:tcBorders/>
            <w:shd w:fill="auto" w:val="clear"/>
            <w:vAlign w:val="bottom"/>
          </w:tcPr>
          <w:p>
            <w:pPr>
              <w:pStyle w:val="TableContents"/>
              <w:spacing w:before="0" w:after="0"/>
              <w:ind w:left="288" w:right="0" w:hanging="144"/>
              <w:jc w:val="left"/>
              <w:rPr>
                <w:rFonts w:ascii="Times New Roman" w:hAnsi="Times New Roman"/>
                <w:sz w:val="20"/>
              </w:rPr>
            </w:pPr>
            <w:r>
              <w:rPr>
                <w:rFonts w:ascii="Times New Roman" w:hAnsi="Times New Roman"/>
                <w:sz w:val="20"/>
              </w:rPr>
              <w:t>Auto loans</w:t>
            </w:r>
          </w:p>
        </w:tc>
        <w:tc>
          <w:tcPr>
            <w:tcW w:w="60" w:type="dxa"/>
            <w:tcBorders/>
            <w:shd w:fill="auto" w:val="clear"/>
            <w:vAlign w:val="bottom"/>
          </w:tcPr>
          <w:p>
            <w:pPr>
              <w:pStyle w:val="TableContents"/>
              <w:spacing w:before="0" w:after="283"/>
              <w:jc w:val="right"/>
              <w:rPr/>
            </w:pPr>
            <w:r>
              <w:rPr/>
              <w:t> </w:t>
            </w:r>
          </w:p>
        </w:tc>
        <w:tc>
          <w:tcPr>
            <w:tcW w:w="151" w:type="dxa"/>
            <w:tcBorders/>
            <w:shd w:fill="auto" w:val="clear"/>
            <w:vAlign w:val="bottom"/>
          </w:tcPr>
          <w:p>
            <w:pPr>
              <w:pStyle w:val="TableContents"/>
              <w:spacing w:before="0" w:after="283"/>
              <w:jc w:val="left"/>
              <w:rPr/>
            </w:pPr>
            <w:r>
              <w:rPr/>
              <w:t> </w:t>
            </w:r>
          </w:p>
        </w:tc>
        <w:tc>
          <w:tcPr>
            <w:tcW w:w="739" w:type="dxa"/>
            <w:tcBorders/>
            <w:shd w:fill="auto" w:val="clear"/>
            <w:vAlign w:val="bottom"/>
          </w:tcPr>
          <w:p>
            <w:pPr>
              <w:pStyle w:val="TableContents"/>
              <w:spacing w:before="0" w:after="283"/>
              <w:jc w:val="right"/>
              <w:rPr/>
            </w:pPr>
            <w:r>
              <w:rPr/>
              <w:t>3,653</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08" w:type="dxa"/>
            <w:tcBorders/>
            <w:shd w:fill="auto" w:val="clear"/>
            <w:vAlign w:val="bottom"/>
          </w:tcPr>
          <w:p>
            <w:pPr>
              <w:pStyle w:val="TableContents"/>
              <w:spacing w:before="0" w:after="283"/>
              <w:jc w:val="left"/>
              <w:rPr/>
            </w:pPr>
            <w:r>
              <w:rPr/>
              <w:t> </w:t>
            </w:r>
          </w:p>
        </w:tc>
        <w:tc>
          <w:tcPr>
            <w:tcW w:w="951" w:type="dxa"/>
            <w:tcBorders/>
            <w:shd w:fill="auto" w:val="clear"/>
            <w:vAlign w:val="bottom"/>
          </w:tcPr>
          <w:p>
            <w:pPr>
              <w:pStyle w:val="TableContents"/>
              <w:spacing w:before="0" w:after="283"/>
              <w:jc w:val="right"/>
              <w:rPr/>
            </w:pPr>
            <w:r>
              <w:rPr/>
              <w:t>68</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37" w:type="dxa"/>
            <w:tcBorders/>
            <w:shd w:fill="auto" w:val="clear"/>
            <w:vAlign w:val="bottom"/>
          </w:tcPr>
          <w:p>
            <w:pPr>
              <w:pStyle w:val="TableContents"/>
              <w:spacing w:before="0" w:after="283"/>
              <w:jc w:val="left"/>
              <w:rPr/>
            </w:pPr>
            <w:r>
              <w:rPr/>
              <w:t> </w:t>
            </w:r>
          </w:p>
        </w:tc>
        <w:tc>
          <w:tcPr>
            <w:tcW w:w="773" w:type="dxa"/>
            <w:tcBorders/>
            <w:shd w:fill="auto" w:val="clear"/>
            <w:vAlign w:val="bottom"/>
          </w:tcPr>
          <w:p>
            <w:pPr>
              <w:pStyle w:val="TableContents"/>
              <w:spacing w:before="0" w:after="283"/>
              <w:jc w:val="right"/>
              <w:rPr/>
            </w:pPr>
            <w:r>
              <w:rPr/>
              <w:t>(86</w:t>
            </w:r>
          </w:p>
        </w:tc>
        <w:tc>
          <w:tcPr>
            <w:tcW w:w="95" w:type="dxa"/>
            <w:tcBorders/>
            <w:shd w:fill="auto" w:val="clear"/>
            <w:vAlign w:val="bottom"/>
          </w:tcPr>
          <w:p>
            <w:pPr>
              <w:pStyle w:val="TableContents"/>
              <w:spacing w:before="0" w:after="283"/>
              <w:jc w:val="left"/>
              <w:rPr/>
            </w:pPr>
            <w:r>
              <w:rPr/>
              <w:t>)</w:t>
            </w:r>
          </w:p>
        </w:tc>
        <w:tc>
          <w:tcPr>
            <w:tcW w:w="60" w:type="dxa"/>
            <w:tcBorders/>
            <w:shd w:fill="auto" w:val="clear"/>
            <w:vAlign w:val="bottom"/>
          </w:tcPr>
          <w:p>
            <w:pPr>
              <w:pStyle w:val="TableContents"/>
              <w:spacing w:before="0" w:after="283"/>
              <w:jc w:val="right"/>
              <w:rPr/>
            </w:pPr>
            <w:r>
              <w:rPr/>
              <w:t> </w:t>
            </w:r>
          </w:p>
        </w:tc>
        <w:tc>
          <w:tcPr>
            <w:tcW w:w="25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283"/>
              <w:jc w:val="right"/>
              <w:rPr/>
            </w:pPr>
            <w:r>
              <w:rPr/>
              <w:t>46</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680" w:type="dxa"/>
            <w:tcBorders/>
            <w:shd w:fill="auto" w:val="clear"/>
            <w:vAlign w:val="bottom"/>
          </w:tcPr>
          <w:p>
            <w:pPr>
              <w:pStyle w:val="TableContents"/>
              <w:spacing w:before="0" w:after="283"/>
              <w:jc w:val="right"/>
              <w:rPr/>
            </w:pPr>
            <w:r>
              <w:rPr/>
              <w:t>3,681</w:t>
            </w:r>
          </w:p>
        </w:tc>
        <w:tc>
          <w:tcPr>
            <w:tcW w:w="75" w:type="dxa"/>
            <w:tcBorders/>
            <w:shd w:fill="auto" w:val="clear"/>
            <w:vAlign w:val="bottom"/>
          </w:tcPr>
          <w:p>
            <w:pPr>
              <w:pStyle w:val="TableContents"/>
              <w:spacing w:before="0" w:after="283"/>
              <w:jc w:val="left"/>
              <w:rPr/>
            </w:pPr>
            <w:r>
              <w:rPr/>
              <w:t> </w:t>
            </w:r>
          </w:p>
        </w:tc>
      </w:tr>
      <w:tr>
        <w:trPr/>
        <w:tc>
          <w:tcPr>
            <w:tcW w:w="3575" w:type="dxa"/>
            <w:tcBorders/>
            <w:shd w:fill="CCEEFF" w:val="clear"/>
            <w:vAlign w:val="bottom"/>
          </w:tcPr>
          <w:p>
            <w:pPr>
              <w:pStyle w:val="TableContents"/>
              <w:spacing w:before="0" w:after="0"/>
              <w:ind w:left="288" w:right="0" w:hanging="144"/>
              <w:jc w:val="left"/>
              <w:rPr>
                <w:rFonts w:ascii="Times New Roman" w:hAnsi="Times New Roman"/>
                <w:sz w:val="20"/>
              </w:rPr>
            </w:pPr>
            <w:r>
              <w:rPr>
                <w:rFonts w:ascii="Times New Roman" w:hAnsi="Times New Roman"/>
                <w:sz w:val="20"/>
              </w:rPr>
              <w:t>Other consumer</w:t>
            </w:r>
          </w:p>
        </w:tc>
        <w:tc>
          <w:tcPr>
            <w:tcW w:w="60" w:type="dxa"/>
            <w:tcBorders/>
            <w:shd w:fill="CCEEFF" w:val="clear"/>
            <w:vAlign w:val="bottom"/>
          </w:tcPr>
          <w:p>
            <w:pPr>
              <w:pStyle w:val="TableContents"/>
              <w:spacing w:before="0" w:after="283"/>
              <w:jc w:val="right"/>
              <w:rPr/>
            </w:pPr>
            <w:r>
              <w:rPr/>
              <w:t> </w:t>
            </w:r>
          </w:p>
        </w:tc>
        <w:tc>
          <w:tcPr>
            <w:tcW w:w="151" w:type="dxa"/>
            <w:tcBorders/>
            <w:shd w:fill="CCEEFF" w:val="clear"/>
            <w:vAlign w:val="bottom"/>
          </w:tcPr>
          <w:p>
            <w:pPr>
              <w:pStyle w:val="TableContents"/>
              <w:spacing w:before="0" w:after="283"/>
              <w:jc w:val="left"/>
              <w:rPr/>
            </w:pPr>
            <w:r>
              <w:rPr/>
              <w:t> </w:t>
            </w:r>
          </w:p>
        </w:tc>
        <w:tc>
          <w:tcPr>
            <w:tcW w:w="739" w:type="dxa"/>
            <w:tcBorders/>
            <w:shd w:fill="CCEEFF" w:val="clear"/>
            <w:vAlign w:val="bottom"/>
          </w:tcPr>
          <w:p>
            <w:pPr>
              <w:pStyle w:val="TableContents"/>
              <w:spacing w:before="0" w:after="283"/>
              <w:jc w:val="right"/>
              <w:rPr/>
            </w:pPr>
            <w:r>
              <w:rPr/>
              <w:t>1,357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08" w:type="dxa"/>
            <w:tcBorders/>
            <w:shd w:fill="CCEEFF" w:val="clear"/>
            <w:vAlign w:val="bottom"/>
          </w:tcPr>
          <w:p>
            <w:pPr>
              <w:pStyle w:val="TableContents"/>
              <w:spacing w:before="0" w:after="283"/>
              <w:jc w:val="left"/>
              <w:rPr/>
            </w:pPr>
            <w:r>
              <w:rPr/>
              <w:t> </w:t>
            </w:r>
          </w:p>
        </w:tc>
        <w:tc>
          <w:tcPr>
            <w:tcW w:w="951" w:type="dxa"/>
            <w:tcBorders/>
            <w:shd w:fill="CCEEFF" w:val="clear"/>
            <w:vAlign w:val="bottom"/>
          </w:tcPr>
          <w:p>
            <w:pPr>
              <w:pStyle w:val="TableContents"/>
              <w:spacing w:before="0" w:after="283"/>
              <w:jc w:val="right"/>
              <w:rPr/>
            </w:pPr>
            <w:r>
              <w:rPr/>
              <w:t>147</w:t>
            </w:r>
          </w:p>
        </w:tc>
        <w:tc>
          <w:tcPr>
            <w:tcW w:w="9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37" w:type="dxa"/>
            <w:tcBorders/>
            <w:shd w:fill="CCEEFF" w:val="clear"/>
            <w:vAlign w:val="bottom"/>
          </w:tcPr>
          <w:p>
            <w:pPr>
              <w:pStyle w:val="TableContents"/>
              <w:spacing w:before="0" w:after="283"/>
              <w:jc w:val="left"/>
              <w:rPr/>
            </w:pPr>
            <w:r>
              <w:rPr/>
              <w:t> </w:t>
            </w:r>
          </w:p>
        </w:tc>
        <w:tc>
          <w:tcPr>
            <w:tcW w:w="773" w:type="dxa"/>
            <w:tcBorders/>
            <w:shd w:fill="CCEEFF" w:val="clear"/>
            <w:vAlign w:val="bottom"/>
          </w:tcPr>
          <w:p>
            <w:pPr>
              <w:pStyle w:val="TableContents"/>
              <w:spacing w:before="0" w:after="283"/>
              <w:jc w:val="right"/>
              <w:rPr/>
            </w:pPr>
            <w:r>
              <w:rPr/>
              <w:t>(185</w:t>
            </w:r>
          </w:p>
        </w:tc>
        <w:tc>
          <w:tcPr>
            <w:tcW w:w="95" w:type="dxa"/>
            <w:tcBorders/>
            <w:shd w:fill="CCEEFF" w:val="clear"/>
            <w:vAlign w:val="bottom"/>
          </w:tcPr>
          <w:p>
            <w:pPr>
              <w:pStyle w:val="TableContents"/>
              <w:spacing w:before="0" w:after="283"/>
              <w:jc w:val="left"/>
              <w:rPr/>
            </w:pPr>
            <w:r>
              <w:rPr/>
              <w:t>)</w:t>
            </w:r>
          </w:p>
        </w:tc>
        <w:tc>
          <w:tcPr>
            <w:tcW w:w="60" w:type="dxa"/>
            <w:tcBorders/>
            <w:shd w:fill="CCEEFF" w:val="clear"/>
            <w:vAlign w:val="bottom"/>
          </w:tcPr>
          <w:p>
            <w:pPr>
              <w:pStyle w:val="TableContents"/>
              <w:spacing w:before="0" w:after="283"/>
              <w:jc w:val="right"/>
              <w:rPr/>
            </w:pPr>
            <w:r>
              <w:rPr/>
              <w:t> </w:t>
            </w:r>
          </w:p>
        </w:tc>
        <w:tc>
          <w:tcPr>
            <w:tcW w:w="255"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283"/>
              <w:jc w:val="right"/>
              <w:rPr/>
            </w:pPr>
            <w:r>
              <w:rPr/>
              <w:t>65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680" w:type="dxa"/>
            <w:tcBorders/>
            <w:shd w:fill="CCEEFF" w:val="clear"/>
            <w:vAlign w:val="bottom"/>
          </w:tcPr>
          <w:p>
            <w:pPr>
              <w:pStyle w:val="TableContents"/>
              <w:spacing w:before="0" w:after="283"/>
              <w:jc w:val="right"/>
              <w:rPr/>
            </w:pPr>
            <w:r>
              <w:rPr/>
              <w:t>1,384</w:t>
            </w:r>
          </w:p>
        </w:tc>
        <w:tc>
          <w:tcPr>
            <w:tcW w:w="75" w:type="dxa"/>
            <w:tcBorders/>
            <w:shd w:fill="CCEEFF" w:val="clear"/>
            <w:vAlign w:val="bottom"/>
          </w:tcPr>
          <w:p>
            <w:pPr>
              <w:pStyle w:val="TableContents"/>
              <w:spacing w:before="0" w:after="283"/>
              <w:jc w:val="left"/>
              <w:rPr/>
            </w:pPr>
            <w:r>
              <w:rPr/>
              <w:t> </w:t>
            </w:r>
          </w:p>
        </w:tc>
      </w:tr>
      <w:tr>
        <w:trPr/>
        <w:tc>
          <w:tcPr>
            <w:tcW w:w="3575" w:type="dxa"/>
            <w:tcBorders/>
            <w:shd w:fill="auto"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Construction</w:t>
            </w:r>
          </w:p>
        </w:tc>
        <w:tc>
          <w:tcPr>
            <w:tcW w:w="60" w:type="dxa"/>
            <w:tcBorders/>
            <w:shd w:fill="auto" w:val="clear"/>
            <w:vAlign w:val="bottom"/>
          </w:tcPr>
          <w:p>
            <w:pPr>
              <w:pStyle w:val="TableContents"/>
              <w:spacing w:before="0" w:after="283"/>
              <w:jc w:val="right"/>
              <w:rPr/>
            </w:pPr>
            <w:r>
              <w:rPr/>
              <w:t> </w:t>
            </w:r>
          </w:p>
        </w:tc>
        <w:tc>
          <w:tcPr>
            <w:tcW w:w="151"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739" w:type="dxa"/>
            <w:tcBorders>
              <w:bottom w:val="single" w:sz="12" w:space="0" w:color="000000"/>
            </w:tcBorders>
            <w:shd w:fill="auto" w:val="clear"/>
            <w:tcMar>
              <w:bottom w:w="28" w:type="dxa"/>
            </w:tcMar>
            <w:vAlign w:val="bottom"/>
          </w:tcPr>
          <w:p>
            <w:pPr>
              <w:pStyle w:val="TableContents"/>
              <w:spacing w:before="0" w:after="283"/>
              <w:jc w:val="right"/>
              <w:rPr/>
            </w:pPr>
            <w:r>
              <w:rPr/>
              <w:t>1,746</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08"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951" w:type="dxa"/>
            <w:tcBorders>
              <w:bottom w:val="single" w:sz="12" w:space="0" w:color="000000"/>
            </w:tcBorders>
            <w:shd w:fill="auto" w:val="clear"/>
            <w:tcMar>
              <w:bottom w:w="28" w:type="dxa"/>
            </w:tcMar>
            <w:vAlign w:val="bottom"/>
          </w:tcPr>
          <w:p>
            <w:pPr>
              <w:pStyle w:val="TableContents"/>
              <w:spacing w:before="0" w:after="283"/>
              <w:jc w:val="right"/>
              <w:rPr/>
            </w:pPr>
            <w:r>
              <w:rPr/>
              <w:t>71</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37"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773" w:type="dxa"/>
            <w:tcBorders>
              <w:bottom w:val="single" w:sz="12" w:space="0" w:color="000000"/>
            </w:tcBorders>
            <w:shd w:fill="auto" w:val="clear"/>
            <w:tcMar>
              <w:bottom w:w="28" w:type="dxa"/>
            </w:tcMar>
            <w:vAlign w:val="bottom"/>
          </w:tcPr>
          <w:p>
            <w:pPr>
              <w:pStyle w:val="TableContents"/>
              <w:spacing w:before="0" w:after="283"/>
              <w:jc w:val="right"/>
              <w:rPr/>
            </w:pPr>
            <w:r>
              <w:rPr/>
              <w:t>—</w:t>
            </w:r>
          </w:p>
        </w:tc>
        <w:tc>
          <w:tcPr>
            <w:tcW w:w="9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5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95" w:type="dxa"/>
            <w:tcBorders>
              <w:bottom w:val="single" w:sz="12" w:space="0" w:color="000000"/>
            </w:tcBorders>
            <w:shd w:fill="auto" w:val="clear"/>
            <w:tcMar>
              <w:bottom w:w="28" w:type="dxa"/>
            </w:tcM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80" w:type="dxa"/>
            <w:tcBorders>
              <w:bottom w:val="single" w:sz="12" w:space="0" w:color="000000"/>
            </w:tcBorders>
            <w:shd w:fill="auto" w:val="clear"/>
            <w:tcMar>
              <w:bottom w:w="28" w:type="dxa"/>
            </w:tcMar>
            <w:vAlign w:val="bottom"/>
          </w:tcPr>
          <w:p>
            <w:pPr>
              <w:pStyle w:val="TableContents"/>
              <w:spacing w:before="0" w:after="283"/>
              <w:jc w:val="right"/>
              <w:rPr/>
            </w:pPr>
            <w:r>
              <w:rPr/>
              <w:t>1,817</w:t>
            </w:r>
          </w:p>
        </w:tc>
        <w:tc>
          <w:tcPr>
            <w:tcW w:w="75" w:type="dxa"/>
            <w:tcBorders/>
            <w:shd w:fill="auto" w:val="clear"/>
            <w:vAlign w:val="bottom"/>
          </w:tcPr>
          <w:p>
            <w:pPr>
              <w:pStyle w:val="TableContents"/>
              <w:spacing w:before="0" w:after="283"/>
              <w:jc w:val="left"/>
              <w:rPr/>
            </w:pPr>
            <w:r>
              <w:rPr/>
              <w:t> </w:t>
            </w:r>
          </w:p>
        </w:tc>
      </w:tr>
      <w:tr>
        <w:trPr/>
        <w:tc>
          <w:tcPr>
            <w:tcW w:w="3575" w:type="dxa"/>
            <w:tcBorders/>
            <w:shd w:fill="CCEE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r>
          </w:p>
        </w:tc>
        <w:tc>
          <w:tcPr>
            <w:tcW w:w="60" w:type="dxa"/>
            <w:tcBorders/>
            <w:shd w:fill="CCEEFF" w:val="clear"/>
            <w:vAlign w:val="bottom"/>
          </w:tcPr>
          <w:p>
            <w:pPr>
              <w:pStyle w:val="TableContents"/>
              <w:spacing w:before="0" w:after="283"/>
              <w:jc w:val="right"/>
              <w:rPr/>
            </w:pPr>
            <w:r>
              <w:rPr/>
              <w:t> </w:t>
            </w:r>
          </w:p>
        </w:tc>
        <w:tc>
          <w:tcPr>
            <w:tcW w:w="151" w:type="dxa"/>
            <w:tcBorders>
              <w:bottom w:val="double" w:sz="8" w:space="0" w:color="000000"/>
            </w:tcBorders>
            <w:shd w:fill="CCEEFF" w:val="clear"/>
            <w:tcMar>
              <w:bottom w:w="28" w:type="dxa"/>
            </w:tcMar>
            <w:vAlign w:val="bottom"/>
          </w:tcPr>
          <w:p>
            <w:pPr>
              <w:pStyle w:val="TableContents"/>
              <w:spacing w:before="0" w:after="283"/>
              <w:jc w:val="left"/>
              <w:rPr/>
            </w:pPr>
            <w:r>
              <w:rPr/>
              <w:t>$</w:t>
            </w:r>
          </w:p>
        </w:tc>
        <w:tc>
          <w:tcPr>
            <w:tcW w:w="739" w:type="dxa"/>
            <w:tcBorders>
              <w:bottom w:val="double" w:sz="8" w:space="0" w:color="000000"/>
            </w:tcBorders>
            <w:shd w:fill="CCEEFF" w:val="clear"/>
            <w:tcMar>
              <w:bottom w:w="28" w:type="dxa"/>
            </w:tcMar>
            <w:vAlign w:val="bottom"/>
          </w:tcPr>
          <w:p>
            <w:pPr>
              <w:pStyle w:val="TableContents"/>
              <w:spacing w:before="0" w:after="283"/>
              <w:jc w:val="right"/>
              <w:rPr/>
            </w:pPr>
            <w:r>
              <w:rPr/>
              <w:t>42,098</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08" w:type="dxa"/>
            <w:tcBorders>
              <w:bottom w:val="double" w:sz="8" w:space="0" w:color="000000"/>
            </w:tcBorders>
            <w:shd w:fill="CCEEFF" w:val="clear"/>
            <w:tcMar>
              <w:bottom w:w="28" w:type="dxa"/>
            </w:tcMar>
            <w:vAlign w:val="bottom"/>
          </w:tcPr>
          <w:p>
            <w:pPr>
              <w:pStyle w:val="TableContents"/>
              <w:spacing w:before="0" w:after="283"/>
              <w:jc w:val="left"/>
              <w:rPr/>
            </w:pPr>
            <w:r>
              <w:rPr/>
              <w:t>$</w:t>
            </w:r>
          </w:p>
        </w:tc>
        <w:tc>
          <w:tcPr>
            <w:tcW w:w="951" w:type="dxa"/>
            <w:tcBorders>
              <w:bottom w:val="double" w:sz="8" w:space="0" w:color="000000"/>
            </w:tcBorders>
            <w:shd w:fill="CCEEFF" w:val="clear"/>
            <w:tcMar>
              <w:bottom w:w="28" w:type="dxa"/>
            </w:tcMar>
            <w:vAlign w:val="bottom"/>
          </w:tcPr>
          <w:p>
            <w:pPr>
              <w:pStyle w:val="TableContents"/>
              <w:spacing w:before="0" w:after="283"/>
              <w:jc w:val="right"/>
              <w:rPr/>
            </w:pPr>
            <w:r>
              <w:rPr/>
              <w:t>(2,085</w:t>
            </w:r>
          </w:p>
        </w:tc>
        <w:tc>
          <w:tcPr>
            <w:tcW w:w="95" w:type="dxa"/>
            <w:tcBorders/>
            <w:shd w:fill="CCEEFF" w:val="clear"/>
            <w:vAlign w:val="bottom"/>
          </w:tcPr>
          <w:p>
            <w:pPr>
              <w:pStyle w:val="TableContents"/>
              <w:spacing w:before="0" w:after="283"/>
              <w:jc w:val="left"/>
              <w:rPr/>
            </w:pPr>
            <w:r>
              <w:rPr/>
              <w:t>)</w:t>
            </w:r>
          </w:p>
        </w:tc>
        <w:tc>
          <w:tcPr>
            <w:tcW w:w="60" w:type="dxa"/>
            <w:tcBorders/>
            <w:shd w:fill="CCEEFF" w:val="clear"/>
            <w:vAlign w:val="bottom"/>
          </w:tcPr>
          <w:p>
            <w:pPr>
              <w:pStyle w:val="TableContents"/>
              <w:spacing w:before="0" w:after="283"/>
              <w:jc w:val="right"/>
              <w:rPr/>
            </w:pPr>
            <w:r>
              <w:rPr/>
              <w:t> </w:t>
            </w:r>
          </w:p>
        </w:tc>
        <w:tc>
          <w:tcPr>
            <w:tcW w:w="237" w:type="dxa"/>
            <w:tcBorders>
              <w:bottom w:val="double" w:sz="8" w:space="0" w:color="000000"/>
            </w:tcBorders>
            <w:shd w:fill="CCEEFF" w:val="clear"/>
            <w:tcMar>
              <w:bottom w:w="28" w:type="dxa"/>
            </w:tcMar>
            <w:vAlign w:val="bottom"/>
          </w:tcPr>
          <w:p>
            <w:pPr>
              <w:pStyle w:val="TableContents"/>
              <w:spacing w:before="0" w:after="283"/>
              <w:jc w:val="left"/>
              <w:rPr/>
            </w:pPr>
            <w:r>
              <w:rPr/>
              <w:t>$</w:t>
            </w:r>
          </w:p>
        </w:tc>
        <w:tc>
          <w:tcPr>
            <w:tcW w:w="773" w:type="dxa"/>
            <w:tcBorders>
              <w:bottom w:val="double" w:sz="8" w:space="0" w:color="000000"/>
            </w:tcBorders>
            <w:shd w:fill="CCEEFF" w:val="clear"/>
            <w:tcMar>
              <w:bottom w:w="28" w:type="dxa"/>
            </w:tcMar>
            <w:vAlign w:val="bottom"/>
          </w:tcPr>
          <w:p>
            <w:pPr>
              <w:pStyle w:val="TableContents"/>
              <w:spacing w:before="0" w:after="283"/>
              <w:jc w:val="right"/>
              <w:rPr/>
            </w:pPr>
            <w:r>
              <w:rPr/>
              <w:t>(657</w:t>
            </w:r>
          </w:p>
        </w:tc>
        <w:tc>
          <w:tcPr>
            <w:tcW w:w="95" w:type="dxa"/>
            <w:tcBorders/>
            <w:shd w:fill="CCEEFF" w:val="clear"/>
            <w:vAlign w:val="bottom"/>
          </w:tcPr>
          <w:p>
            <w:pPr>
              <w:pStyle w:val="TableContents"/>
              <w:spacing w:before="0" w:after="283"/>
              <w:jc w:val="left"/>
              <w:rPr/>
            </w:pPr>
            <w:r>
              <w:rPr/>
              <w:t>)</w:t>
            </w:r>
          </w:p>
        </w:tc>
        <w:tc>
          <w:tcPr>
            <w:tcW w:w="60" w:type="dxa"/>
            <w:tcBorders/>
            <w:shd w:fill="CCEEFF" w:val="clear"/>
            <w:vAlign w:val="bottom"/>
          </w:tcPr>
          <w:p>
            <w:pPr>
              <w:pStyle w:val="TableContents"/>
              <w:spacing w:before="0" w:after="283"/>
              <w:jc w:val="right"/>
              <w:rPr/>
            </w:pPr>
            <w:r>
              <w:rPr/>
              <w:t> </w:t>
            </w:r>
          </w:p>
        </w:tc>
        <w:tc>
          <w:tcPr>
            <w:tcW w:w="255" w:type="dxa"/>
            <w:tcBorders>
              <w:bottom w:val="double" w:sz="8" w:space="0" w:color="000000"/>
            </w:tcBorders>
            <w:shd w:fill="CCEEFF" w:val="clear"/>
            <w:tcMar>
              <w:bottom w:w="28" w:type="dxa"/>
            </w:tcMar>
            <w:vAlign w:val="bottom"/>
          </w:tcPr>
          <w:p>
            <w:pPr>
              <w:pStyle w:val="TableContents"/>
              <w:spacing w:before="0" w:after="283"/>
              <w:jc w:val="left"/>
              <w:rPr/>
            </w:pPr>
            <w:r>
              <w:rPr/>
              <w:t>$</w:t>
            </w:r>
          </w:p>
        </w:tc>
        <w:tc>
          <w:tcPr>
            <w:tcW w:w="695" w:type="dxa"/>
            <w:tcBorders>
              <w:bottom w:val="double" w:sz="8" w:space="0" w:color="000000"/>
            </w:tcBorders>
            <w:shd w:fill="CCEEFF" w:val="clear"/>
            <w:tcMar>
              <w:bottom w:w="28" w:type="dxa"/>
            </w:tcMar>
            <w:vAlign w:val="bottom"/>
          </w:tcPr>
          <w:p>
            <w:pPr>
              <w:pStyle w:val="TableContents"/>
              <w:spacing w:before="0" w:after="283"/>
              <w:jc w:val="right"/>
              <w:rPr/>
            </w:pPr>
            <w:r>
              <w:rPr/>
              <w:t>293</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spacing w:before="0" w:after="283"/>
              <w:jc w:val="left"/>
              <w:rPr/>
            </w:pPr>
            <w:r>
              <w:rPr/>
              <w:t>$</w:t>
            </w:r>
          </w:p>
        </w:tc>
        <w:tc>
          <w:tcPr>
            <w:tcW w:w="680" w:type="dxa"/>
            <w:tcBorders>
              <w:bottom w:val="double" w:sz="8" w:space="0" w:color="000000"/>
            </w:tcBorders>
            <w:shd w:fill="CCEEFF" w:val="clear"/>
            <w:tcMar>
              <w:bottom w:w="28" w:type="dxa"/>
            </w:tcMar>
            <w:vAlign w:val="bottom"/>
          </w:tcPr>
          <w:p>
            <w:pPr>
              <w:pStyle w:val="TableContents"/>
              <w:spacing w:before="0" w:after="283"/>
              <w:jc w:val="right"/>
              <w:rPr/>
            </w:pPr>
            <w:r>
              <w:rPr/>
              <w:t>39,649</w:t>
            </w:r>
          </w:p>
        </w:tc>
        <w:tc>
          <w:tcPr>
            <w:tcW w:w="75" w:type="dxa"/>
            <w:tcBorders/>
            <w:shd w:fill="CCEEFF" w:val="clear"/>
            <w:vAlign w:val="bottom"/>
          </w:tcPr>
          <w:p>
            <w:pPr>
              <w:pStyle w:val="TableContents"/>
              <w:spacing w:before="0" w:after="283"/>
              <w:jc w:val="left"/>
              <w:rPr/>
            </w:pPr>
            <w:r>
              <w:rPr/>
              <w:t> </w:t>
            </w:r>
          </w:p>
        </w:tc>
      </w:tr>
    </w:tbl>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 xml:space="preserve">During the three months ended March 31, 2023, the provision for credit losses on loans of $800 thousand reflected a build in the allowance driven primarily by organic loan growth experienced over the first three months of 2023. The changes in the ACL for this period were also impacted by net charge-offs of $630 thousand. </w:t>
      </w:r>
    </w:p>
    <w:p>
      <w:pPr>
        <w:pStyle w:val="TextBody"/>
        <w:spacing w:before="0" w:after="0"/>
        <w:jc w:val="both"/>
        <w:rPr>
          <w:rFonts w:ascii="Times New Roman" w:hAnsi="Times New Roman"/>
          <w:color w:val="000000"/>
          <w:sz w:val="20"/>
        </w:rPr>
      </w:pPr>
      <w:r>
        <w:rPr>
          <w:rFonts w:ascii="Times New Roman" w:hAnsi="Times New Roman"/>
          <w:color w:val="000000"/>
          <w:sz w:val="20"/>
        </w:rPr>
      </w:r>
    </w:p>
    <w:p>
      <w:pPr>
        <w:pStyle w:val="TextBody"/>
        <w:spacing w:before="0" w:after="0"/>
        <w:ind w:left="0" w:right="0" w:hanging="0"/>
        <w:jc w:val="both"/>
        <w:rPr>
          <w:rFonts w:ascii="Times New Roman" w:hAnsi="Times New Roman"/>
          <w:color w:val="000000"/>
          <w:sz w:val="20"/>
        </w:rPr>
      </w:pPr>
      <w:r>
        <w:rPr>
          <w:rFonts w:ascii="Times New Roman" w:hAnsi="Times New Roman"/>
          <w:color w:val="000000"/>
          <w:sz w:val="20"/>
        </w:rPr>
        <w:t>All of the individually analyzed loans are predominantly secured by real estate. The following table shows the Company’s amortized cost in loans and related ACL for loans recorded disaggregated based on using the fair value of collateral loss estimation methodology of evaluating expected credit losses at the date indicated (dollars in thousands).</w:t>
      </w:r>
    </w:p>
    <w:p>
      <w:pPr>
        <w:pStyle w:val="TextBody"/>
        <w:spacing w:before="0" w:after="0"/>
        <w:ind w:left="0" w:right="0" w:hanging="0"/>
        <w:jc w:val="both"/>
        <w:rPr>
          <w:rFonts w:ascii="Times New Roman" w:hAnsi="Times New Roman"/>
          <w:color w:val="000000"/>
          <w:sz w:val="20"/>
        </w:rPr>
      </w:pPr>
      <w:r>
        <w:rPr>
          <w:rFonts w:ascii="Times New Roman" w:hAnsi="Times New Roman"/>
          <w:color w:val="000000"/>
          <w:sz w:val="20"/>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14</w:t>
      </w:r>
    </w:p>
    <w:p>
      <w:pPr>
        <w:pStyle w:val="HorizontalLine"/>
        <w:spacing w:before="200" w:after="200"/>
        <w:jc w:val="both"/>
        <w:rPr/>
      </w:pPr>
      <w:r>
        <w:rPr/>
      </w:r>
    </w:p>
    <w:p>
      <w:pPr>
        <w:pStyle w:val="TextBody"/>
        <w:spacing w:before="200" w:after="200"/>
        <w:jc w:val="both"/>
        <w:rPr/>
      </w:pPr>
      <w:hyperlink w:anchor="TABLEOFCONTENTS">
        <w:r>
          <w:rPr>
            <w:rStyle w:val="InternetLink"/>
            <w:rFonts w:ascii="Times New Roman;Times;serif" w:hAnsi="Times New Roman;Times;serif"/>
            <w:b w:val="false"/>
            <w:i/>
            <w:color w:val="000000"/>
            <w:sz w:val="16"/>
          </w:rPr>
          <w:t>Table of Contents</w:t>
        </w:r>
      </w:hyperlink>
    </w:p>
    <w:tbl>
      <w:tblPr>
        <w:tblW w:w="5173" w:type="dxa"/>
        <w:jc w:val="left"/>
        <w:tblInd w:w="0" w:type="dxa"/>
        <w:tblCellMar>
          <w:top w:w="0" w:type="dxa"/>
          <w:left w:w="0" w:type="dxa"/>
          <w:bottom w:w="0" w:type="dxa"/>
          <w:right w:w="0" w:type="dxa"/>
        </w:tblCellMar>
      </w:tblPr>
      <w:tblGrid>
        <w:gridCol w:w="2090"/>
        <w:gridCol w:w="60"/>
        <w:gridCol w:w="274"/>
        <w:gridCol w:w="1065"/>
        <w:gridCol w:w="60"/>
        <w:gridCol w:w="60"/>
        <w:gridCol w:w="403"/>
        <w:gridCol w:w="1086"/>
        <w:gridCol w:w="75"/>
      </w:tblGrid>
      <w:tr>
        <w:trPr/>
        <w:tc>
          <w:tcPr>
            <w:tcW w:w="2090" w:type="dxa"/>
            <w:tcBorders/>
            <w:shd w:fill="auto" w:val="clear"/>
            <w:vAlign w:val="bottom"/>
          </w:tcPr>
          <w:p>
            <w:pPr>
              <w:pStyle w:val="TableContents"/>
              <w:spacing w:before="0" w:after="0"/>
              <w:jc w:val="left"/>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1339"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20"/>
              </w:rPr>
            </w:pPr>
            <w:r>
              <w:rPr>
                <w:rFonts w:ascii="Times New Roman" w:hAnsi="Times New Roman"/>
                <w:b/>
                <w:color w:val="000000"/>
                <w:sz w:val="20"/>
              </w:rPr>
              <w:t>Individually</w:t>
            </w:r>
          </w:p>
          <w:p>
            <w:pPr>
              <w:pStyle w:val="TableContents"/>
              <w:spacing w:before="0" w:after="0"/>
              <w:jc w:val="center"/>
              <w:rPr>
                <w:rFonts w:ascii="Times New Roman" w:hAnsi="Times New Roman"/>
                <w:b/>
                <w:color w:val="000000"/>
                <w:sz w:val="20"/>
              </w:rPr>
            </w:pPr>
            <w:r>
              <w:rPr>
                <w:rFonts w:ascii="Times New Roman" w:hAnsi="Times New Roman"/>
                <w:b/>
                <w:color w:val="000000"/>
                <w:sz w:val="20"/>
              </w:rPr>
              <w:t xml:space="preserve">Evaluated – </w:t>
            </w:r>
          </w:p>
          <w:p>
            <w:pPr>
              <w:pStyle w:val="TableContents"/>
              <w:spacing w:before="0" w:after="0"/>
              <w:jc w:val="center"/>
              <w:rPr>
                <w:rFonts w:ascii="Times New Roman" w:hAnsi="Times New Roman"/>
                <w:b/>
                <w:color w:val="000000"/>
                <w:sz w:val="20"/>
              </w:rPr>
            </w:pPr>
            <w:r>
              <w:rPr>
                <w:rFonts w:ascii="Times New Roman" w:hAnsi="Times New Roman"/>
                <w:b/>
                <w:color w:val="000000"/>
                <w:sz w:val="20"/>
              </w:rPr>
              <w:t>Amortized Cost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89"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20"/>
              </w:rPr>
            </w:pPr>
            <w:r>
              <w:rPr>
                <w:rFonts w:ascii="Times New Roman" w:hAnsi="Times New Roman"/>
                <w:b/>
                <w:color w:val="000000"/>
                <w:sz w:val="20"/>
              </w:rPr>
              <w:t>Individually</w:t>
            </w:r>
          </w:p>
          <w:p>
            <w:pPr>
              <w:pStyle w:val="TableContents"/>
              <w:spacing w:before="0" w:after="0"/>
              <w:jc w:val="center"/>
              <w:rPr>
                <w:rFonts w:ascii="Times New Roman" w:hAnsi="Times New Roman"/>
                <w:b/>
                <w:color w:val="000000"/>
                <w:sz w:val="20"/>
              </w:rPr>
            </w:pPr>
            <w:r>
              <w:rPr>
                <w:rFonts w:ascii="Times New Roman" w:hAnsi="Times New Roman"/>
                <w:b/>
                <w:color w:val="000000"/>
                <w:sz w:val="20"/>
              </w:rPr>
              <w:t>Evaluated – ACL</w:t>
            </w:r>
          </w:p>
        </w:tc>
        <w:tc>
          <w:tcPr>
            <w:tcW w:w="75" w:type="dxa"/>
            <w:tcBorders/>
            <w:shd w:fill="auto" w:val="clear"/>
            <w:vAlign w:val="bottom"/>
          </w:tcPr>
          <w:p>
            <w:pPr>
              <w:pStyle w:val="TableContents"/>
              <w:spacing w:before="0" w:after="283"/>
              <w:jc w:val="left"/>
              <w:rPr/>
            </w:pPr>
            <w:r>
              <w:rPr/>
              <w:t> </w:t>
            </w:r>
          </w:p>
        </w:tc>
      </w:tr>
      <w:tr>
        <w:trPr/>
        <w:tc>
          <w:tcPr>
            <w:tcW w:w="2090" w:type="dxa"/>
            <w:tcBorders/>
            <w:shd w:fill="auto" w:val="clear"/>
            <w:vAlign w:val="bottom"/>
          </w:tcPr>
          <w:p>
            <w:pPr>
              <w:pStyle w:val="TableContents"/>
              <w:spacing w:before="0" w:after="0"/>
              <w:ind w:left="180" w:right="0" w:hanging="0"/>
              <w:jc w:val="left"/>
              <w:rPr>
                <w:rFonts w:ascii="Times New Roman" w:hAnsi="Times New Roman"/>
                <w:color w:val="000000"/>
                <w:sz w:val="20"/>
                <w:u w:val="single"/>
              </w:rPr>
            </w:pPr>
            <w:r>
              <w:rPr>
                <w:rFonts w:ascii="Times New Roman" w:hAnsi="Times New Roman"/>
                <w:color w:val="000000"/>
                <w:sz w:val="20"/>
                <w:u w:val="single"/>
              </w:rPr>
              <w:t>March 31, 2023</w:t>
            </w:r>
          </w:p>
        </w:tc>
        <w:tc>
          <w:tcPr>
            <w:tcW w:w="60" w:type="dxa"/>
            <w:tcBorders/>
            <w:shd w:fill="auto" w:val="clear"/>
            <w:vAlign w:val="bottom"/>
          </w:tcPr>
          <w:p>
            <w:pPr>
              <w:pStyle w:val="TableContents"/>
              <w:spacing w:before="0" w:after="283"/>
              <w:rPr/>
            </w:pPr>
            <w:r>
              <w:rPr/>
              <w:t> </w:t>
            </w:r>
          </w:p>
        </w:tc>
        <w:tc>
          <w:tcPr>
            <w:tcW w:w="1339"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489"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jc w:val="left"/>
              <w:rPr/>
            </w:pPr>
            <w:r>
              <w:rPr/>
              <w:t> </w:t>
            </w:r>
          </w:p>
        </w:tc>
      </w:tr>
      <w:tr>
        <w:trPr/>
        <w:tc>
          <w:tcPr>
            <w:tcW w:w="2090"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Commercial real estate</w:t>
            </w:r>
          </w:p>
        </w:tc>
        <w:tc>
          <w:tcPr>
            <w:tcW w:w="60" w:type="dxa"/>
            <w:tcBorders/>
            <w:shd w:fill="CCEEFF" w:val="clear"/>
            <w:vAlign w:val="bottom"/>
          </w:tcPr>
          <w:p>
            <w:pPr>
              <w:pStyle w:val="TableContents"/>
              <w:spacing w:before="0" w:after="283"/>
              <w:jc w:val="right"/>
              <w:rPr/>
            </w:pPr>
            <w:r>
              <w:rPr/>
              <w:t> </w:t>
            </w:r>
          </w:p>
        </w:tc>
        <w:tc>
          <w:tcPr>
            <w:tcW w:w="274"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1065"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79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403"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1086" w:type="dxa"/>
            <w:tcBorders/>
            <w:shd w:fill="CCEEFF" w:val="clear"/>
            <w:vAlign w:val="bottom"/>
          </w:tcPr>
          <w:p>
            <w:pPr>
              <w:pStyle w:val="TableContents"/>
              <w:spacing w:before="0" w:after="0"/>
              <w:jc w:val="right"/>
              <w:rPr>
                <w:color w:val="000000"/>
              </w:rPr>
            </w:pPr>
            <w:r>
              <w:rPr>
                <w:color w:val="000000"/>
              </w:rPr>
              <w:t>—</w:t>
            </w:r>
          </w:p>
        </w:tc>
        <w:tc>
          <w:tcPr>
            <w:tcW w:w="75" w:type="dxa"/>
            <w:tcBorders/>
            <w:shd w:fill="CCEEFF" w:val="clear"/>
            <w:vAlign w:val="bottom"/>
          </w:tcPr>
          <w:p>
            <w:pPr>
              <w:pStyle w:val="TableContents"/>
              <w:spacing w:before="0" w:after="283"/>
              <w:jc w:val="left"/>
              <w:rPr/>
            </w:pPr>
            <w:r>
              <w:rPr/>
              <w:t> </w:t>
            </w:r>
          </w:p>
        </w:tc>
      </w:tr>
      <w:tr>
        <w:trPr/>
        <w:tc>
          <w:tcPr>
            <w:tcW w:w="2090" w:type="dxa"/>
            <w:tcBorders/>
            <w:shd w:fill="auto"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Commercial - specialized</w:t>
            </w:r>
          </w:p>
        </w:tc>
        <w:tc>
          <w:tcPr>
            <w:tcW w:w="60" w:type="dxa"/>
            <w:tcBorders/>
            <w:shd w:fill="auto" w:val="clear"/>
            <w:vAlign w:val="bottom"/>
          </w:tcPr>
          <w:p>
            <w:pPr>
              <w:pStyle w:val="TableContents"/>
              <w:spacing w:before="0" w:after="283"/>
              <w:jc w:val="right"/>
              <w:rPr/>
            </w:pPr>
            <w:r>
              <w:rPr/>
              <w:t> </w:t>
            </w:r>
          </w:p>
        </w:tc>
        <w:tc>
          <w:tcPr>
            <w:tcW w:w="274" w:type="dxa"/>
            <w:tcBorders/>
            <w:shd w:fill="auto" w:val="clear"/>
            <w:vAlign w:val="bottom"/>
          </w:tcPr>
          <w:p>
            <w:pPr>
              <w:pStyle w:val="TableContents"/>
              <w:spacing w:before="0" w:after="283"/>
              <w:jc w:val="left"/>
              <w:rPr/>
            </w:pPr>
            <w:r>
              <w:rPr/>
              <w:t> </w:t>
            </w:r>
          </w:p>
        </w:tc>
        <w:tc>
          <w:tcPr>
            <w:tcW w:w="1065" w:type="dxa"/>
            <w:tcBorders/>
            <w:shd w:fill="auto" w:val="cle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403" w:type="dxa"/>
            <w:tcBorders/>
            <w:shd w:fill="auto" w:val="clear"/>
            <w:vAlign w:val="bottom"/>
          </w:tcPr>
          <w:p>
            <w:pPr>
              <w:pStyle w:val="TableContents"/>
              <w:spacing w:before="0" w:after="283"/>
              <w:jc w:val="left"/>
              <w:rPr/>
            </w:pPr>
            <w:r>
              <w:rPr/>
              <w:t> </w:t>
            </w:r>
          </w:p>
        </w:tc>
        <w:tc>
          <w:tcPr>
            <w:tcW w:w="1086" w:type="dxa"/>
            <w:tcBorders/>
            <w:shd w:fill="auto" w:val="clear"/>
            <w:vAlign w:val="bottom"/>
          </w:tcPr>
          <w:p>
            <w:pPr>
              <w:pStyle w:val="TableContents"/>
              <w:spacing w:before="0" w:after="0"/>
              <w:jc w:val="right"/>
              <w:rPr>
                <w:color w:val="000000"/>
              </w:rPr>
            </w:pPr>
            <w:r>
              <w:rPr>
                <w:color w:val="000000"/>
              </w:rPr>
              <w:t>—</w:t>
            </w:r>
          </w:p>
        </w:tc>
        <w:tc>
          <w:tcPr>
            <w:tcW w:w="75" w:type="dxa"/>
            <w:tcBorders/>
            <w:shd w:fill="auto" w:val="clear"/>
            <w:vAlign w:val="bottom"/>
          </w:tcPr>
          <w:p>
            <w:pPr>
              <w:pStyle w:val="TableContents"/>
              <w:spacing w:before="0" w:after="283"/>
              <w:jc w:val="left"/>
              <w:rPr/>
            </w:pPr>
            <w:r>
              <w:rPr/>
              <w:t> </w:t>
            </w:r>
          </w:p>
        </w:tc>
      </w:tr>
      <w:tr>
        <w:trPr/>
        <w:tc>
          <w:tcPr>
            <w:tcW w:w="2090"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Commercial - general</w:t>
            </w:r>
          </w:p>
        </w:tc>
        <w:tc>
          <w:tcPr>
            <w:tcW w:w="60" w:type="dxa"/>
            <w:tcBorders/>
            <w:shd w:fill="CCEEFF" w:val="clear"/>
            <w:vAlign w:val="bottom"/>
          </w:tcPr>
          <w:p>
            <w:pPr>
              <w:pStyle w:val="TableContents"/>
              <w:spacing w:before="0" w:after="283"/>
              <w:jc w:val="right"/>
              <w:rPr/>
            </w:pPr>
            <w:r>
              <w:rPr/>
              <w:t> </w:t>
            </w:r>
          </w:p>
        </w:tc>
        <w:tc>
          <w:tcPr>
            <w:tcW w:w="274" w:type="dxa"/>
            <w:tcBorders/>
            <w:shd w:fill="CCEEFF" w:val="clear"/>
            <w:vAlign w:val="bottom"/>
          </w:tcPr>
          <w:p>
            <w:pPr>
              <w:pStyle w:val="TableContents"/>
              <w:spacing w:before="0" w:after="283"/>
              <w:jc w:val="left"/>
              <w:rPr/>
            </w:pPr>
            <w:r>
              <w:rPr/>
              <w:t> </w:t>
            </w:r>
          </w:p>
        </w:tc>
        <w:tc>
          <w:tcPr>
            <w:tcW w:w="1065"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3,742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403" w:type="dxa"/>
            <w:tcBorders/>
            <w:shd w:fill="CCEEFF" w:val="clear"/>
            <w:vAlign w:val="bottom"/>
          </w:tcPr>
          <w:p>
            <w:pPr>
              <w:pStyle w:val="TableContents"/>
              <w:spacing w:before="0" w:after="283"/>
              <w:jc w:val="left"/>
              <w:rPr/>
            </w:pPr>
            <w:r>
              <w:rPr/>
              <w:t> </w:t>
            </w:r>
          </w:p>
        </w:tc>
        <w:tc>
          <w:tcPr>
            <w:tcW w:w="1086"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63</w:t>
            </w:r>
          </w:p>
        </w:tc>
        <w:tc>
          <w:tcPr>
            <w:tcW w:w="75" w:type="dxa"/>
            <w:tcBorders/>
            <w:shd w:fill="CCEEFF" w:val="clear"/>
            <w:vAlign w:val="bottom"/>
          </w:tcPr>
          <w:p>
            <w:pPr>
              <w:pStyle w:val="TableContents"/>
              <w:spacing w:before="0" w:after="283"/>
              <w:jc w:val="left"/>
              <w:rPr/>
            </w:pPr>
            <w:r>
              <w:rPr/>
              <w:t> </w:t>
            </w:r>
          </w:p>
        </w:tc>
      </w:tr>
      <w:tr>
        <w:trPr/>
        <w:tc>
          <w:tcPr>
            <w:tcW w:w="2090" w:type="dxa"/>
            <w:tcBorders/>
            <w:shd w:fill="auto"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Consumer:</w:t>
            </w:r>
          </w:p>
        </w:tc>
        <w:tc>
          <w:tcPr>
            <w:tcW w:w="60" w:type="dxa"/>
            <w:tcBorders/>
            <w:shd w:fill="auto" w:val="clear"/>
            <w:vAlign w:val="bottom"/>
          </w:tcPr>
          <w:p>
            <w:pPr>
              <w:pStyle w:val="TableContents"/>
              <w:spacing w:before="0" w:after="283"/>
              <w:jc w:val="right"/>
              <w:rPr/>
            </w:pPr>
            <w:r>
              <w:rPr/>
              <w:t> </w:t>
            </w:r>
          </w:p>
        </w:tc>
        <w:tc>
          <w:tcPr>
            <w:tcW w:w="274" w:type="dxa"/>
            <w:tcBorders/>
            <w:shd w:fill="auto" w:val="clear"/>
            <w:vAlign w:val="bottom"/>
          </w:tcPr>
          <w:p>
            <w:pPr>
              <w:pStyle w:val="TableContents"/>
              <w:spacing w:before="0" w:after="283"/>
              <w:jc w:val="left"/>
              <w:rPr/>
            </w:pPr>
            <w:r>
              <w:rPr/>
              <w:t> </w:t>
            </w:r>
          </w:p>
        </w:tc>
        <w:tc>
          <w:tcPr>
            <w:tcW w:w="106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403" w:type="dxa"/>
            <w:tcBorders/>
            <w:shd w:fill="auto" w:val="clear"/>
            <w:vAlign w:val="bottom"/>
          </w:tcPr>
          <w:p>
            <w:pPr>
              <w:pStyle w:val="TableContents"/>
              <w:spacing w:before="0" w:after="283"/>
              <w:jc w:val="left"/>
              <w:rPr/>
            </w:pPr>
            <w:r>
              <w:rPr/>
              <w:t> </w:t>
            </w:r>
          </w:p>
        </w:tc>
        <w:tc>
          <w:tcPr>
            <w:tcW w:w="1086" w:type="dxa"/>
            <w:tcBorders/>
            <w:shd w:fill="auto" w:val="clear"/>
            <w:vAlign w:val="bottom"/>
          </w:tcPr>
          <w:p>
            <w:pPr>
              <w:pStyle w:val="TableContents"/>
              <w:spacing w:before="0" w:after="283"/>
              <w:jc w:val="right"/>
              <w:rPr/>
            </w:pPr>
            <w:r>
              <w:rPr/>
              <w:t> </w:t>
            </w:r>
          </w:p>
        </w:tc>
        <w:tc>
          <w:tcPr>
            <w:tcW w:w="75" w:type="dxa"/>
            <w:tcBorders/>
            <w:shd w:fill="auto" w:val="clear"/>
            <w:vAlign w:val="bottom"/>
          </w:tcPr>
          <w:p>
            <w:pPr>
              <w:pStyle w:val="TableContents"/>
              <w:spacing w:before="0" w:after="283"/>
              <w:jc w:val="left"/>
              <w:rPr/>
            </w:pPr>
            <w:r>
              <w:rPr/>
              <w:t> </w:t>
            </w:r>
          </w:p>
        </w:tc>
      </w:tr>
      <w:tr>
        <w:trPr/>
        <w:tc>
          <w:tcPr>
            <w:tcW w:w="2090" w:type="dxa"/>
            <w:tcBorders/>
            <w:shd w:fill="CCEEFF" w:val="clear"/>
            <w:vAlign w:val="bottom"/>
          </w:tcPr>
          <w:p>
            <w:pPr>
              <w:pStyle w:val="TableContents"/>
              <w:spacing w:before="0" w:after="0"/>
              <w:ind w:left="180" w:right="0" w:hanging="0"/>
              <w:jc w:val="left"/>
              <w:rPr>
                <w:rFonts w:ascii="Times New Roman" w:hAnsi="Times New Roman"/>
                <w:color w:val="000000"/>
                <w:sz w:val="20"/>
              </w:rPr>
            </w:pPr>
            <w:r>
              <w:rPr>
                <w:rFonts w:ascii="Times New Roman" w:hAnsi="Times New Roman"/>
                <w:color w:val="000000"/>
                <w:sz w:val="20"/>
              </w:rPr>
              <w:t>1-4 family residential</w:t>
            </w:r>
          </w:p>
        </w:tc>
        <w:tc>
          <w:tcPr>
            <w:tcW w:w="60" w:type="dxa"/>
            <w:tcBorders/>
            <w:shd w:fill="CCEEFF" w:val="clear"/>
            <w:vAlign w:val="bottom"/>
          </w:tcPr>
          <w:p>
            <w:pPr>
              <w:pStyle w:val="TableContents"/>
              <w:spacing w:before="0" w:after="283"/>
              <w:jc w:val="right"/>
              <w:rPr/>
            </w:pPr>
            <w:r>
              <w:rPr/>
              <w:t> </w:t>
            </w:r>
          </w:p>
        </w:tc>
        <w:tc>
          <w:tcPr>
            <w:tcW w:w="274" w:type="dxa"/>
            <w:tcBorders/>
            <w:shd w:fill="CCEEFF" w:val="clear"/>
            <w:vAlign w:val="bottom"/>
          </w:tcPr>
          <w:p>
            <w:pPr>
              <w:pStyle w:val="TableContents"/>
              <w:spacing w:before="0" w:after="283"/>
              <w:jc w:val="left"/>
              <w:rPr/>
            </w:pPr>
            <w:r>
              <w:rPr/>
              <w:t> </w:t>
            </w:r>
          </w:p>
        </w:tc>
        <w:tc>
          <w:tcPr>
            <w:tcW w:w="1065"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486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403" w:type="dxa"/>
            <w:tcBorders/>
            <w:shd w:fill="CCEEFF" w:val="clear"/>
            <w:vAlign w:val="bottom"/>
          </w:tcPr>
          <w:p>
            <w:pPr>
              <w:pStyle w:val="TableContents"/>
              <w:spacing w:before="0" w:after="283"/>
              <w:jc w:val="left"/>
              <w:rPr/>
            </w:pPr>
            <w:r>
              <w:rPr/>
              <w:t> </w:t>
            </w:r>
          </w:p>
        </w:tc>
        <w:tc>
          <w:tcPr>
            <w:tcW w:w="1086"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83</w:t>
            </w:r>
          </w:p>
        </w:tc>
        <w:tc>
          <w:tcPr>
            <w:tcW w:w="75" w:type="dxa"/>
            <w:tcBorders/>
            <w:shd w:fill="CCEEFF" w:val="clear"/>
            <w:vAlign w:val="bottom"/>
          </w:tcPr>
          <w:p>
            <w:pPr>
              <w:pStyle w:val="TableContents"/>
              <w:spacing w:before="0" w:after="283"/>
              <w:jc w:val="left"/>
              <w:rPr/>
            </w:pPr>
            <w:r>
              <w:rPr/>
              <w:t> </w:t>
            </w:r>
          </w:p>
        </w:tc>
      </w:tr>
      <w:tr>
        <w:trPr/>
        <w:tc>
          <w:tcPr>
            <w:tcW w:w="2090" w:type="dxa"/>
            <w:tcBorders/>
            <w:shd w:fill="auto" w:val="clear"/>
            <w:vAlign w:val="bottom"/>
          </w:tcPr>
          <w:p>
            <w:pPr>
              <w:pStyle w:val="TableContents"/>
              <w:spacing w:before="0" w:after="0"/>
              <w:ind w:left="180" w:right="0" w:hanging="0"/>
              <w:jc w:val="left"/>
              <w:rPr>
                <w:rFonts w:ascii="Times New Roman" w:hAnsi="Times New Roman"/>
                <w:color w:val="000000"/>
                <w:sz w:val="20"/>
              </w:rPr>
            </w:pPr>
            <w:r>
              <w:rPr>
                <w:rFonts w:ascii="Times New Roman" w:hAnsi="Times New Roman"/>
                <w:color w:val="000000"/>
                <w:sz w:val="20"/>
              </w:rPr>
              <w:t>Auto loans</w:t>
            </w:r>
          </w:p>
        </w:tc>
        <w:tc>
          <w:tcPr>
            <w:tcW w:w="60" w:type="dxa"/>
            <w:tcBorders/>
            <w:shd w:fill="auto" w:val="clear"/>
            <w:vAlign w:val="bottom"/>
          </w:tcPr>
          <w:p>
            <w:pPr>
              <w:pStyle w:val="TableContents"/>
              <w:spacing w:before="0" w:after="283"/>
              <w:jc w:val="right"/>
              <w:rPr/>
            </w:pPr>
            <w:r>
              <w:rPr/>
              <w:t> </w:t>
            </w:r>
          </w:p>
        </w:tc>
        <w:tc>
          <w:tcPr>
            <w:tcW w:w="274" w:type="dxa"/>
            <w:tcBorders/>
            <w:shd w:fill="auto" w:val="clear"/>
            <w:vAlign w:val="bottom"/>
          </w:tcPr>
          <w:p>
            <w:pPr>
              <w:pStyle w:val="TableContents"/>
              <w:spacing w:before="0" w:after="283"/>
              <w:jc w:val="left"/>
              <w:rPr/>
            </w:pPr>
            <w:r>
              <w:rPr/>
              <w:t> </w:t>
            </w:r>
          </w:p>
        </w:tc>
        <w:tc>
          <w:tcPr>
            <w:tcW w:w="1065" w:type="dxa"/>
            <w:tcBorders/>
            <w:shd w:fill="auto" w:val="cle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403" w:type="dxa"/>
            <w:tcBorders/>
            <w:shd w:fill="auto" w:val="clear"/>
            <w:vAlign w:val="bottom"/>
          </w:tcPr>
          <w:p>
            <w:pPr>
              <w:pStyle w:val="TableContents"/>
              <w:spacing w:before="0" w:after="283"/>
              <w:jc w:val="left"/>
              <w:rPr/>
            </w:pPr>
            <w:r>
              <w:rPr/>
              <w:t> </w:t>
            </w:r>
          </w:p>
        </w:tc>
        <w:tc>
          <w:tcPr>
            <w:tcW w:w="1086" w:type="dxa"/>
            <w:tcBorders/>
            <w:shd w:fill="auto" w:val="clear"/>
            <w:vAlign w:val="bottom"/>
          </w:tcPr>
          <w:p>
            <w:pPr>
              <w:pStyle w:val="TableContents"/>
              <w:spacing w:before="0" w:after="0"/>
              <w:jc w:val="right"/>
              <w:rPr>
                <w:color w:val="000000"/>
              </w:rPr>
            </w:pPr>
            <w:r>
              <w:rPr>
                <w:color w:val="000000"/>
              </w:rPr>
              <w:t>—</w:t>
            </w:r>
          </w:p>
        </w:tc>
        <w:tc>
          <w:tcPr>
            <w:tcW w:w="75" w:type="dxa"/>
            <w:tcBorders/>
            <w:shd w:fill="auto" w:val="clear"/>
            <w:vAlign w:val="bottom"/>
          </w:tcPr>
          <w:p>
            <w:pPr>
              <w:pStyle w:val="TableContents"/>
              <w:spacing w:before="0" w:after="283"/>
              <w:jc w:val="left"/>
              <w:rPr/>
            </w:pPr>
            <w:r>
              <w:rPr/>
              <w:t> </w:t>
            </w:r>
          </w:p>
        </w:tc>
      </w:tr>
      <w:tr>
        <w:trPr/>
        <w:tc>
          <w:tcPr>
            <w:tcW w:w="2090" w:type="dxa"/>
            <w:tcBorders/>
            <w:shd w:fill="CCEEFF" w:val="clear"/>
            <w:vAlign w:val="bottom"/>
          </w:tcPr>
          <w:p>
            <w:pPr>
              <w:pStyle w:val="TableContents"/>
              <w:spacing w:before="0" w:after="0"/>
              <w:ind w:left="180" w:right="0" w:hanging="0"/>
              <w:jc w:val="left"/>
              <w:rPr>
                <w:rFonts w:ascii="Times New Roman" w:hAnsi="Times New Roman"/>
                <w:color w:val="000000"/>
                <w:sz w:val="20"/>
              </w:rPr>
            </w:pPr>
            <w:r>
              <w:rPr>
                <w:rFonts w:ascii="Times New Roman" w:hAnsi="Times New Roman"/>
                <w:color w:val="000000"/>
                <w:sz w:val="20"/>
              </w:rPr>
              <w:t>Other consumer</w:t>
            </w:r>
          </w:p>
        </w:tc>
        <w:tc>
          <w:tcPr>
            <w:tcW w:w="60" w:type="dxa"/>
            <w:tcBorders/>
            <w:shd w:fill="CCEEFF" w:val="clear"/>
            <w:vAlign w:val="bottom"/>
          </w:tcPr>
          <w:p>
            <w:pPr>
              <w:pStyle w:val="TableContents"/>
              <w:spacing w:before="0" w:after="283"/>
              <w:jc w:val="right"/>
              <w:rPr/>
            </w:pPr>
            <w:r>
              <w:rPr/>
              <w:t> </w:t>
            </w:r>
          </w:p>
        </w:tc>
        <w:tc>
          <w:tcPr>
            <w:tcW w:w="274" w:type="dxa"/>
            <w:tcBorders/>
            <w:shd w:fill="CCEEFF" w:val="clear"/>
            <w:vAlign w:val="bottom"/>
          </w:tcPr>
          <w:p>
            <w:pPr>
              <w:pStyle w:val="TableContents"/>
              <w:spacing w:before="0" w:after="283"/>
              <w:jc w:val="left"/>
              <w:rPr/>
            </w:pPr>
            <w:r>
              <w:rPr/>
              <w:t> </w:t>
            </w:r>
          </w:p>
        </w:tc>
        <w:tc>
          <w:tcPr>
            <w:tcW w:w="1065"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403" w:type="dxa"/>
            <w:tcBorders/>
            <w:shd w:fill="CCEEFF" w:val="clear"/>
            <w:vAlign w:val="bottom"/>
          </w:tcPr>
          <w:p>
            <w:pPr>
              <w:pStyle w:val="TableContents"/>
              <w:spacing w:before="0" w:after="283"/>
              <w:jc w:val="left"/>
              <w:rPr/>
            </w:pPr>
            <w:r>
              <w:rPr/>
              <w:t> </w:t>
            </w:r>
          </w:p>
        </w:tc>
        <w:tc>
          <w:tcPr>
            <w:tcW w:w="1086" w:type="dxa"/>
            <w:tcBorders/>
            <w:shd w:fill="CCEEFF" w:val="clear"/>
            <w:vAlign w:val="bottom"/>
          </w:tcPr>
          <w:p>
            <w:pPr>
              <w:pStyle w:val="TableContents"/>
              <w:spacing w:before="0" w:after="0"/>
              <w:jc w:val="right"/>
              <w:rPr>
                <w:color w:val="000000"/>
              </w:rPr>
            </w:pPr>
            <w:r>
              <w:rPr>
                <w:color w:val="000000"/>
              </w:rPr>
              <w:t>—</w:t>
            </w:r>
          </w:p>
        </w:tc>
        <w:tc>
          <w:tcPr>
            <w:tcW w:w="75" w:type="dxa"/>
            <w:tcBorders/>
            <w:shd w:fill="CCEEFF" w:val="clear"/>
            <w:vAlign w:val="bottom"/>
          </w:tcPr>
          <w:p>
            <w:pPr>
              <w:pStyle w:val="TableContents"/>
              <w:spacing w:before="0" w:after="283"/>
              <w:jc w:val="left"/>
              <w:rPr/>
            </w:pPr>
            <w:r>
              <w:rPr/>
              <w:t> </w:t>
            </w:r>
          </w:p>
        </w:tc>
      </w:tr>
      <w:tr>
        <w:trPr/>
        <w:tc>
          <w:tcPr>
            <w:tcW w:w="2090" w:type="dxa"/>
            <w:tcBorders/>
            <w:shd w:fill="auto"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Construction</w:t>
            </w:r>
          </w:p>
        </w:tc>
        <w:tc>
          <w:tcPr>
            <w:tcW w:w="60" w:type="dxa"/>
            <w:tcBorders/>
            <w:shd w:fill="auto" w:val="clear"/>
            <w:vAlign w:val="bottom"/>
          </w:tcPr>
          <w:p>
            <w:pPr>
              <w:pStyle w:val="TableContents"/>
              <w:spacing w:before="0" w:after="283"/>
              <w:jc w:val="right"/>
              <w:rPr/>
            </w:pPr>
            <w:r>
              <w:rPr/>
              <w:t> </w:t>
            </w:r>
          </w:p>
        </w:tc>
        <w:tc>
          <w:tcPr>
            <w:tcW w:w="274"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065"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403"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086"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75" w:type="dxa"/>
            <w:tcBorders/>
            <w:shd w:fill="auto" w:val="clear"/>
            <w:vAlign w:val="bottom"/>
          </w:tcPr>
          <w:p>
            <w:pPr>
              <w:pStyle w:val="TableContents"/>
              <w:spacing w:before="0" w:after="283"/>
              <w:jc w:val="left"/>
              <w:rPr/>
            </w:pPr>
            <w:r>
              <w:rPr/>
              <w:t> </w:t>
            </w:r>
          </w:p>
        </w:tc>
      </w:tr>
      <w:tr>
        <w:trPr/>
        <w:tc>
          <w:tcPr>
            <w:tcW w:w="2090" w:type="dxa"/>
            <w:tcBorders/>
            <w:shd w:fill="CCEEFF" w:val="clear"/>
            <w:vAlign w:val="bottom"/>
          </w:tcPr>
          <w:p>
            <w:pPr>
              <w:pStyle w:val="TableContents"/>
              <w:spacing w:before="0" w:after="0"/>
              <w:jc w:val="left"/>
              <w:rPr>
                <w:color w:val="000000"/>
              </w:rPr>
            </w:pPr>
            <w:r>
              <w:rPr>
                <w:color w:val="000000"/>
              </w:rPr>
              <w:t> </w:t>
            </w:r>
          </w:p>
        </w:tc>
        <w:tc>
          <w:tcPr>
            <w:tcW w:w="60" w:type="dxa"/>
            <w:tcBorders/>
            <w:shd w:fill="CCEEFF" w:val="clear"/>
            <w:vAlign w:val="bottom"/>
          </w:tcPr>
          <w:p>
            <w:pPr>
              <w:pStyle w:val="TableContents"/>
              <w:spacing w:before="0" w:after="283"/>
              <w:jc w:val="right"/>
              <w:rPr/>
            </w:pPr>
            <w:r>
              <w:rPr/>
              <w:t> </w:t>
            </w:r>
          </w:p>
        </w:tc>
        <w:tc>
          <w:tcPr>
            <w:tcW w:w="274"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1065"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4,307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403"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1086"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146</w:t>
            </w:r>
          </w:p>
        </w:tc>
        <w:tc>
          <w:tcPr>
            <w:tcW w:w="75" w:type="dxa"/>
            <w:tcBorders/>
            <w:shd w:fill="CCEEFF" w:val="clear"/>
            <w:vAlign w:val="bottom"/>
          </w:tcPr>
          <w:p>
            <w:pPr>
              <w:pStyle w:val="TableContents"/>
              <w:spacing w:before="0" w:after="283"/>
              <w:jc w:val="left"/>
              <w:rPr/>
            </w:pPr>
            <w:r>
              <w:rPr/>
              <w:t> </w:t>
            </w:r>
          </w:p>
        </w:tc>
      </w:tr>
    </w:tbl>
    <w:p>
      <w:pPr>
        <w:pStyle w:val="TextBody"/>
        <w:spacing w:before="0" w:after="0"/>
        <w:jc w:val="both"/>
        <w:rPr/>
      </w:pPr>
      <w:r>
        <w:rPr/>
      </w:r>
    </w:p>
    <w:p>
      <w:pPr>
        <w:pStyle w:val="TextBody"/>
        <w:spacing w:before="0" w:after="0"/>
        <w:jc w:val="left"/>
        <w:rPr>
          <w:rFonts w:ascii="Times New Roman;Times;serif" w:hAnsi="Times New Roman;Times;serif"/>
          <w:color w:val="000000"/>
          <w:sz w:val="20"/>
        </w:rPr>
      </w:pPr>
      <w:r>
        <w:rPr>
          <w:rFonts w:ascii="Times New Roman;Times;serif" w:hAnsi="Times New Roman;Times;serif"/>
          <w:color w:val="000000"/>
          <w:sz w:val="20"/>
        </w:rPr>
        <w:t>The following table shows the Company’s investment in loans disaggregated based on the method of evaluating impairment at the date indicated (dollars in thousands):</w:t>
      </w:r>
    </w:p>
    <w:p>
      <w:pPr>
        <w:pStyle w:val="TextBody"/>
        <w:spacing w:before="0" w:after="0"/>
        <w:jc w:val="left"/>
        <w:rPr/>
      </w:pPr>
      <w:r>
        <w:rPr/>
      </w:r>
    </w:p>
    <w:tbl>
      <w:tblPr>
        <w:tblW w:w="6811" w:type="dxa"/>
        <w:jc w:val="left"/>
        <w:tblInd w:w="0" w:type="dxa"/>
        <w:tblCellMar>
          <w:top w:w="0" w:type="dxa"/>
          <w:left w:w="0" w:type="dxa"/>
          <w:bottom w:w="0" w:type="dxa"/>
          <w:right w:w="0" w:type="dxa"/>
        </w:tblCellMar>
      </w:tblPr>
      <w:tblGrid>
        <w:gridCol w:w="2090"/>
        <w:gridCol w:w="60"/>
        <w:gridCol w:w="219"/>
        <w:gridCol w:w="851"/>
        <w:gridCol w:w="63"/>
        <w:gridCol w:w="63"/>
        <w:gridCol w:w="134"/>
        <w:gridCol w:w="906"/>
        <w:gridCol w:w="60"/>
        <w:gridCol w:w="60"/>
        <w:gridCol w:w="290"/>
        <w:gridCol w:w="780"/>
        <w:gridCol w:w="60"/>
        <w:gridCol w:w="60"/>
        <w:gridCol w:w="181"/>
        <w:gridCol w:w="859"/>
        <w:gridCol w:w="75"/>
      </w:tblGrid>
      <w:tr>
        <w:trPr/>
        <w:tc>
          <w:tcPr>
            <w:tcW w:w="209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236" w:type="dxa"/>
            <w:gridSpan w:val="6"/>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Recorded Investment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230" w:type="dxa"/>
            <w:gridSpan w:val="6"/>
            <w:tcBorders>
              <w:bottom w:val="single" w:sz="12" w:space="0" w:color="000000"/>
            </w:tcBorders>
            <w:shd w:fill="auto" w:val="clear"/>
            <w:tcMar>
              <w:bottom w:w="28" w:type="dxa"/>
            </w:tcMar>
            <w:vAlign w:val="bottom"/>
          </w:tcPr>
          <w:p>
            <w:pPr>
              <w:pStyle w:val="TableContents"/>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ACL for Loans</w:t>
            </w:r>
          </w:p>
        </w:tc>
        <w:tc>
          <w:tcPr>
            <w:tcW w:w="75" w:type="dxa"/>
            <w:tcBorders/>
            <w:shd w:fill="auto" w:val="clear"/>
            <w:vAlign w:val="bottom"/>
          </w:tcPr>
          <w:p>
            <w:pPr>
              <w:pStyle w:val="TableContents"/>
              <w:spacing w:before="0" w:after="283"/>
              <w:jc w:val="left"/>
              <w:rPr/>
            </w:pPr>
            <w:r>
              <w:rPr/>
              <w:t> </w:t>
            </w:r>
          </w:p>
        </w:tc>
      </w:tr>
      <w:tr>
        <w:trPr/>
        <w:tc>
          <w:tcPr>
            <w:tcW w:w="20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7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Individually</w:t>
            </w:r>
          </w:p>
          <w:p>
            <w:pPr>
              <w:pStyle w:val="TableContents"/>
              <w:spacing w:before="0" w:after="0"/>
              <w:jc w:val="center"/>
              <w:rPr>
                <w:rFonts w:ascii="Times New Roman" w:hAnsi="Times New Roman"/>
                <w:b/>
                <w:sz w:val="20"/>
              </w:rPr>
            </w:pPr>
            <w:r>
              <w:rPr>
                <w:rFonts w:ascii="Times New Roman" w:hAnsi="Times New Roman"/>
                <w:b/>
                <w:sz w:val="20"/>
              </w:rPr>
              <w:t>Evaluated</w:t>
            </w:r>
          </w:p>
        </w:tc>
        <w:tc>
          <w:tcPr>
            <w:tcW w:w="63" w:type="dxa"/>
            <w:tcBorders/>
            <w:shd w:fill="auto" w:val="clear"/>
            <w:vAlign w:val="bottom"/>
          </w:tcPr>
          <w:p>
            <w:pPr>
              <w:pStyle w:val="TableContents"/>
              <w:spacing w:before="0" w:after="283"/>
              <w:jc w:val="left"/>
              <w:rPr/>
            </w:pPr>
            <w:r>
              <w:rPr/>
              <w:t> </w:t>
            </w:r>
          </w:p>
        </w:tc>
        <w:tc>
          <w:tcPr>
            <w:tcW w:w="63" w:type="dxa"/>
            <w:tcBorders/>
            <w:shd w:fill="auto" w:val="clear"/>
            <w:vAlign w:val="bottom"/>
          </w:tcPr>
          <w:p>
            <w:pPr>
              <w:pStyle w:val="TableContents"/>
              <w:spacing w:before="0" w:after="283"/>
              <w:rPr/>
            </w:pPr>
            <w:r>
              <w:rPr/>
              <w:t> </w:t>
            </w:r>
          </w:p>
        </w:tc>
        <w:tc>
          <w:tcPr>
            <w:tcW w:w="104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Collectively</w:t>
            </w:r>
          </w:p>
          <w:p>
            <w:pPr>
              <w:pStyle w:val="TableContents"/>
              <w:spacing w:before="0" w:after="0"/>
              <w:jc w:val="center"/>
              <w:rPr>
                <w:rFonts w:ascii="Times New Roman" w:hAnsi="Times New Roman"/>
                <w:b/>
                <w:sz w:val="20"/>
              </w:rPr>
            </w:pPr>
            <w:r>
              <w:rPr>
                <w:rFonts w:ascii="Times New Roman" w:hAnsi="Times New Roman"/>
                <w:b/>
                <w:sz w:val="20"/>
              </w:rPr>
              <w:t>Evaluated</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07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Individually</w:t>
            </w:r>
          </w:p>
          <w:p>
            <w:pPr>
              <w:pStyle w:val="TableContents"/>
              <w:spacing w:before="0" w:after="0"/>
              <w:jc w:val="center"/>
              <w:rPr>
                <w:rFonts w:ascii="Times New Roman" w:hAnsi="Times New Roman"/>
                <w:b/>
                <w:sz w:val="20"/>
              </w:rPr>
            </w:pPr>
            <w:r>
              <w:rPr>
                <w:rFonts w:ascii="Times New Roman" w:hAnsi="Times New Roman"/>
                <w:b/>
                <w:sz w:val="20"/>
              </w:rPr>
              <w:t>Evaluated</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04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Collectively</w:t>
            </w:r>
          </w:p>
          <w:p>
            <w:pPr>
              <w:pStyle w:val="TableContents"/>
              <w:spacing w:before="0" w:after="0"/>
              <w:jc w:val="center"/>
              <w:rPr>
                <w:rFonts w:ascii="Times New Roman" w:hAnsi="Times New Roman"/>
                <w:b/>
                <w:sz w:val="20"/>
              </w:rPr>
            </w:pPr>
            <w:r>
              <w:rPr>
                <w:rFonts w:ascii="Times New Roman" w:hAnsi="Times New Roman"/>
                <w:b/>
                <w:sz w:val="20"/>
              </w:rPr>
              <w:t>Evaluated</w:t>
            </w:r>
          </w:p>
        </w:tc>
        <w:tc>
          <w:tcPr>
            <w:tcW w:w="75" w:type="dxa"/>
            <w:tcBorders/>
            <w:shd w:fill="auto" w:val="clear"/>
            <w:vAlign w:val="bottom"/>
          </w:tcPr>
          <w:p>
            <w:pPr>
              <w:pStyle w:val="TableContents"/>
              <w:spacing w:before="0" w:after="283"/>
              <w:jc w:val="left"/>
              <w:rPr/>
            </w:pPr>
            <w:r>
              <w:rPr/>
              <w:t> </w:t>
            </w:r>
          </w:p>
        </w:tc>
      </w:tr>
      <w:tr>
        <w:trPr/>
        <w:tc>
          <w:tcPr>
            <w:tcW w:w="2090" w:type="dxa"/>
            <w:tcBorders/>
            <w:shd w:fill="auto" w:val="clear"/>
            <w:vAlign w:val="bottom"/>
          </w:tcPr>
          <w:p>
            <w:pPr>
              <w:pStyle w:val="TableContents"/>
              <w:spacing w:before="0" w:after="0"/>
              <w:ind w:left="180" w:right="0" w:hanging="0"/>
              <w:jc w:val="left"/>
              <w:rPr>
                <w:rFonts w:ascii="Times New Roman" w:hAnsi="Times New Roman"/>
                <w:sz w:val="20"/>
                <w:u w:val="single"/>
              </w:rPr>
            </w:pPr>
            <w:r>
              <w:rPr>
                <w:rFonts w:ascii="Times New Roman" w:hAnsi="Times New Roman"/>
                <w:sz w:val="20"/>
                <w:u w:val="single"/>
              </w:rPr>
              <w:t>December 31, 2022</w:t>
            </w:r>
          </w:p>
        </w:tc>
        <w:tc>
          <w:tcPr>
            <w:tcW w:w="60" w:type="dxa"/>
            <w:tcBorders/>
            <w:shd w:fill="auto" w:val="clear"/>
            <w:vAlign w:val="bottom"/>
          </w:tcPr>
          <w:p>
            <w:pPr>
              <w:pStyle w:val="TableContents"/>
              <w:spacing w:before="0" w:after="283"/>
              <w:jc w:val="right"/>
              <w:rPr/>
            </w:pPr>
            <w:r>
              <w:rPr/>
              <w:t> </w:t>
            </w:r>
          </w:p>
        </w:tc>
        <w:tc>
          <w:tcPr>
            <w:tcW w:w="1070" w:type="dxa"/>
            <w:gridSpan w:val="2"/>
            <w:tcBorders/>
            <w:shd w:fill="auto" w:val="clear"/>
            <w:vAlign w:val="bottom"/>
          </w:tcPr>
          <w:p>
            <w:pPr>
              <w:pStyle w:val="TableContents"/>
              <w:spacing w:before="0" w:after="283"/>
              <w:jc w:val="right"/>
              <w:rPr/>
            </w:pPr>
            <w:r>
              <w:rPr/>
              <w:t> </w:t>
            </w:r>
          </w:p>
        </w:tc>
        <w:tc>
          <w:tcPr>
            <w:tcW w:w="63" w:type="dxa"/>
            <w:tcBorders/>
            <w:shd w:fill="auto" w:val="clear"/>
            <w:vAlign w:val="bottom"/>
          </w:tcPr>
          <w:p>
            <w:pPr>
              <w:pStyle w:val="TableContents"/>
              <w:spacing w:before="0" w:after="283"/>
              <w:jc w:val="left"/>
              <w:rPr/>
            </w:pPr>
            <w:r>
              <w:rPr/>
              <w:t> </w:t>
            </w:r>
          </w:p>
        </w:tc>
        <w:tc>
          <w:tcPr>
            <w:tcW w:w="63" w:type="dxa"/>
            <w:tcBorders/>
            <w:shd w:fill="auto" w:val="clear"/>
            <w:vAlign w:val="bottom"/>
          </w:tcPr>
          <w:p>
            <w:pPr>
              <w:pStyle w:val="TableContents"/>
              <w:spacing w:before="0" w:after="283"/>
              <w:jc w:val="right"/>
              <w:rPr/>
            </w:pPr>
            <w:r>
              <w:rPr/>
              <w:t> </w:t>
            </w:r>
          </w:p>
        </w:tc>
        <w:tc>
          <w:tcPr>
            <w:tcW w:w="1040" w:type="dxa"/>
            <w:gridSpan w:val="2"/>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070" w:type="dxa"/>
            <w:gridSpan w:val="2"/>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040" w:type="dxa"/>
            <w:gridSpan w:val="2"/>
            <w:tcBorders/>
            <w:shd w:fill="auto" w:val="clear"/>
            <w:vAlign w:val="bottom"/>
          </w:tcPr>
          <w:p>
            <w:pPr>
              <w:pStyle w:val="TableContents"/>
              <w:spacing w:before="0" w:after="283"/>
              <w:jc w:val="right"/>
              <w:rPr/>
            </w:pPr>
            <w:r>
              <w:rPr/>
              <w:t> </w:t>
            </w:r>
          </w:p>
        </w:tc>
        <w:tc>
          <w:tcPr>
            <w:tcW w:w="75" w:type="dxa"/>
            <w:tcBorders/>
            <w:shd w:fill="auto" w:val="clear"/>
            <w:vAlign w:val="bottom"/>
          </w:tcPr>
          <w:p>
            <w:pPr>
              <w:pStyle w:val="TableContents"/>
              <w:spacing w:before="0" w:after="283"/>
              <w:jc w:val="left"/>
              <w:rPr/>
            </w:pPr>
            <w:r>
              <w:rPr/>
              <w:t> </w:t>
            </w:r>
          </w:p>
        </w:tc>
      </w:tr>
      <w:tr>
        <w:trPr/>
        <w:tc>
          <w:tcPr>
            <w:tcW w:w="2090" w:type="dxa"/>
            <w:tcBorders/>
            <w:shd w:fill="CCEE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Commercial real estate</w:t>
            </w:r>
          </w:p>
        </w:tc>
        <w:tc>
          <w:tcPr>
            <w:tcW w:w="60" w:type="dxa"/>
            <w:tcBorders/>
            <w:shd w:fill="CCEEFF" w:val="clear"/>
            <w:vAlign w:val="bottom"/>
          </w:tcPr>
          <w:p>
            <w:pPr>
              <w:pStyle w:val="TableContents"/>
              <w:spacing w:before="0" w:after="283"/>
              <w:jc w:val="right"/>
              <w:rPr/>
            </w:pPr>
            <w:r>
              <w:rPr/>
              <w:t> </w:t>
            </w:r>
          </w:p>
        </w:tc>
        <w:tc>
          <w:tcPr>
            <w:tcW w:w="219"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851" w:type="dxa"/>
            <w:tcBorders/>
            <w:shd w:fill="CCEEFF" w:val="clear"/>
            <w:vAlign w:val="bottom"/>
          </w:tcPr>
          <w:p>
            <w:pPr>
              <w:pStyle w:val="TableContents"/>
              <w:spacing w:before="0" w:after="0"/>
              <w:jc w:val="right"/>
              <w:rPr/>
            </w:pPr>
            <w:r>
              <w:rPr/>
              <w:t>—</w:t>
            </w:r>
          </w:p>
        </w:tc>
        <w:tc>
          <w:tcPr>
            <w:tcW w:w="63" w:type="dxa"/>
            <w:tcBorders/>
            <w:shd w:fill="CCEEFF" w:val="clear"/>
            <w:vAlign w:val="bottom"/>
          </w:tcPr>
          <w:p>
            <w:pPr>
              <w:pStyle w:val="TableContents"/>
              <w:spacing w:before="0" w:after="283"/>
              <w:jc w:val="left"/>
              <w:rPr/>
            </w:pPr>
            <w:r>
              <w:rPr/>
              <w:t> </w:t>
            </w:r>
          </w:p>
        </w:tc>
        <w:tc>
          <w:tcPr>
            <w:tcW w:w="63" w:type="dxa"/>
            <w:tcBorders/>
            <w:shd w:fill="CCEEFF" w:val="clear"/>
            <w:vAlign w:val="bottom"/>
          </w:tcPr>
          <w:p>
            <w:pPr>
              <w:pStyle w:val="TableContents"/>
              <w:spacing w:before="0" w:after="283"/>
              <w:jc w:val="right"/>
              <w:rPr/>
            </w:pPr>
            <w:r>
              <w:rPr/>
              <w:t> </w:t>
            </w:r>
          </w:p>
        </w:tc>
        <w:tc>
          <w:tcPr>
            <w:tcW w:w="134"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906"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919,358</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90"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780"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1"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859"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13,029</w:t>
            </w:r>
          </w:p>
        </w:tc>
        <w:tc>
          <w:tcPr>
            <w:tcW w:w="75" w:type="dxa"/>
            <w:tcBorders/>
            <w:shd w:fill="CCEEFF" w:val="clear"/>
            <w:vAlign w:val="bottom"/>
          </w:tcPr>
          <w:p>
            <w:pPr>
              <w:pStyle w:val="TableContents"/>
              <w:spacing w:before="0" w:after="283"/>
              <w:jc w:val="left"/>
              <w:rPr/>
            </w:pPr>
            <w:r>
              <w:rPr/>
              <w:t> </w:t>
            </w:r>
          </w:p>
        </w:tc>
      </w:tr>
      <w:tr>
        <w:trPr/>
        <w:tc>
          <w:tcPr>
            <w:tcW w:w="2090" w:type="dxa"/>
            <w:tcBorders/>
            <w:shd w:fill="auto"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Commercial - specialized</w:t>
            </w:r>
          </w:p>
        </w:tc>
        <w:tc>
          <w:tcPr>
            <w:tcW w:w="60" w:type="dxa"/>
            <w:tcBorders/>
            <w:shd w:fill="auto" w:val="clear"/>
            <w:vAlign w:val="bottom"/>
          </w:tcPr>
          <w:p>
            <w:pPr>
              <w:pStyle w:val="TableContents"/>
              <w:spacing w:before="0" w:after="283"/>
              <w:jc w:val="right"/>
              <w:rPr/>
            </w:pPr>
            <w:r>
              <w:rPr/>
              <w:t> </w:t>
            </w:r>
          </w:p>
        </w:tc>
        <w:tc>
          <w:tcPr>
            <w:tcW w:w="219" w:type="dxa"/>
            <w:tcBorders/>
            <w:shd w:fill="auto" w:val="clear"/>
            <w:vAlign w:val="bottom"/>
          </w:tcPr>
          <w:p>
            <w:pPr>
              <w:pStyle w:val="TableContents"/>
              <w:spacing w:before="0" w:after="283"/>
              <w:jc w:val="left"/>
              <w:rPr/>
            </w:pPr>
            <w:r>
              <w:rPr/>
              <w:t> </w:t>
            </w:r>
          </w:p>
        </w:tc>
        <w:tc>
          <w:tcPr>
            <w:tcW w:w="851" w:type="dxa"/>
            <w:tcBorders/>
            <w:shd w:fill="auto" w:val="clear"/>
            <w:vAlign w:val="bottom"/>
          </w:tcPr>
          <w:p>
            <w:pPr>
              <w:pStyle w:val="TableContents"/>
              <w:spacing w:before="0" w:after="0"/>
              <w:jc w:val="right"/>
              <w:rPr/>
            </w:pPr>
            <w:r>
              <w:rPr/>
              <w:t>—</w:t>
            </w:r>
          </w:p>
        </w:tc>
        <w:tc>
          <w:tcPr>
            <w:tcW w:w="63" w:type="dxa"/>
            <w:tcBorders/>
            <w:shd w:fill="auto" w:val="clear"/>
            <w:vAlign w:val="bottom"/>
          </w:tcPr>
          <w:p>
            <w:pPr>
              <w:pStyle w:val="TableContents"/>
              <w:spacing w:before="0" w:after="283"/>
              <w:jc w:val="left"/>
              <w:rPr/>
            </w:pPr>
            <w:r>
              <w:rPr/>
              <w:t> </w:t>
            </w:r>
          </w:p>
        </w:tc>
        <w:tc>
          <w:tcPr>
            <w:tcW w:w="63" w:type="dxa"/>
            <w:tcBorders/>
            <w:shd w:fill="auto" w:val="clear"/>
            <w:vAlign w:val="bottom"/>
          </w:tcPr>
          <w:p>
            <w:pPr>
              <w:pStyle w:val="TableContents"/>
              <w:spacing w:before="0" w:after="283"/>
              <w:jc w:val="right"/>
              <w:rPr/>
            </w:pPr>
            <w:r>
              <w:rPr/>
              <w:t> </w:t>
            </w:r>
          </w:p>
        </w:tc>
        <w:tc>
          <w:tcPr>
            <w:tcW w:w="134" w:type="dxa"/>
            <w:tcBorders/>
            <w:shd w:fill="auto" w:val="clear"/>
            <w:vAlign w:val="bottom"/>
          </w:tcPr>
          <w:p>
            <w:pPr>
              <w:pStyle w:val="TableContents"/>
              <w:spacing w:before="0" w:after="283"/>
              <w:jc w:val="left"/>
              <w:rPr/>
            </w:pPr>
            <w:r>
              <w:rPr/>
              <w:t> </w:t>
            </w:r>
          </w:p>
        </w:tc>
        <w:tc>
          <w:tcPr>
            <w:tcW w:w="906"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327,513</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90" w:type="dxa"/>
            <w:tcBorders/>
            <w:shd w:fill="auto" w:val="clear"/>
            <w:vAlign w:val="bottom"/>
          </w:tcPr>
          <w:p>
            <w:pPr>
              <w:pStyle w:val="TableContents"/>
              <w:spacing w:before="0" w:after="283"/>
              <w:jc w:val="left"/>
              <w:rPr/>
            </w:pPr>
            <w:r>
              <w:rPr/>
              <w:t> </w:t>
            </w:r>
          </w:p>
        </w:tc>
        <w:tc>
          <w:tcPr>
            <w:tcW w:w="780" w:type="dxa"/>
            <w:tcBorders/>
            <w:shd w:fill="auto" w:val="clear"/>
            <w:vAlign w:val="bottom"/>
          </w:tcPr>
          <w:p>
            <w:pPr>
              <w:pStyle w:val="TableContents"/>
              <w:spacing w:before="0" w:after="0"/>
              <w:jc w:val="right"/>
              <w:rPr/>
            </w:pPr>
            <w:r>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81" w:type="dxa"/>
            <w:tcBorders/>
            <w:shd w:fill="auto" w:val="clear"/>
            <w:vAlign w:val="bottom"/>
          </w:tcPr>
          <w:p>
            <w:pPr>
              <w:pStyle w:val="TableContents"/>
              <w:spacing w:before="0" w:after="283"/>
              <w:jc w:val="left"/>
              <w:rPr/>
            </w:pPr>
            <w:r>
              <w:rPr/>
              <w:t> </w:t>
            </w:r>
          </w:p>
        </w:tc>
        <w:tc>
          <w:tcPr>
            <w:tcW w:w="859"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3,425</w:t>
            </w:r>
          </w:p>
        </w:tc>
        <w:tc>
          <w:tcPr>
            <w:tcW w:w="75" w:type="dxa"/>
            <w:tcBorders/>
            <w:shd w:fill="auto" w:val="clear"/>
            <w:vAlign w:val="bottom"/>
          </w:tcPr>
          <w:p>
            <w:pPr>
              <w:pStyle w:val="TableContents"/>
              <w:spacing w:before="0" w:after="283"/>
              <w:jc w:val="left"/>
              <w:rPr/>
            </w:pPr>
            <w:r>
              <w:rPr/>
              <w:t> </w:t>
            </w:r>
          </w:p>
        </w:tc>
      </w:tr>
      <w:tr>
        <w:trPr/>
        <w:tc>
          <w:tcPr>
            <w:tcW w:w="2090" w:type="dxa"/>
            <w:tcBorders/>
            <w:shd w:fill="CCEE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Commercial - general</w:t>
            </w:r>
          </w:p>
        </w:tc>
        <w:tc>
          <w:tcPr>
            <w:tcW w:w="60" w:type="dxa"/>
            <w:tcBorders/>
            <w:shd w:fill="CCEEFF" w:val="clear"/>
            <w:vAlign w:val="bottom"/>
          </w:tcPr>
          <w:p>
            <w:pPr>
              <w:pStyle w:val="TableContents"/>
              <w:spacing w:before="0" w:after="283"/>
              <w:jc w:val="right"/>
              <w:rPr/>
            </w:pPr>
            <w:r>
              <w:rPr/>
              <w:t> </w:t>
            </w:r>
          </w:p>
        </w:tc>
        <w:tc>
          <w:tcPr>
            <w:tcW w:w="219" w:type="dxa"/>
            <w:tcBorders/>
            <w:shd w:fill="CCEEFF" w:val="clear"/>
            <w:vAlign w:val="bottom"/>
          </w:tcPr>
          <w:p>
            <w:pPr>
              <w:pStyle w:val="TableContents"/>
              <w:spacing w:before="0" w:after="283"/>
              <w:jc w:val="left"/>
              <w:rPr/>
            </w:pPr>
            <w:r>
              <w:rPr/>
              <w:t> </w:t>
            </w:r>
          </w:p>
        </w:tc>
        <w:tc>
          <w:tcPr>
            <w:tcW w:w="851"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3,350</w:t>
            </w:r>
          </w:p>
        </w:tc>
        <w:tc>
          <w:tcPr>
            <w:tcW w:w="63" w:type="dxa"/>
            <w:tcBorders/>
            <w:shd w:fill="CCEEFF" w:val="clear"/>
            <w:vAlign w:val="bottom"/>
          </w:tcPr>
          <w:p>
            <w:pPr>
              <w:pStyle w:val="TableContents"/>
              <w:spacing w:before="0" w:after="283"/>
              <w:jc w:val="left"/>
              <w:rPr/>
            </w:pPr>
            <w:r>
              <w:rPr/>
              <w:t> </w:t>
            </w:r>
          </w:p>
        </w:tc>
        <w:tc>
          <w:tcPr>
            <w:tcW w:w="63" w:type="dxa"/>
            <w:tcBorders/>
            <w:shd w:fill="CCEEFF" w:val="clear"/>
            <w:vAlign w:val="bottom"/>
          </w:tcPr>
          <w:p>
            <w:pPr>
              <w:pStyle w:val="TableContents"/>
              <w:spacing w:before="0" w:after="283"/>
              <w:jc w:val="right"/>
              <w:rPr/>
            </w:pPr>
            <w:r>
              <w:rPr/>
              <w:t> </w:t>
            </w:r>
          </w:p>
        </w:tc>
        <w:tc>
          <w:tcPr>
            <w:tcW w:w="134" w:type="dxa"/>
            <w:tcBorders/>
            <w:shd w:fill="CCEEFF" w:val="clear"/>
            <w:vAlign w:val="bottom"/>
          </w:tcPr>
          <w:p>
            <w:pPr>
              <w:pStyle w:val="TableContents"/>
              <w:spacing w:before="0" w:after="283"/>
              <w:jc w:val="left"/>
              <w:rPr/>
            </w:pPr>
            <w:r>
              <w:rPr/>
              <w:t> </w:t>
            </w:r>
          </w:p>
        </w:tc>
        <w:tc>
          <w:tcPr>
            <w:tcW w:w="906"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481,433</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90" w:type="dxa"/>
            <w:tcBorders/>
            <w:shd w:fill="CCEEFF" w:val="clear"/>
            <w:vAlign w:val="bottom"/>
          </w:tcPr>
          <w:p>
            <w:pPr>
              <w:pStyle w:val="TableContents"/>
              <w:spacing w:before="0" w:after="283"/>
              <w:jc w:val="left"/>
              <w:rPr/>
            </w:pPr>
            <w:r>
              <w:rPr/>
              <w:t> </w:t>
            </w:r>
          </w:p>
        </w:tc>
        <w:tc>
          <w:tcPr>
            <w:tcW w:w="780"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22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1" w:type="dxa"/>
            <w:tcBorders/>
            <w:shd w:fill="CCEEFF" w:val="clear"/>
            <w:vAlign w:val="bottom"/>
          </w:tcPr>
          <w:p>
            <w:pPr>
              <w:pStyle w:val="TableContents"/>
              <w:spacing w:before="0" w:after="283"/>
              <w:jc w:val="left"/>
              <w:rPr/>
            </w:pPr>
            <w:r>
              <w:rPr/>
              <w:t> </w:t>
            </w:r>
          </w:p>
        </w:tc>
        <w:tc>
          <w:tcPr>
            <w:tcW w:w="859"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9,193</w:t>
            </w:r>
          </w:p>
        </w:tc>
        <w:tc>
          <w:tcPr>
            <w:tcW w:w="75" w:type="dxa"/>
            <w:tcBorders/>
            <w:shd w:fill="CCEEFF" w:val="clear"/>
            <w:vAlign w:val="bottom"/>
          </w:tcPr>
          <w:p>
            <w:pPr>
              <w:pStyle w:val="TableContents"/>
              <w:spacing w:before="0" w:after="283"/>
              <w:jc w:val="left"/>
              <w:rPr/>
            </w:pPr>
            <w:r>
              <w:rPr/>
              <w:t> </w:t>
            </w:r>
          </w:p>
        </w:tc>
      </w:tr>
      <w:tr>
        <w:trPr/>
        <w:tc>
          <w:tcPr>
            <w:tcW w:w="2090" w:type="dxa"/>
            <w:tcBorders/>
            <w:shd w:fill="auto"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Consumer:</w:t>
            </w:r>
          </w:p>
        </w:tc>
        <w:tc>
          <w:tcPr>
            <w:tcW w:w="60" w:type="dxa"/>
            <w:tcBorders/>
            <w:shd w:fill="auto" w:val="clear"/>
            <w:vAlign w:val="bottom"/>
          </w:tcPr>
          <w:p>
            <w:pPr>
              <w:pStyle w:val="TableContents"/>
              <w:spacing w:before="0" w:after="283"/>
              <w:jc w:val="right"/>
              <w:rPr/>
            </w:pPr>
            <w:r>
              <w:rPr/>
              <w:t> </w:t>
            </w:r>
          </w:p>
        </w:tc>
        <w:tc>
          <w:tcPr>
            <w:tcW w:w="219" w:type="dxa"/>
            <w:tcBorders/>
            <w:shd w:fill="auto" w:val="clear"/>
            <w:vAlign w:val="bottom"/>
          </w:tcPr>
          <w:p>
            <w:pPr>
              <w:pStyle w:val="TableContents"/>
              <w:spacing w:before="0" w:after="283"/>
              <w:jc w:val="left"/>
              <w:rPr/>
            </w:pPr>
            <w:r>
              <w:rPr/>
              <w:t> </w:t>
            </w:r>
          </w:p>
        </w:tc>
        <w:tc>
          <w:tcPr>
            <w:tcW w:w="851" w:type="dxa"/>
            <w:tcBorders/>
            <w:shd w:fill="auto" w:val="clear"/>
            <w:vAlign w:val="bottom"/>
          </w:tcPr>
          <w:p>
            <w:pPr>
              <w:pStyle w:val="TableContents"/>
              <w:spacing w:before="0" w:after="283"/>
              <w:jc w:val="right"/>
              <w:rPr/>
            </w:pPr>
            <w:r>
              <w:rPr/>
              <w:t> </w:t>
            </w:r>
          </w:p>
        </w:tc>
        <w:tc>
          <w:tcPr>
            <w:tcW w:w="63" w:type="dxa"/>
            <w:tcBorders/>
            <w:shd w:fill="auto" w:val="clear"/>
            <w:vAlign w:val="bottom"/>
          </w:tcPr>
          <w:p>
            <w:pPr>
              <w:pStyle w:val="TableContents"/>
              <w:spacing w:before="0" w:after="283"/>
              <w:jc w:val="left"/>
              <w:rPr/>
            </w:pPr>
            <w:r>
              <w:rPr/>
              <w:t> </w:t>
            </w:r>
          </w:p>
        </w:tc>
        <w:tc>
          <w:tcPr>
            <w:tcW w:w="63" w:type="dxa"/>
            <w:tcBorders/>
            <w:shd w:fill="auto" w:val="clear"/>
            <w:vAlign w:val="bottom"/>
          </w:tcPr>
          <w:p>
            <w:pPr>
              <w:pStyle w:val="TableContents"/>
              <w:spacing w:before="0" w:after="283"/>
              <w:jc w:val="right"/>
              <w:rPr/>
            </w:pPr>
            <w:r>
              <w:rPr/>
              <w:t> </w:t>
            </w:r>
          </w:p>
        </w:tc>
        <w:tc>
          <w:tcPr>
            <w:tcW w:w="134" w:type="dxa"/>
            <w:tcBorders/>
            <w:shd w:fill="auto" w:val="clear"/>
            <w:vAlign w:val="bottom"/>
          </w:tcPr>
          <w:p>
            <w:pPr>
              <w:pStyle w:val="TableContents"/>
              <w:spacing w:before="0" w:after="283"/>
              <w:jc w:val="left"/>
              <w:rPr/>
            </w:pPr>
            <w:r>
              <w:rPr/>
              <w:t> </w:t>
            </w:r>
          </w:p>
        </w:tc>
        <w:tc>
          <w:tcPr>
            <w:tcW w:w="906"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90" w:type="dxa"/>
            <w:tcBorders/>
            <w:shd w:fill="auto" w:val="clear"/>
            <w:vAlign w:val="bottom"/>
          </w:tcPr>
          <w:p>
            <w:pPr>
              <w:pStyle w:val="TableContents"/>
              <w:spacing w:before="0" w:after="283"/>
              <w:jc w:val="left"/>
              <w:rPr/>
            </w:pPr>
            <w:r>
              <w:rPr/>
              <w:t> </w:t>
            </w:r>
          </w:p>
        </w:tc>
        <w:tc>
          <w:tcPr>
            <w:tcW w:w="7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81" w:type="dxa"/>
            <w:tcBorders/>
            <w:shd w:fill="auto" w:val="clear"/>
            <w:vAlign w:val="bottom"/>
          </w:tcPr>
          <w:p>
            <w:pPr>
              <w:pStyle w:val="TableContents"/>
              <w:spacing w:before="0" w:after="283"/>
              <w:jc w:val="left"/>
              <w:rPr/>
            </w:pPr>
            <w:r>
              <w:rPr/>
              <w:t> </w:t>
            </w:r>
          </w:p>
        </w:tc>
        <w:tc>
          <w:tcPr>
            <w:tcW w:w="859" w:type="dxa"/>
            <w:tcBorders/>
            <w:shd w:fill="auto" w:val="clear"/>
            <w:vAlign w:val="bottom"/>
          </w:tcPr>
          <w:p>
            <w:pPr>
              <w:pStyle w:val="TableContents"/>
              <w:spacing w:before="0" w:after="283"/>
              <w:jc w:val="right"/>
              <w:rPr/>
            </w:pPr>
            <w:r>
              <w:rPr/>
              <w:t> </w:t>
            </w:r>
          </w:p>
        </w:tc>
        <w:tc>
          <w:tcPr>
            <w:tcW w:w="75" w:type="dxa"/>
            <w:tcBorders/>
            <w:shd w:fill="auto" w:val="clear"/>
            <w:vAlign w:val="bottom"/>
          </w:tcPr>
          <w:p>
            <w:pPr>
              <w:pStyle w:val="TableContents"/>
              <w:spacing w:before="0" w:after="283"/>
              <w:jc w:val="left"/>
              <w:rPr/>
            </w:pPr>
            <w:r>
              <w:rPr/>
              <w:t> </w:t>
            </w:r>
          </w:p>
        </w:tc>
      </w:tr>
      <w:tr>
        <w:trPr/>
        <w:tc>
          <w:tcPr>
            <w:tcW w:w="2090" w:type="dxa"/>
            <w:tcBorders/>
            <w:shd w:fill="CCEEFF" w:val="clear"/>
            <w:vAlign w:val="bottom"/>
          </w:tcPr>
          <w:p>
            <w:pPr>
              <w:pStyle w:val="TableContents"/>
              <w:spacing w:before="0" w:after="0"/>
              <w:ind w:left="288" w:right="0" w:hanging="144"/>
              <w:jc w:val="left"/>
              <w:rPr>
                <w:rFonts w:ascii="Times New Roman" w:hAnsi="Times New Roman"/>
                <w:sz w:val="20"/>
              </w:rPr>
            </w:pPr>
            <w:r>
              <w:rPr>
                <w:rFonts w:ascii="Times New Roman" w:hAnsi="Times New Roman"/>
                <w:sz w:val="20"/>
              </w:rPr>
              <w:t>1-4 family residential</w:t>
            </w:r>
          </w:p>
        </w:tc>
        <w:tc>
          <w:tcPr>
            <w:tcW w:w="60" w:type="dxa"/>
            <w:tcBorders/>
            <w:shd w:fill="CCEEFF" w:val="clear"/>
            <w:vAlign w:val="bottom"/>
          </w:tcPr>
          <w:p>
            <w:pPr>
              <w:pStyle w:val="TableContents"/>
              <w:spacing w:before="0" w:after="283"/>
              <w:jc w:val="right"/>
              <w:rPr/>
            </w:pPr>
            <w:r>
              <w:rPr/>
              <w:t> </w:t>
            </w:r>
          </w:p>
        </w:tc>
        <w:tc>
          <w:tcPr>
            <w:tcW w:w="219" w:type="dxa"/>
            <w:tcBorders/>
            <w:shd w:fill="CCEEFF" w:val="clear"/>
            <w:vAlign w:val="bottom"/>
          </w:tcPr>
          <w:p>
            <w:pPr>
              <w:pStyle w:val="TableContents"/>
              <w:spacing w:before="0" w:after="283"/>
              <w:jc w:val="left"/>
              <w:rPr/>
            </w:pPr>
            <w:r>
              <w:rPr/>
              <w:t> </w:t>
            </w:r>
          </w:p>
        </w:tc>
        <w:tc>
          <w:tcPr>
            <w:tcW w:w="851"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742</w:t>
            </w:r>
          </w:p>
        </w:tc>
        <w:tc>
          <w:tcPr>
            <w:tcW w:w="63" w:type="dxa"/>
            <w:tcBorders/>
            <w:shd w:fill="CCEEFF" w:val="clear"/>
            <w:vAlign w:val="bottom"/>
          </w:tcPr>
          <w:p>
            <w:pPr>
              <w:pStyle w:val="TableContents"/>
              <w:spacing w:before="0" w:after="283"/>
              <w:jc w:val="left"/>
              <w:rPr/>
            </w:pPr>
            <w:r>
              <w:rPr/>
              <w:t> </w:t>
            </w:r>
          </w:p>
        </w:tc>
        <w:tc>
          <w:tcPr>
            <w:tcW w:w="63" w:type="dxa"/>
            <w:tcBorders/>
            <w:shd w:fill="CCEEFF" w:val="clear"/>
            <w:vAlign w:val="bottom"/>
          </w:tcPr>
          <w:p>
            <w:pPr>
              <w:pStyle w:val="TableContents"/>
              <w:spacing w:before="0" w:after="283"/>
              <w:jc w:val="right"/>
              <w:rPr/>
            </w:pPr>
            <w:r>
              <w:rPr/>
              <w:t> </w:t>
            </w:r>
          </w:p>
        </w:tc>
        <w:tc>
          <w:tcPr>
            <w:tcW w:w="134" w:type="dxa"/>
            <w:tcBorders/>
            <w:shd w:fill="CCEEFF" w:val="clear"/>
            <w:vAlign w:val="bottom"/>
          </w:tcPr>
          <w:p>
            <w:pPr>
              <w:pStyle w:val="TableContents"/>
              <w:spacing w:before="0" w:after="283"/>
              <w:jc w:val="left"/>
              <w:rPr/>
            </w:pPr>
            <w:r>
              <w:rPr/>
              <w:t> </w:t>
            </w:r>
          </w:p>
        </w:tc>
        <w:tc>
          <w:tcPr>
            <w:tcW w:w="906"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459,382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90" w:type="dxa"/>
            <w:tcBorders/>
            <w:shd w:fill="CCEEFF" w:val="clear"/>
            <w:vAlign w:val="bottom"/>
          </w:tcPr>
          <w:p>
            <w:pPr>
              <w:pStyle w:val="TableContents"/>
              <w:spacing w:before="0" w:after="283"/>
              <w:jc w:val="left"/>
              <w:rPr/>
            </w:pPr>
            <w:r>
              <w:rPr/>
              <w:t> </w:t>
            </w:r>
          </w:p>
        </w:tc>
        <w:tc>
          <w:tcPr>
            <w:tcW w:w="780"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18</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1" w:type="dxa"/>
            <w:tcBorders/>
            <w:shd w:fill="CCEEFF" w:val="clear"/>
            <w:vAlign w:val="bottom"/>
          </w:tcPr>
          <w:p>
            <w:pPr>
              <w:pStyle w:val="TableContents"/>
              <w:spacing w:before="0" w:after="283"/>
              <w:jc w:val="left"/>
              <w:rPr/>
            </w:pPr>
            <w:r>
              <w:rPr/>
              <w:t> </w:t>
            </w:r>
          </w:p>
        </w:tc>
        <w:tc>
          <w:tcPr>
            <w:tcW w:w="859"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6,176</w:t>
            </w:r>
          </w:p>
        </w:tc>
        <w:tc>
          <w:tcPr>
            <w:tcW w:w="75" w:type="dxa"/>
            <w:tcBorders/>
            <w:shd w:fill="CCEEFF" w:val="clear"/>
            <w:vAlign w:val="bottom"/>
          </w:tcPr>
          <w:p>
            <w:pPr>
              <w:pStyle w:val="TableContents"/>
              <w:spacing w:before="0" w:after="283"/>
              <w:jc w:val="left"/>
              <w:rPr/>
            </w:pPr>
            <w:r>
              <w:rPr/>
              <w:t> </w:t>
            </w:r>
          </w:p>
        </w:tc>
      </w:tr>
      <w:tr>
        <w:trPr/>
        <w:tc>
          <w:tcPr>
            <w:tcW w:w="2090" w:type="dxa"/>
            <w:tcBorders/>
            <w:shd w:fill="auto" w:val="clear"/>
            <w:vAlign w:val="bottom"/>
          </w:tcPr>
          <w:p>
            <w:pPr>
              <w:pStyle w:val="TableContents"/>
              <w:spacing w:before="0" w:after="0"/>
              <w:ind w:left="288" w:right="0" w:hanging="144"/>
              <w:jc w:val="left"/>
              <w:rPr>
                <w:rFonts w:ascii="Times New Roman" w:hAnsi="Times New Roman"/>
                <w:sz w:val="20"/>
              </w:rPr>
            </w:pPr>
            <w:r>
              <w:rPr>
                <w:rFonts w:ascii="Times New Roman" w:hAnsi="Times New Roman"/>
                <w:sz w:val="20"/>
              </w:rPr>
              <w:t>Auto loans</w:t>
            </w:r>
          </w:p>
        </w:tc>
        <w:tc>
          <w:tcPr>
            <w:tcW w:w="60" w:type="dxa"/>
            <w:tcBorders/>
            <w:shd w:fill="auto" w:val="clear"/>
            <w:vAlign w:val="bottom"/>
          </w:tcPr>
          <w:p>
            <w:pPr>
              <w:pStyle w:val="TableContents"/>
              <w:spacing w:before="0" w:after="283"/>
              <w:jc w:val="right"/>
              <w:rPr/>
            </w:pPr>
            <w:r>
              <w:rPr/>
              <w:t> </w:t>
            </w:r>
          </w:p>
        </w:tc>
        <w:tc>
          <w:tcPr>
            <w:tcW w:w="219" w:type="dxa"/>
            <w:tcBorders/>
            <w:shd w:fill="auto" w:val="clear"/>
            <w:vAlign w:val="bottom"/>
          </w:tcPr>
          <w:p>
            <w:pPr>
              <w:pStyle w:val="TableContents"/>
              <w:spacing w:before="0" w:after="283"/>
              <w:jc w:val="left"/>
              <w:rPr/>
            </w:pPr>
            <w:r>
              <w:rPr/>
              <w:t> </w:t>
            </w:r>
          </w:p>
        </w:tc>
        <w:tc>
          <w:tcPr>
            <w:tcW w:w="851" w:type="dxa"/>
            <w:tcBorders/>
            <w:shd w:fill="auto" w:val="clear"/>
            <w:vAlign w:val="bottom"/>
          </w:tcPr>
          <w:p>
            <w:pPr>
              <w:pStyle w:val="TableContents"/>
              <w:spacing w:before="0" w:after="0"/>
              <w:jc w:val="right"/>
              <w:rPr/>
            </w:pPr>
            <w:r>
              <w:rPr/>
              <w:t>—</w:t>
            </w:r>
          </w:p>
        </w:tc>
        <w:tc>
          <w:tcPr>
            <w:tcW w:w="63" w:type="dxa"/>
            <w:tcBorders/>
            <w:shd w:fill="auto" w:val="clear"/>
            <w:vAlign w:val="bottom"/>
          </w:tcPr>
          <w:p>
            <w:pPr>
              <w:pStyle w:val="TableContents"/>
              <w:spacing w:before="0" w:after="283"/>
              <w:jc w:val="left"/>
              <w:rPr/>
            </w:pPr>
            <w:r>
              <w:rPr/>
              <w:t> </w:t>
            </w:r>
          </w:p>
        </w:tc>
        <w:tc>
          <w:tcPr>
            <w:tcW w:w="63" w:type="dxa"/>
            <w:tcBorders/>
            <w:shd w:fill="auto" w:val="clear"/>
            <w:vAlign w:val="bottom"/>
          </w:tcPr>
          <w:p>
            <w:pPr>
              <w:pStyle w:val="TableContents"/>
              <w:spacing w:before="0" w:after="283"/>
              <w:jc w:val="right"/>
              <w:rPr/>
            </w:pPr>
            <w:r>
              <w:rPr/>
              <w:t> </w:t>
            </w:r>
          </w:p>
        </w:tc>
        <w:tc>
          <w:tcPr>
            <w:tcW w:w="134" w:type="dxa"/>
            <w:tcBorders/>
            <w:shd w:fill="auto" w:val="clear"/>
            <w:vAlign w:val="bottom"/>
          </w:tcPr>
          <w:p>
            <w:pPr>
              <w:pStyle w:val="TableContents"/>
              <w:spacing w:before="0" w:after="283"/>
              <w:jc w:val="left"/>
              <w:rPr/>
            </w:pPr>
            <w:r>
              <w:rPr/>
              <w:t> </w:t>
            </w:r>
          </w:p>
        </w:tc>
        <w:tc>
          <w:tcPr>
            <w:tcW w:w="906"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321,476</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90" w:type="dxa"/>
            <w:tcBorders/>
            <w:shd w:fill="auto" w:val="clear"/>
            <w:vAlign w:val="bottom"/>
          </w:tcPr>
          <w:p>
            <w:pPr>
              <w:pStyle w:val="TableContents"/>
              <w:spacing w:before="0" w:after="283"/>
              <w:jc w:val="left"/>
              <w:rPr/>
            </w:pPr>
            <w:r>
              <w:rPr/>
              <w:t> </w:t>
            </w:r>
          </w:p>
        </w:tc>
        <w:tc>
          <w:tcPr>
            <w:tcW w:w="780" w:type="dxa"/>
            <w:tcBorders/>
            <w:shd w:fill="auto" w:val="clear"/>
            <w:vAlign w:val="bottom"/>
          </w:tcPr>
          <w:p>
            <w:pPr>
              <w:pStyle w:val="TableContents"/>
              <w:spacing w:before="0" w:after="0"/>
              <w:jc w:val="right"/>
              <w:rPr/>
            </w:pPr>
            <w:r>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81" w:type="dxa"/>
            <w:tcBorders/>
            <w:shd w:fill="auto" w:val="clear"/>
            <w:vAlign w:val="bottom"/>
          </w:tcPr>
          <w:p>
            <w:pPr>
              <w:pStyle w:val="TableContents"/>
              <w:spacing w:before="0" w:after="283"/>
              <w:jc w:val="left"/>
              <w:rPr/>
            </w:pPr>
            <w:r>
              <w:rPr/>
              <w:t> </w:t>
            </w:r>
          </w:p>
        </w:tc>
        <w:tc>
          <w:tcPr>
            <w:tcW w:w="859"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3,926</w:t>
            </w:r>
          </w:p>
        </w:tc>
        <w:tc>
          <w:tcPr>
            <w:tcW w:w="75" w:type="dxa"/>
            <w:tcBorders/>
            <w:shd w:fill="auto" w:val="clear"/>
            <w:vAlign w:val="bottom"/>
          </w:tcPr>
          <w:p>
            <w:pPr>
              <w:pStyle w:val="TableContents"/>
              <w:spacing w:before="0" w:after="283"/>
              <w:jc w:val="left"/>
              <w:rPr/>
            </w:pPr>
            <w:r>
              <w:rPr/>
              <w:t> </w:t>
            </w:r>
          </w:p>
        </w:tc>
      </w:tr>
      <w:tr>
        <w:trPr/>
        <w:tc>
          <w:tcPr>
            <w:tcW w:w="2090" w:type="dxa"/>
            <w:tcBorders/>
            <w:shd w:fill="CCEEFF" w:val="clear"/>
            <w:vAlign w:val="bottom"/>
          </w:tcPr>
          <w:p>
            <w:pPr>
              <w:pStyle w:val="TableContents"/>
              <w:spacing w:before="0" w:after="0"/>
              <w:ind w:left="288" w:right="0" w:hanging="144"/>
              <w:jc w:val="left"/>
              <w:rPr>
                <w:rFonts w:ascii="Times New Roman" w:hAnsi="Times New Roman"/>
                <w:sz w:val="20"/>
              </w:rPr>
            </w:pPr>
            <w:r>
              <w:rPr>
                <w:rFonts w:ascii="Times New Roman" w:hAnsi="Times New Roman"/>
                <w:sz w:val="20"/>
              </w:rPr>
              <w:t>Other consumer</w:t>
            </w:r>
          </w:p>
        </w:tc>
        <w:tc>
          <w:tcPr>
            <w:tcW w:w="60" w:type="dxa"/>
            <w:tcBorders/>
            <w:shd w:fill="CCEEFF" w:val="clear"/>
            <w:vAlign w:val="bottom"/>
          </w:tcPr>
          <w:p>
            <w:pPr>
              <w:pStyle w:val="TableContents"/>
              <w:spacing w:before="0" w:after="283"/>
              <w:jc w:val="right"/>
              <w:rPr/>
            </w:pPr>
            <w:r>
              <w:rPr/>
              <w:t> </w:t>
            </w:r>
          </w:p>
        </w:tc>
        <w:tc>
          <w:tcPr>
            <w:tcW w:w="219" w:type="dxa"/>
            <w:tcBorders/>
            <w:shd w:fill="CCEEFF" w:val="clear"/>
            <w:vAlign w:val="bottom"/>
          </w:tcPr>
          <w:p>
            <w:pPr>
              <w:pStyle w:val="TableContents"/>
              <w:spacing w:before="0" w:after="283"/>
              <w:jc w:val="left"/>
              <w:rPr/>
            </w:pPr>
            <w:r>
              <w:rPr/>
              <w:t> </w:t>
            </w:r>
          </w:p>
        </w:tc>
        <w:tc>
          <w:tcPr>
            <w:tcW w:w="851" w:type="dxa"/>
            <w:tcBorders/>
            <w:shd w:fill="CCEEFF" w:val="clear"/>
            <w:vAlign w:val="bottom"/>
          </w:tcPr>
          <w:p>
            <w:pPr>
              <w:pStyle w:val="TableContents"/>
              <w:spacing w:before="0" w:after="0"/>
              <w:jc w:val="right"/>
              <w:rPr/>
            </w:pPr>
            <w:r>
              <w:rPr/>
              <w:t>—</w:t>
            </w:r>
          </w:p>
        </w:tc>
        <w:tc>
          <w:tcPr>
            <w:tcW w:w="63" w:type="dxa"/>
            <w:tcBorders/>
            <w:shd w:fill="CCEEFF" w:val="clear"/>
            <w:vAlign w:val="bottom"/>
          </w:tcPr>
          <w:p>
            <w:pPr>
              <w:pStyle w:val="TableContents"/>
              <w:spacing w:before="0" w:after="283"/>
              <w:jc w:val="left"/>
              <w:rPr/>
            </w:pPr>
            <w:r>
              <w:rPr/>
              <w:t> </w:t>
            </w:r>
          </w:p>
        </w:tc>
        <w:tc>
          <w:tcPr>
            <w:tcW w:w="63" w:type="dxa"/>
            <w:tcBorders/>
            <w:shd w:fill="CCEEFF" w:val="clear"/>
            <w:vAlign w:val="bottom"/>
          </w:tcPr>
          <w:p>
            <w:pPr>
              <w:pStyle w:val="TableContents"/>
              <w:spacing w:before="0" w:after="283"/>
              <w:jc w:val="right"/>
              <w:rPr/>
            </w:pPr>
            <w:r>
              <w:rPr/>
              <w:t> </w:t>
            </w:r>
          </w:p>
        </w:tc>
        <w:tc>
          <w:tcPr>
            <w:tcW w:w="134" w:type="dxa"/>
            <w:tcBorders/>
            <w:shd w:fill="CCEEFF" w:val="clear"/>
            <w:vAlign w:val="bottom"/>
          </w:tcPr>
          <w:p>
            <w:pPr>
              <w:pStyle w:val="TableContents"/>
              <w:spacing w:before="0" w:after="283"/>
              <w:jc w:val="left"/>
              <w:rPr/>
            </w:pPr>
            <w:r>
              <w:rPr/>
              <w:t> </w:t>
            </w:r>
          </w:p>
        </w:tc>
        <w:tc>
          <w:tcPr>
            <w:tcW w:w="906"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81,308</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90" w:type="dxa"/>
            <w:tcBorders/>
            <w:shd w:fill="CCEEFF" w:val="clear"/>
            <w:vAlign w:val="bottom"/>
          </w:tcPr>
          <w:p>
            <w:pPr>
              <w:pStyle w:val="TableContents"/>
              <w:spacing w:before="0" w:after="283"/>
              <w:jc w:val="left"/>
              <w:rPr/>
            </w:pPr>
            <w:r>
              <w:rPr/>
              <w:t> </w:t>
            </w:r>
          </w:p>
        </w:tc>
        <w:tc>
          <w:tcPr>
            <w:tcW w:w="780"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1" w:type="dxa"/>
            <w:tcBorders/>
            <w:shd w:fill="CCEEFF" w:val="clear"/>
            <w:vAlign w:val="bottom"/>
          </w:tcPr>
          <w:p>
            <w:pPr>
              <w:pStyle w:val="TableContents"/>
              <w:spacing w:before="0" w:after="283"/>
              <w:jc w:val="left"/>
              <w:rPr/>
            </w:pPr>
            <w:r>
              <w:rPr/>
              <w:t> </w:t>
            </w:r>
          </w:p>
        </w:tc>
        <w:tc>
          <w:tcPr>
            <w:tcW w:w="859"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1,376</w:t>
            </w:r>
          </w:p>
        </w:tc>
        <w:tc>
          <w:tcPr>
            <w:tcW w:w="75" w:type="dxa"/>
            <w:tcBorders/>
            <w:shd w:fill="CCEEFF" w:val="clear"/>
            <w:vAlign w:val="bottom"/>
          </w:tcPr>
          <w:p>
            <w:pPr>
              <w:pStyle w:val="TableContents"/>
              <w:spacing w:before="0" w:after="283"/>
              <w:jc w:val="left"/>
              <w:rPr/>
            </w:pPr>
            <w:r>
              <w:rPr/>
              <w:t> </w:t>
            </w:r>
          </w:p>
        </w:tc>
      </w:tr>
      <w:tr>
        <w:trPr/>
        <w:tc>
          <w:tcPr>
            <w:tcW w:w="2090" w:type="dxa"/>
            <w:tcBorders/>
            <w:shd w:fill="auto"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Construction</w:t>
            </w:r>
          </w:p>
        </w:tc>
        <w:tc>
          <w:tcPr>
            <w:tcW w:w="60" w:type="dxa"/>
            <w:tcBorders/>
            <w:shd w:fill="auto" w:val="clear"/>
            <w:vAlign w:val="bottom"/>
          </w:tcPr>
          <w:p>
            <w:pPr>
              <w:pStyle w:val="TableContents"/>
              <w:spacing w:before="0" w:after="283"/>
              <w:jc w:val="right"/>
              <w:rPr/>
            </w:pPr>
            <w:r>
              <w:rPr/>
              <w:t> </w:t>
            </w:r>
          </w:p>
        </w:tc>
        <w:tc>
          <w:tcPr>
            <w:tcW w:w="219"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51"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1,014</w:t>
            </w:r>
          </w:p>
        </w:tc>
        <w:tc>
          <w:tcPr>
            <w:tcW w:w="63" w:type="dxa"/>
            <w:tcBorders/>
            <w:shd w:fill="auto" w:val="clear"/>
            <w:vAlign w:val="bottom"/>
          </w:tcPr>
          <w:p>
            <w:pPr>
              <w:pStyle w:val="TableContents"/>
              <w:spacing w:before="0" w:after="283"/>
              <w:jc w:val="left"/>
              <w:rPr/>
            </w:pPr>
            <w:r>
              <w:rPr/>
              <w:t> </w:t>
            </w:r>
          </w:p>
        </w:tc>
        <w:tc>
          <w:tcPr>
            <w:tcW w:w="63" w:type="dxa"/>
            <w:tcBorders/>
            <w:shd w:fill="auto" w:val="clear"/>
            <w:vAlign w:val="bottom"/>
          </w:tcPr>
          <w:p>
            <w:pPr>
              <w:pStyle w:val="TableContents"/>
              <w:spacing w:before="0" w:after="283"/>
              <w:jc w:val="right"/>
              <w:rPr/>
            </w:pPr>
            <w:r>
              <w:rPr/>
              <w:t> </w:t>
            </w:r>
          </w:p>
        </w:tc>
        <w:tc>
          <w:tcPr>
            <w:tcW w:w="134"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906"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152,505</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9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78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245</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81"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59"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1,878</w:t>
            </w:r>
          </w:p>
        </w:tc>
        <w:tc>
          <w:tcPr>
            <w:tcW w:w="75" w:type="dxa"/>
            <w:tcBorders/>
            <w:shd w:fill="auto" w:val="clear"/>
            <w:vAlign w:val="bottom"/>
          </w:tcPr>
          <w:p>
            <w:pPr>
              <w:pStyle w:val="TableContents"/>
              <w:spacing w:before="0" w:after="283"/>
              <w:jc w:val="left"/>
              <w:rPr/>
            </w:pPr>
            <w:r>
              <w:rPr/>
              <w:t> </w:t>
            </w:r>
          </w:p>
        </w:tc>
      </w:tr>
      <w:tr>
        <w:trPr/>
        <w:tc>
          <w:tcPr>
            <w:tcW w:w="2090" w:type="dxa"/>
            <w:tcBorders/>
            <w:shd w:fill="CCEE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r>
          </w:p>
        </w:tc>
        <w:tc>
          <w:tcPr>
            <w:tcW w:w="60" w:type="dxa"/>
            <w:tcBorders/>
            <w:shd w:fill="CCEEFF" w:val="clear"/>
            <w:vAlign w:val="bottom"/>
          </w:tcPr>
          <w:p>
            <w:pPr>
              <w:pStyle w:val="TableContents"/>
              <w:spacing w:before="0" w:after="283"/>
              <w:jc w:val="right"/>
              <w:rPr/>
            </w:pPr>
            <w:r>
              <w:rPr/>
              <w:t> </w:t>
            </w:r>
          </w:p>
        </w:tc>
        <w:tc>
          <w:tcPr>
            <w:tcW w:w="219"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851"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5,106</w:t>
            </w:r>
          </w:p>
        </w:tc>
        <w:tc>
          <w:tcPr>
            <w:tcW w:w="63" w:type="dxa"/>
            <w:tcBorders/>
            <w:shd w:fill="CCEEFF" w:val="clear"/>
            <w:vAlign w:val="bottom"/>
          </w:tcPr>
          <w:p>
            <w:pPr>
              <w:pStyle w:val="TableContents"/>
              <w:spacing w:before="0" w:after="283"/>
              <w:jc w:val="left"/>
              <w:rPr/>
            </w:pPr>
            <w:r>
              <w:rPr/>
              <w:t> </w:t>
            </w:r>
          </w:p>
        </w:tc>
        <w:tc>
          <w:tcPr>
            <w:tcW w:w="63" w:type="dxa"/>
            <w:tcBorders/>
            <w:shd w:fill="CCEEFF" w:val="clear"/>
            <w:vAlign w:val="bottom"/>
          </w:tcPr>
          <w:p>
            <w:pPr>
              <w:pStyle w:val="TableContents"/>
              <w:spacing w:before="0" w:after="283"/>
              <w:jc w:val="right"/>
              <w:rPr/>
            </w:pPr>
            <w:r>
              <w:rPr/>
              <w:t> </w:t>
            </w:r>
          </w:p>
        </w:tc>
        <w:tc>
          <w:tcPr>
            <w:tcW w:w="134"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906"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2,742,975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90"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780"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285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1"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859"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39,003</w:t>
            </w:r>
          </w:p>
        </w:tc>
        <w:tc>
          <w:tcPr>
            <w:tcW w:w="75" w:type="dxa"/>
            <w:tcBorders/>
            <w:shd w:fill="CCEEFF" w:val="clear"/>
            <w:vAlign w:val="bottom"/>
          </w:tcPr>
          <w:p>
            <w:pPr>
              <w:pStyle w:val="TableContents"/>
              <w:spacing w:before="0" w:after="283"/>
              <w:jc w:val="left"/>
              <w:rPr/>
            </w:pPr>
            <w:r>
              <w:rPr/>
              <w:t> </w:t>
            </w:r>
          </w:p>
        </w:tc>
      </w:tr>
    </w:tbl>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Impaired loan information at the date indicated follows (dollars in thousands):</w:t>
      </w:r>
    </w:p>
    <w:p>
      <w:pPr>
        <w:pStyle w:val="TextBody"/>
        <w:spacing w:before="0" w:after="0"/>
        <w:jc w:val="left"/>
        <w:rPr/>
      </w:pPr>
      <w:r>
        <w:rPr/>
      </w:r>
    </w:p>
    <w:tbl>
      <w:tblPr>
        <w:tblW w:w="8570" w:type="dxa"/>
        <w:jc w:val="left"/>
        <w:tblInd w:w="0" w:type="dxa"/>
        <w:tblCellMar>
          <w:top w:w="0" w:type="dxa"/>
          <w:left w:w="0" w:type="dxa"/>
          <w:bottom w:w="0" w:type="dxa"/>
          <w:right w:w="0" w:type="dxa"/>
        </w:tblCellMar>
      </w:tblPr>
      <w:tblGrid>
        <w:gridCol w:w="2090"/>
        <w:gridCol w:w="60"/>
        <w:gridCol w:w="213"/>
        <w:gridCol w:w="827"/>
        <w:gridCol w:w="60"/>
        <w:gridCol w:w="60"/>
        <w:gridCol w:w="194"/>
        <w:gridCol w:w="756"/>
        <w:gridCol w:w="60"/>
        <w:gridCol w:w="60"/>
        <w:gridCol w:w="194"/>
        <w:gridCol w:w="756"/>
        <w:gridCol w:w="60"/>
        <w:gridCol w:w="60"/>
        <w:gridCol w:w="194"/>
        <w:gridCol w:w="756"/>
        <w:gridCol w:w="60"/>
        <w:gridCol w:w="60"/>
        <w:gridCol w:w="245"/>
        <w:gridCol w:w="660"/>
        <w:gridCol w:w="60"/>
        <w:gridCol w:w="60"/>
        <w:gridCol w:w="194"/>
        <w:gridCol w:w="756"/>
        <w:gridCol w:w="75"/>
      </w:tblGrid>
      <w:tr>
        <w:trPr/>
        <w:tc>
          <w:tcPr>
            <w:tcW w:w="209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04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Unpaid</w:t>
            </w:r>
          </w:p>
          <w:p>
            <w:pPr>
              <w:pStyle w:val="TableContents"/>
              <w:spacing w:before="0" w:after="0"/>
              <w:jc w:val="center"/>
              <w:rPr>
                <w:rFonts w:ascii="Times New Roman" w:hAnsi="Times New Roman"/>
                <w:b/>
                <w:sz w:val="20"/>
              </w:rPr>
            </w:pPr>
            <w:r>
              <w:rPr>
                <w:rFonts w:ascii="Times New Roman" w:hAnsi="Times New Roman"/>
                <w:b/>
                <w:sz w:val="20"/>
              </w:rPr>
              <w:t>Contractual</w:t>
            </w:r>
          </w:p>
          <w:p>
            <w:pPr>
              <w:pStyle w:val="TableContents"/>
              <w:spacing w:before="0" w:after="0"/>
              <w:jc w:val="center"/>
              <w:rPr>
                <w:rFonts w:ascii="Times New Roman" w:hAnsi="Times New Roman"/>
                <w:b/>
                <w:sz w:val="20"/>
              </w:rPr>
            </w:pPr>
            <w:r>
              <w:rPr>
                <w:rFonts w:ascii="Times New Roman" w:hAnsi="Times New Roman"/>
                <w:b/>
                <w:sz w:val="20"/>
              </w:rPr>
              <w:t>Principal</w:t>
            </w:r>
          </w:p>
          <w:p>
            <w:pPr>
              <w:pStyle w:val="TableContents"/>
              <w:spacing w:before="0" w:after="0"/>
              <w:jc w:val="center"/>
              <w:rPr>
                <w:rFonts w:ascii="Times New Roman" w:hAnsi="Times New Roman"/>
                <w:b/>
                <w:sz w:val="20"/>
              </w:rPr>
            </w:pPr>
            <w:r>
              <w:rPr>
                <w:rFonts w:ascii="Times New Roman" w:hAnsi="Times New Roman"/>
                <w:b/>
                <w:sz w:val="20"/>
              </w:rPr>
              <w:t>Balance</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5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Recorded</w:t>
            </w:r>
          </w:p>
          <w:p>
            <w:pPr>
              <w:pStyle w:val="TableContents"/>
              <w:spacing w:before="0" w:after="0"/>
              <w:jc w:val="center"/>
              <w:rPr>
                <w:rFonts w:ascii="Times New Roman" w:hAnsi="Times New Roman"/>
                <w:b/>
                <w:sz w:val="20"/>
              </w:rPr>
            </w:pPr>
            <w:r>
              <w:rPr>
                <w:rFonts w:ascii="Times New Roman" w:hAnsi="Times New Roman"/>
                <w:b/>
                <w:sz w:val="20"/>
              </w:rPr>
              <w:t>Investment</w:t>
            </w:r>
          </w:p>
          <w:p>
            <w:pPr>
              <w:pStyle w:val="TableContents"/>
              <w:spacing w:before="0" w:after="0"/>
              <w:jc w:val="center"/>
              <w:rPr>
                <w:rFonts w:ascii="Times New Roman" w:hAnsi="Times New Roman"/>
                <w:b/>
                <w:sz w:val="20"/>
              </w:rPr>
            </w:pPr>
            <w:r>
              <w:rPr>
                <w:rFonts w:ascii="Times New Roman" w:hAnsi="Times New Roman"/>
                <w:b/>
                <w:sz w:val="20"/>
              </w:rPr>
              <w:t>With No</w:t>
            </w:r>
          </w:p>
          <w:p>
            <w:pPr>
              <w:pStyle w:val="TableContents"/>
              <w:spacing w:before="0" w:after="0"/>
              <w:jc w:val="center"/>
              <w:rPr>
                <w:rFonts w:ascii="Times New Roman" w:hAnsi="Times New Roman"/>
                <w:b/>
                <w:sz w:val="20"/>
              </w:rPr>
            </w:pPr>
            <w:r>
              <w:rPr>
                <w:rFonts w:ascii="Times New Roman" w:hAnsi="Times New Roman"/>
                <w:b/>
                <w:sz w:val="20"/>
              </w:rPr>
              <w:t>Allowance</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5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Recorded</w:t>
            </w:r>
          </w:p>
          <w:p>
            <w:pPr>
              <w:pStyle w:val="TableContents"/>
              <w:spacing w:before="0" w:after="0"/>
              <w:jc w:val="center"/>
              <w:rPr>
                <w:rFonts w:ascii="Times New Roman" w:hAnsi="Times New Roman"/>
                <w:b/>
                <w:sz w:val="20"/>
              </w:rPr>
            </w:pPr>
            <w:r>
              <w:rPr>
                <w:rFonts w:ascii="Times New Roman" w:hAnsi="Times New Roman"/>
                <w:b/>
                <w:sz w:val="20"/>
              </w:rPr>
              <w:t>Investment</w:t>
            </w:r>
          </w:p>
          <w:p>
            <w:pPr>
              <w:pStyle w:val="TableContents"/>
              <w:spacing w:before="0" w:after="0"/>
              <w:jc w:val="center"/>
              <w:rPr>
                <w:rFonts w:ascii="Times New Roman" w:hAnsi="Times New Roman"/>
                <w:b/>
                <w:sz w:val="20"/>
              </w:rPr>
            </w:pPr>
            <w:r>
              <w:rPr>
                <w:rFonts w:ascii="Times New Roman" w:hAnsi="Times New Roman"/>
                <w:b/>
                <w:sz w:val="20"/>
              </w:rPr>
              <w:t>With</w:t>
            </w:r>
          </w:p>
          <w:p>
            <w:pPr>
              <w:pStyle w:val="TableContents"/>
              <w:spacing w:before="0" w:after="0"/>
              <w:jc w:val="center"/>
              <w:rPr>
                <w:rFonts w:ascii="Times New Roman" w:hAnsi="Times New Roman"/>
                <w:b/>
                <w:sz w:val="20"/>
              </w:rPr>
            </w:pPr>
            <w:r>
              <w:rPr>
                <w:rFonts w:ascii="Times New Roman" w:hAnsi="Times New Roman"/>
                <w:b/>
                <w:sz w:val="20"/>
              </w:rPr>
              <w:t>Allowance</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5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Total</w:t>
            </w:r>
          </w:p>
          <w:p>
            <w:pPr>
              <w:pStyle w:val="TableContents"/>
              <w:spacing w:before="0" w:after="0"/>
              <w:jc w:val="center"/>
              <w:rPr>
                <w:rFonts w:ascii="Times New Roman" w:hAnsi="Times New Roman"/>
                <w:b/>
                <w:sz w:val="20"/>
              </w:rPr>
            </w:pPr>
            <w:r>
              <w:rPr>
                <w:rFonts w:ascii="Times New Roman" w:hAnsi="Times New Roman"/>
                <w:b/>
                <w:sz w:val="20"/>
              </w:rPr>
              <w:t>Recorded</w:t>
            </w:r>
          </w:p>
          <w:p>
            <w:pPr>
              <w:pStyle w:val="TableContents"/>
              <w:spacing w:before="0" w:after="0"/>
              <w:jc w:val="center"/>
              <w:rPr>
                <w:rFonts w:ascii="Times New Roman" w:hAnsi="Times New Roman"/>
                <w:b/>
                <w:sz w:val="20"/>
              </w:rPr>
            </w:pPr>
            <w:r>
              <w:rPr>
                <w:rFonts w:ascii="Times New Roman" w:hAnsi="Times New Roman"/>
                <w:b/>
                <w:sz w:val="20"/>
              </w:rPr>
              <w:t>Investment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0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Related</w:t>
            </w:r>
          </w:p>
          <w:p>
            <w:pPr>
              <w:pStyle w:val="TableContents"/>
              <w:spacing w:before="0" w:after="0"/>
              <w:jc w:val="center"/>
              <w:rPr>
                <w:rFonts w:ascii="Times New Roman" w:hAnsi="Times New Roman"/>
                <w:b/>
                <w:sz w:val="20"/>
              </w:rPr>
            </w:pPr>
            <w:r>
              <w:rPr>
                <w:rFonts w:ascii="Times New Roman" w:hAnsi="Times New Roman"/>
                <w:b/>
                <w:sz w:val="20"/>
              </w:rPr>
              <w:t>Allowance</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5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Average</w:t>
            </w:r>
          </w:p>
          <w:p>
            <w:pPr>
              <w:pStyle w:val="TableContents"/>
              <w:spacing w:before="0" w:after="0"/>
              <w:jc w:val="center"/>
              <w:rPr>
                <w:rFonts w:ascii="Times New Roman" w:hAnsi="Times New Roman"/>
                <w:b/>
                <w:sz w:val="20"/>
              </w:rPr>
            </w:pPr>
            <w:r>
              <w:rPr>
                <w:rFonts w:ascii="Times New Roman" w:hAnsi="Times New Roman"/>
                <w:b/>
                <w:sz w:val="20"/>
              </w:rPr>
              <w:t>Recorded</w:t>
            </w:r>
          </w:p>
          <w:p>
            <w:pPr>
              <w:pStyle w:val="TableContents"/>
              <w:spacing w:before="0" w:after="0"/>
              <w:jc w:val="center"/>
              <w:rPr>
                <w:rFonts w:ascii="Times New Roman" w:hAnsi="Times New Roman"/>
                <w:b/>
                <w:sz w:val="20"/>
              </w:rPr>
            </w:pPr>
            <w:r>
              <w:rPr>
                <w:rFonts w:ascii="Times New Roman" w:hAnsi="Times New Roman"/>
                <w:b/>
                <w:sz w:val="20"/>
              </w:rPr>
              <w:t>Investment</w:t>
            </w:r>
          </w:p>
        </w:tc>
        <w:tc>
          <w:tcPr>
            <w:tcW w:w="75" w:type="dxa"/>
            <w:tcBorders/>
            <w:shd w:fill="auto" w:val="clear"/>
            <w:vAlign w:val="bottom"/>
          </w:tcPr>
          <w:p>
            <w:pPr>
              <w:pStyle w:val="TableContents"/>
              <w:spacing w:before="0" w:after="283"/>
              <w:jc w:val="left"/>
              <w:rPr/>
            </w:pPr>
            <w:r>
              <w:rPr/>
              <w:t> </w:t>
            </w:r>
          </w:p>
        </w:tc>
      </w:tr>
      <w:tr>
        <w:trPr/>
        <w:tc>
          <w:tcPr>
            <w:tcW w:w="20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1040" w:type="dxa"/>
            <w:gridSpan w:val="2"/>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950" w:type="dxa"/>
            <w:gridSpan w:val="2"/>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950" w:type="dxa"/>
            <w:gridSpan w:val="2"/>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950" w:type="dxa"/>
            <w:gridSpan w:val="2"/>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905" w:type="dxa"/>
            <w:gridSpan w:val="2"/>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950" w:type="dxa"/>
            <w:gridSpan w:val="2"/>
            <w:tcBorders/>
            <w:shd w:fill="auto" w:val="clear"/>
            <w:vAlign w:val="bottom"/>
          </w:tcPr>
          <w:p>
            <w:pPr>
              <w:pStyle w:val="TableContents"/>
              <w:spacing w:before="0" w:after="283"/>
              <w:jc w:val="right"/>
              <w:rPr/>
            </w:pPr>
            <w:r>
              <w:rPr/>
              <w:t> </w:t>
            </w:r>
          </w:p>
        </w:tc>
        <w:tc>
          <w:tcPr>
            <w:tcW w:w="75" w:type="dxa"/>
            <w:tcBorders/>
            <w:shd w:fill="auto" w:val="clear"/>
            <w:vAlign w:val="bottom"/>
          </w:tcPr>
          <w:p>
            <w:pPr>
              <w:pStyle w:val="TableContents"/>
              <w:spacing w:before="0" w:after="283"/>
              <w:jc w:val="left"/>
              <w:rPr/>
            </w:pPr>
            <w:r>
              <w:rPr/>
              <w:t> </w:t>
            </w:r>
          </w:p>
        </w:tc>
      </w:tr>
      <w:tr>
        <w:trPr/>
        <w:tc>
          <w:tcPr>
            <w:tcW w:w="2090" w:type="dxa"/>
            <w:tcBorders/>
            <w:shd w:fill="auto" w:val="clear"/>
            <w:vAlign w:val="bottom"/>
          </w:tcPr>
          <w:p>
            <w:pPr>
              <w:pStyle w:val="TableContents"/>
              <w:spacing w:before="0" w:after="0"/>
              <w:ind w:left="180" w:right="0" w:hanging="0"/>
              <w:jc w:val="left"/>
              <w:rPr>
                <w:rFonts w:ascii="Times New Roman" w:hAnsi="Times New Roman"/>
                <w:sz w:val="20"/>
                <w:u w:val="single"/>
              </w:rPr>
            </w:pPr>
            <w:r>
              <w:rPr>
                <w:rFonts w:ascii="Times New Roman" w:hAnsi="Times New Roman"/>
                <w:sz w:val="20"/>
                <w:u w:val="single"/>
              </w:rPr>
              <w:t>December 31, 2022</w:t>
            </w:r>
          </w:p>
        </w:tc>
        <w:tc>
          <w:tcPr>
            <w:tcW w:w="60" w:type="dxa"/>
            <w:tcBorders/>
            <w:shd w:fill="auto" w:val="clear"/>
            <w:vAlign w:val="bottom"/>
          </w:tcPr>
          <w:p>
            <w:pPr>
              <w:pStyle w:val="TableContents"/>
              <w:spacing w:before="0" w:after="283"/>
              <w:jc w:val="right"/>
              <w:rPr/>
            </w:pPr>
            <w:r>
              <w:rPr/>
              <w:t> </w:t>
            </w:r>
          </w:p>
        </w:tc>
        <w:tc>
          <w:tcPr>
            <w:tcW w:w="1040" w:type="dxa"/>
            <w:gridSpan w:val="2"/>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950" w:type="dxa"/>
            <w:gridSpan w:val="2"/>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950" w:type="dxa"/>
            <w:gridSpan w:val="2"/>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950" w:type="dxa"/>
            <w:gridSpan w:val="2"/>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905" w:type="dxa"/>
            <w:gridSpan w:val="2"/>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950" w:type="dxa"/>
            <w:gridSpan w:val="2"/>
            <w:tcBorders/>
            <w:shd w:fill="auto" w:val="clear"/>
            <w:vAlign w:val="bottom"/>
          </w:tcPr>
          <w:p>
            <w:pPr>
              <w:pStyle w:val="TableContents"/>
              <w:spacing w:before="0" w:after="283"/>
              <w:jc w:val="right"/>
              <w:rPr/>
            </w:pPr>
            <w:r>
              <w:rPr/>
              <w:t> </w:t>
            </w:r>
          </w:p>
        </w:tc>
        <w:tc>
          <w:tcPr>
            <w:tcW w:w="75" w:type="dxa"/>
            <w:tcBorders/>
            <w:shd w:fill="auto" w:val="clear"/>
            <w:vAlign w:val="bottom"/>
          </w:tcPr>
          <w:p>
            <w:pPr>
              <w:pStyle w:val="TableContents"/>
              <w:spacing w:before="0" w:after="283"/>
              <w:jc w:val="left"/>
              <w:rPr/>
            </w:pPr>
            <w:r>
              <w:rPr/>
              <w:t> </w:t>
            </w:r>
          </w:p>
        </w:tc>
      </w:tr>
      <w:tr>
        <w:trPr/>
        <w:tc>
          <w:tcPr>
            <w:tcW w:w="2090" w:type="dxa"/>
            <w:tcBorders/>
            <w:shd w:fill="CCEE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Commercial real estate</w:t>
            </w:r>
          </w:p>
        </w:tc>
        <w:tc>
          <w:tcPr>
            <w:tcW w:w="60" w:type="dxa"/>
            <w:tcBorders/>
            <w:shd w:fill="CCEEFF" w:val="clear"/>
            <w:vAlign w:val="bottom"/>
          </w:tcPr>
          <w:p>
            <w:pPr>
              <w:pStyle w:val="TableContents"/>
              <w:spacing w:before="0" w:after="283"/>
              <w:jc w:val="right"/>
              <w:rPr/>
            </w:pPr>
            <w:r>
              <w:rPr/>
              <w:t> </w:t>
            </w:r>
          </w:p>
        </w:tc>
        <w:tc>
          <w:tcPr>
            <w:tcW w:w="213"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827"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94"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756"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94"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756"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94"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756"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4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60"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94"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756"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551</w:t>
            </w:r>
          </w:p>
        </w:tc>
        <w:tc>
          <w:tcPr>
            <w:tcW w:w="75" w:type="dxa"/>
            <w:tcBorders/>
            <w:shd w:fill="CCEEFF" w:val="clear"/>
            <w:vAlign w:val="bottom"/>
          </w:tcPr>
          <w:p>
            <w:pPr>
              <w:pStyle w:val="TableContents"/>
              <w:spacing w:before="0" w:after="283"/>
              <w:jc w:val="left"/>
              <w:rPr/>
            </w:pPr>
            <w:r>
              <w:rPr/>
              <w:t> </w:t>
            </w:r>
          </w:p>
        </w:tc>
      </w:tr>
      <w:tr>
        <w:trPr/>
        <w:tc>
          <w:tcPr>
            <w:tcW w:w="2090" w:type="dxa"/>
            <w:tcBorders/>
            <w:shd w:fill="auto"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Commercial - specialized</w:t>
            </w:r>
          </w:p>
        </w:tc>
        <w:tc>
          <w:tcPr>
            <w:tcW w:w="60" w:type="dxa"/>
            <w:tcBorders/>
            <w:shd w:fill="auto" w:val="clear"/>
            <w:vAlign w:val="bottom"/>
          </w:tcPr>
          <w:p>
            <w:pPr>
              <w:pStyle w:val="TableContents"/>
              <w:spacing w:before="0" w:after="283"/>
              <w:jc w:val="right"/>
              <w:rPr/>
            </w:pPr>
            <w:r>
              <w:rPr/>
              <w:t> </w:t>
            </w:r>
          </w:p>
        </w:tc>
        <w:tc>
          <w:tcPr>
            <w:tcW w:w="213" w:type="dxa"/>
            <w:tcBorders/>
            <w:shd w:fill="auto" w:val="clear"/>
            <w:vAlign w:val="bottom"/>
          </w:tcPr>
          <w:p>
            <w:pPr>
              <w:pStyle w:val="TableContents"/>
              <w:spacing w:before="0" w:after="283"/>
              <w:jc w:val="left"/>
              <w:rPr/>
            </w:pPr>
            <w:r>
              <w:rPr/>
              <w:t> </w:t>
            </w:r>
          </w:p>
        </w:tc>
        <w:tc>
          <w:tcPr>
            <w:tcW w:w="827" w:type="dxa"/>
            <w:tcBorders/>
            <w:shd w:fill="auto" w:val="clear"/>
            <w:vAlign w:val="bottom"/>
          </w:tcPr>
          <w:p>
            <w:pPr>
              <w:pStyle w:val="TableContents"/>
              <w:spacing w:before="0" w:after="0"/>
              <w:jc w:val="right"/>
              <w:rPr/>
            </w:pPr>
            <w:r>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94" w:type="dxa"/>
            <w:tcBorders/>
            <w:shd w:fill="auto" w:val="clear"/>
            <w:vAlign w:val="bottom"/>
          </w:tcPr>
          <w:p>
            <w:pPr>
              <w:pStyle w:val="TableContents"/>
              <w:spacing w:before="0" w:after="283"/>
              <w:jc w:val="left"/>
              <w:rPr/>
            </w:pPr>
            <w:r>
              <w:rPr/>
              <w:t> </w:t>
            </w:r>
          </w:p>
        </w:tc>
        <w:tc>
          <w:tcPr>
            <w:tcW w:w="756" w:type="dxa"/>
            <w:tcBorders/>
            <w:shd w:fill="auto" w:val="clear"/>
            <w:vAlign w:val="bottom"/>
          </w:tcPr>
          <w:p>
            <w:pPr>
              <w:pStyle w:val="TableContents"/>
              <w:spacing w:before="0" w:after="0"/>
              <w:jc w:val="right"/>
              <w:rPr/>
            </w:pPr>
            <w:r>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94" w:type="dxa"/>
            <w:tcBorders/>
            <w:shd w:fill="auto" w:val="clear"/>
            <w:vAlign w:val="bottom"/>
          </w:tcPr>
          <w:p>
            <w:pPr>
              <w:pStyle w:val="TableContents"/>
              <w:spacing w:before="0" w:after="283"/>
              <w:jc w:val="left"/>
              <w:rPr/>
            </w:pPr>
            <w:r>
              <w:rPr/>
              <w:t> </w:t>
            </w:r>
          </w:p>
        </w:tc>
        <w:tc>
          <w:tcPr>
            <w:tcW w:w="756" w:type="dxa"/>
            <w:tcBorders/>
            <w:shd w:fill="auto" w:val="clear"/>
            <w:vAlign w:val="bottom"/>
          </w:tcPr>
          <w:p>
            <w:pPr>
              <w:pStyle w:val="TableContents"/>
              <w:spacing w:before="0" w:after="0"/>
              <w:jc w:val="right"/>
              <w:rPr/>
            </w:pPr>
            <w:r>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94" w:type="dxa"/>
            <w:tcBorders/>
            <w:shd w:fill="auto" w:val="clear"/>
            <w:vAlign w:val="bottom"/>
          </w:tcPr>
          <w:p>
            <w:pPr>
              <w:pStyle w:val="TableContents"/>
              <w:spacing w:before="0" w:after="283"/>
              <w:jc w:val="left"/>
              <w:rPr/>
            </w:pPr>
            <w:r>
              <w:rPr/>
              <w:t> </w:t>
            </w:r>
          </w:p>
        </w:tc>
        <w:tc>
          <w:tcPr>
            <w:tcW w:w="756" w:type="dxa"/>
            <w:tcBorders/>
            <w:shd w:fill="auto" w:val="clear"/>
            <w:vAlign w:val="bottom"/>
          </w:tcPr>
          <w:p>
            <w:pPr>
              <w:pStyle w:val="TableContents"/>
              <w:spacing w:before="0" w:after="0"/>
              <w:jc w:val="right"/>
              <w:rPr/>
            </w:pPr>
            <w:r>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45" w:type="dxa"/>
            <w:tcBorders/>
            <w:shd w:fill="auto" w:val="clear"/>
            <w:vAlign w:val="bottom"/>
          </w:tcPr>
          <w:p>
            <w:pPr>
              <w:pStyle w:val="TableContents"/>
              <w:spacing w:before="0" w:after="283"/>
              <w:jc w:val="left"/>
              <w:rPr/>
            </w:pPr>
            <w:r>
              <w:rPr/>
              <w:t> </w:t>
            </w:r>
          </w:p>
        </w:tc>
        <w:tc>
          <w:tcPr>
            <w:tcW w:w="660" w:type="dxa"/>
            <w:tcBorders/>
            <w:shd w:fill="auto" w:val="clear"/>
            <w:vAlign w:val="bottom"/>
          </w:tcPr>
          <w:p>
            <w:pPr>
              <w:pStyle w:val="TableContents"/>
              <w:spacing w:before="0" w:after="0"/>
              <w:jc w:val="right"/>
              <w:rPr/>
            </w:pPr>
            <w:r>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94" w:type="dxa"/>
            <w:tcBorders/>
            <w:shd w:fill="auto" w:val="clear"/>
            <w:vAlign w:val="bottom"/>
          </w:tcPr>
          <w:p>
            <w:pPr>
              <w:pStyle w:val="TableContents"/>
              <w:spacing w:before="0" w:after="283"/>
              <w:jc w:val="left"/>
              <w:rPr/>
            </w:pPr>
            <w:r>
              <w:rPr/>
              <w:t> </w:t>
            </w:r>
          </w:p>
        </w:tc>
        <w:tc>
          <w:tcPr>
            <w:tcW w:w="756" w:type="dxa"/>
            <w:tcBorders/>
            <w:shd w:fill="auto" w:val="clear"/>
            <w:vAlign w:val="bottom"/>
          </w:tcPr>
          <w:p>
            <w:pPr>
              <w:pStyle w:val="TableContents"/>
              <w:spacing w:before="0" w:after="0"/>
              <w:jc w:val="right"/>
              <w:rPr/>
            </w:pPr>
            <w:r>
              <w:rPr/>
              <w:t>—</w:t>
            </w:r>
          </w:p>
        </w:tc>
        <w:tc>
          <w:tcPr>
            <w:tcW w:w="75" w:type="dxa"/>
            <w:tcBorders/>
            <w:shd w:fill="auto" w:val="clear"/>
            <w:vAlign w:val="bottom"/>
          </w:tcPr>
          <w:p>
            <w:pPr>
              <w:pStyle w:val="TableContents"/>
              <w:spacing w:before="0" w:after="283"/>
              <w:jc w:val="left"/>
              <w:rPr/>
            </w:pPr>
            <w:r>
              <w:rPr/>
              <w:t> </w:t>
            </w:r>
          </w:p>
        </w:tc>
      </w:tr>
      <w:tr>
        <w:trPr/>
        <w:tc>
          <w:tcPr>
            <w:tcW w:w="2090" w:type="dxa"/>
            <w:tcBorders/>
            <w:shd w:fill="CCEE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Commercial - general</w:t>
            </w:r>
          </w:p>
        </w:tc>
        <w:tc>
          <w:tcPr>
            <w:tcW w:w="60" w:type="dxa"/>
            <w:tcBorders/>
            <w:shd w:fill="CCEEFF" w:val="clear"/>
            <w:vAlign w:val="bottom"/>
          </w:tcPr>
          <w:p>
            <w:pPr>
              <w:pStyle w:val="TableContents"/>
              <w:spacing w:before="0" w:after="283"/>
              <w:jc w:val="right"/>
              <w:rPr/>
            </w:pPr>
            <w:r>
              <w:rPr/>
              <w:t> </w:t>
            </w:r>
          </w:p>
        </w:tc>
        <w:tc>
          <w:tcPr>
            <w:tcW w:w="213" w:type="dxa"/>
            <w:tcBorders/>
            <w:shd w:fill="CCEEFF" w:val="clear"/>
            <w:vAlign w:val="bottom"/>
          </w:tcPr>
          <w:p>
            <w:pPr>
              <w:pStyle w:val="TableContents"/>
              <w:spacing w:before="0" w:after="283"/>
              <w:jc w:val="left"/>
              <w:rPr/>
            </w:pPr>
            <w:r>
              <w:rPr/>
              <w:t> </w:t>
            </w:r>
          </w:p>
        </w:tc>
        <w:tc>
          <w:tcPr>
            <w:tcW w:w="827"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3,350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94" w:type="dxa"/>
            <w:tcBorders/>
            <w:shd w:fill="CCEEFF" w:val="clear"/>
            <w:vAlign w:val="bottom"/>
          </w:tcPr>
          <w:p>
            <w:pPr>
              <w:pStyle w:val="TableContents"/>
              <w:spacing w:before="0" w:after="283"/>
              <w:jc w:val="left"/>
              <w:rPr/>
            </w:pPr>
            <w:r>
              <w:rPr/>
              <w:t> </w:t>
            </w:r>
          </w:p>
        </w:tc>
        <w:tc>
          <w:tcPr>
            <w:tcW w:w="756"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799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94" w:type="dxa"/>
            <w:tcBorders/>
            <w:shd w:fill="CCEEFF" w:val="clear"/>
            <w:vAlign w:val="bottom"/>
          </w:tcPr>
          <w:p>
            <w:pPr>
              <w:pStyle w:val="TableContents"/>
              <w:spacing w:before="0" w:after="283"/>
              <w:jc w:val="left"/>
              <w:rPr/>
            </w:pPr>
            <w:r>
              <w:rPr/>
              <w:t> </w:t>
            </w:r>
          </w:p>
        </w:tc>
        <w:tc>
          <w:tcPr>
            <w:tcW w:w="756"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2,551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94" w:type="dxa"/>
            <w:tcBorders/>
            <w:shd w:fill="CCEEFF" w:val="clear"/>
            <w:vAlign w:val="bottom"/>
          </w:tcPr>
          <w:p>
            <w:pPr>
              <w:pStyle w:val="TableContents"/>
              <w:spacing w:before="0" w:after="283"/>
              <w:jc w:val="left"/>
              <w:rPr/>
            </w:pPr>
            <w:r>
              <w:rPr/>
              <w:t> </w:t>
            </w:r>
          </w:p>
        </w:tc>
        <w:tc>
          <w:tcPr>
            <w:tcW w:w="756"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3,350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45" w:type="dxa"/>
            <w:tcBorders/>
            <w:shd w:fill="CCEEFF" w:val="clear"/>
            <w:vAlign w:val="bottom"/>
          </w:tcPr>
          <w:p>
            <w:pPr>
              <w:pStyle w:val="TableContents"/>
              <w:spacing w:before="0" w:after="283"/>
              <w:jc w:val="left"/>
              <w:rPr/>
            </w:pPr>
            <w:r>
              <w:rPr/>
              <w:t> </w:t>
            </w:r>
          </w:p>
        </w:tc>
        <w:tc>
          <w:tcPr>
            <w:tcW w:w="660"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22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94" w:type="dxa"/>
            <w:tcBorders/>
            <w:shd w:fill="CCEEFF" w:val="clear"/>
            <w:vAlign w:val="bottom"/>
          </w:tcPr>
          <w:p>
            <w:pPr>
              <w:pStyle w:val="TableContents"/>
              <w:spacing w:before="0" w:after="283"/>
              <w:jc w:val="left"/>
              <w:rPr/>
            </w:pPr>
            <w:r>
              <w:rPr/>
              <w:t> </w:t>
            </w:r>
          </w:p>
        </w:tc>
        <w:tc>
          <w:tcPr>
            <w:tcW w:w="756"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4,214</w:t>
            </w:r>
          </w:p>
        </w:tc>
        <w:tc>
          <w:tcPr>
            <w:tcW w:w="75" w:type="dxa"/>
            <w:tcBorders/>
            <w:shd w:fill="CCEEFF" w:val="clear"/>
            <w:vAlign w:val="bottom"/>
          </w:tcPr>
          <w:p>
            <w:pPr>
              <w:pStyle w:val="TableContents"/>
              <w:spacing w:before="0" w:after="283"/>
              <w:jc w:val="left"/>
              <w:rPr/>
            </w:pPr>
            <w:r>
              <w:rPr/>
              <w:t> </w:t>
            </w:r>
          </w:p>
        </w:tc>
      </w:tr>
      <w:tr>
        <w:trPr/>
        <w:tc>
          <w:tcPr>
            <w:tcW w:w="2090" w:type="dxa"/>
            <w:tcBorders/>
            <w:shd w:fill="auto"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Consumer:</w:t>
            </w:r>
          </w:p>
        </w:tc>
        <w:tc>
          <w:tcPr>
            <w:tcW w:w="60" w:type="dxa"/>
            <w:tcBorders/>
            <w:shd w:fill="auto" w:val="clear"/>
            <w:vAlign w:val="bottom"/>
          </w:tcPr>
          <w:p>
            <w:pPr>
              <w:pStyle w:val="TableContents"/>
              <w:spacing w:before="0" w:after="283"/>
              <w:jc w:val="right"/>
              <w:rPr/>
            </w:pPr>
            <w:r>
              <w:rPr/>
              <w:t> </w:t>
            </w:r>
          </w:p>
        </w:tc>
        <w:tc>
          <w:tcPr>
            <w:tcW w:w="213" w:type="dxa"/>
            <w:tcBorders/>
            <w:shd w:fill="auto" w:val="clear"/>
            <w:vAlign w:val="bottom"/>
          </w:tcPr>
          <w:p>
            <w:pPr>
              <w:pStyle w:val="TableContents"/>
              <w:spacing w:before="0" w:after="283"/>
              <w:jc w:val="left"/>
              <w:rPr/>
            </w:pPr>
            <w:r>
              <w:rPr/>
              <w:t> </w:t>
            </w:r>
          </w:p>
        </w:tc>
        <w:tc>
          <w:tcPr>
            <w:tcW w:w="827"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94" w:type="dxa"/>
            <w:tcBorders/>
            <w:shd w:fill="auto" w:val="clear"/>
            <w:vAlign w:val="bottom"/>
          </w:tcPr>
          <w:p>
            <w:pPr>
              <w:pStyle w:val="TableContents"/>
              <w:spacing w:before="0" w:after="283"/>
              <w:jc w:val="left"/>
              <w:rPr/>
            </w:pPr>
            <w:r>
              <w:rPr/>
              <w:t> </w:t>
            </w:r>
          </w:p>
        </w:tc>
        <w:tc>
          <w:tcPr>
            <w:tcW w:w="756"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94" w:type="dxa"/>
            <w:tcBorders/>
            <w:shd w:fill="auto" w:val="clear"/>
            <w:vAlign w:val="bottom"/>
          </w:tcPr>
          <w:p>
            <w:pPr>
              <w:pStyle w:val="TableContents"/>
              <w:spacing w:before="0" w:after="283"/>
              <w:jc w:val="left"/>
              <w:rPr/>
            </w:pPr>
            <w:r>
              <w:rPr/>
              <w:t> </w:t>
            </w:r>
          </w:p>
        </w:tc>
        <w:tc>
          <w:tcPr>
            <w:tcW w:w="756"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94" w:type="dxa"/>
            <w:tcBorders/>
            <w:shd w:fill="auto" w:val="clear"/>
            <w:vAlign w:val="bottom"/>
          </w:tcPr>
          <w:p>
            <w:pPr>
              <w:pStyle w:val="TableContents"/>
              <w:spacing w:before="0" w:after="283"/>
              <w:jc w:val="left"/>
              <w:rPr/>
            </w:pPr>
            <w:r>
              <w:rPr/>
              <w:t> </w:t>
            </w:r>
          </w:p>
        </w:tc>
        <w:tc>
          <w:tcPr>
            <w:tcW w:w="756"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45" w:type="dxa"/>
            <w:tcBorders/>
            <w:shd w:fill="auto" w:val="clear"/>
            <w:vAlign w:val="bottom"/>
          </w:tcPr>
          <w:p>
            <w:pPr>
              <w:pStyle w:val="TableContents"/>
              <w:spacing w:before="0" w:after="283"/>
              <w:jc w:val="left"/>
              <w:rPr/>
            </w:pPr>
            <w:r>
              <w:rPr/>
              <w:t> </w:t>
            </w:r>
          </w:p>
        </w:tc>
        <w:tc>
          <w:tcPr>
            <w:tcW w:w="66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94" w:type="dxa"/>
            <w:tcBorders/>
            <w:shd w:fill="auto" w:val="clear"/>
            <w:vAlign w:val="bottom"/>
          </w:tcPr>
          <w:p>
            <w:pPr>
              <w:pStyle w:val="TableContents"/>
              <w:spacing w:before="0" w:after="283"/>
              <w:jc w:val="left"/>
              <w:rPr/>
            </w:pPr>
            <w:r>
              <w:rPr/>
              <w:t> </w:t>
            </w:r>
          </w:p>
        </w:tc>
        <w:tc>
          <w:tcPr>
            <w:tcW w:w="756" w:type="dxa"/>
            <w:tcBorders/>
            <w:shd w:fill="auto" w:val="clear"/>
            <w:vAlign w:val="bottom"/>
          </w:tcPr>
          <w:p>
            <w:pPr>
              <w:pStyle w:val="TableContents"/>
              <w:spacing w:before="0" w:after="283"/>
              <w:jc w:val="right"/>
              <w:rPr/>
            </w:pPr>
            <w:r>
              <w:rPr/>
              <w:t> </w:t>
            </w:r>
          </w:p>
        </w:tc>
        <w:tc>
          <w:tcPr>
            <w:tcW w:w="75" w:type="dxa"/>
            <w:tcBorders/>
            <w:shd w:fill="auto" w:val="clear"/>
            <w:vAlign w:val="bottom"/>
          </w:tcPr>
          <w:p>
            <w:pPr>
              <w:pStyle w:val="TableContents"/>
              <w:spacing w:before="0" w:after="283"/>
              <w:jc w:val="left"/>
              <w:rPr/>
            </w:pPr>
            <w:r>
              <w:rPr/>
              <w:t> </w:t>
            </w:r>
          </w:p>
        </w:tc>
      </w:tr>
      <w:tr>
        <w:trPr/>
        <w:tc>
          <w:tcPr>
            <w:tcW w:w="2090" w:type="dxa"/>
            <w:tcBorders/>
            <w:shd w:fill="CCEEFF" w:val="clear"/>
            <w:vAlign w:val="bottom"/>
          </w:tcPr>
          <w:p>
            <w:pPr>
              <w:pStyle w:val="TableContents"/>
              <w:spacing w:before="0" w:after="0"/>
              <w:ind w:left="288" w:right="0" w:hanging="144"/>
              <w:jc w:val="left"/>
              <w:rPr>
                <w:rFonts w:ascii="Times New Roman" w:hAnsi="Times New Roman"/>
                <w:sz w:val="20"/>
              </w:rPr>
            </w:pPr>
            <w:r>
              <w:rPr>
                <w:rFonts w:ascii="Times New Roman" w:hAnsi="Times New Roman"/>
                <w:sz w:val="20"/>
              </w:rPr>
              <w:t>1-4 family</w:t>
            </w:r>
          </w:p>
        </w:tc>
        <w:tc>
          <w:tcPr>
            <w:tcW w:w="60" w:type="dxa"/>
            <w:tcBorders/>
            <w:shd w:fill="CCEEFF" w:val="clear"/>
            <w:vAlign w:val="bottom"/>
          </w:tcPr>
          <w:p>
            <w:pPr>
              <w:pStyle w:val="TableContents"/>
              <w:spacing w:before="0" w:after="283"/>
              <w:jc w:val="right"/>
              <w:rPr/>
            </w:pPr>
            <w:r>
              <w:rPr/>
              <w:t> </w:t>
            </w:r>
          </w:p>
        </w:tc>
        <w:tc>
          <w:tcPr>
            <w:tcW w:w="213" w:type="dxa"/>
            <w:tcBorders/>
            <w:shd w:fill="CCEEFF" w:val="clear"/>
            <w:vAlign w:val="bottom"/>
          </w:tcPr>
          <w:p>
            <w:pPr>
              <w:pStyle w:val="TableContents"/>
              <w:spacing w:before="0" w:after="283"/>
              <w:jc w:val="left"/>
              <w:rPr/>
            </w:pPr>
            <w:r>
              <w:rPr/>
              <w:t> </w:t>
            </w:r>
          </w:p>
        </w:tc>
        <w:tc>
          <w:tcPr>
            <w:tcW w:w="827"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742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94" w:type="dxa"/>
            <w:tcBorders/>
            <w:shd w:fill="CCEEFF" w:val="clear"/>
            <w:vAlign w:val="bottom"/>
          </w:tcPr>
          <w:p>
            <w:pPr>
              <w:pStyle w:val="TableContents"/>
              <w:spacing w:before="0" w:after="283"/>
              <w:jc w:val="left"/>
              <w:rPr/>
            </w:pPr>
            <w:r>
              <w:rPr/>
              <w:t> </w:t>
            </w:r>
          </w:p>
        </w:tc>
        <w:tc>
          <w:tcPr>
            <w:tcW w:w="756"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486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94" w:type="dxa"/>
            <w:tcBorders/>
            <w:shd w:fill="CCEEFF" w:val="clear"/>
            <w:vAlign w:val="bottom"/>
          </w:tcPr>
          <w:p>
            <w:pPr>
              <w:pStyle w:val="TableContents"/>
              <w:spacing w:before="0" w:after="283"/>
              <w:jc w:val="left"/>
              <w:rPr/>
            </w:pPr>
            <w:r>
              <w:rPr/>
              <w:t> </w:t>
            </w:r>
          </w:p>
        </w:tc>
        <w:tc>
          <w:tcPr>
            <w:tcW w:w="756"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256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94" w:type="dxa"/>
            <w:tcBorders/>
            <w:shd w:fill="CCEEFF" w:val="clear"/>
            <w:vAlign w:val="bottom"/>
          </w:tcPr>
          <w:p>
            <w:pPr>
              <w:pStyle w:val="TableContents"/>
              <w:spacing w:before="0" w:after="283"/>
              <w:jc w:val="left"/>
              <w:rPr/>
            </w:pPr>
            <w:r>
              <w:rPr/>
              <w:t> </w:t>
            </w:r>
          </w:p>
        </w:tc>
        <w:tc>
          <w:tcPr>
            <w:tcW w:w="756"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742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45" w:type="dxa"/>
            <w:tcBorders/>
            <w:shd w:fill="CCEEFF" w:val="clear"/>
            <w:vAlign w:val="bottom"/>
          </w:tcPr>
          <w:p>
            <w:pPr>
              <w:pStyle w:val="TableContents"/>
              <w:spacing w:before="0" w:after="283"/>
              <w:jc w:val="left"/>
              <w:rPr/>
            </w:pPr>
            <w:r>
              <w:rPr/>
              <w:t> </w:t>
            </w:r>
          </w:p>
        </w:tc>
        <w:tc>
          <w:tcPr>
            <w:tcW w:w="660"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18</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94" w:type="dxa"/>
            <w:tcBorders/>
            <w:shd w:fill="CCEEFF" w:val="clear"/>
            <w:vAlign w:val="bottom"/>
          </w:tcPr>
          <w:p>
            <w:pPr>
              <w:pStyle w:val="TableContents"/>
              <w:spacing w:before="0" w:after="283"/>
              <w:jc w:val="left"/>
              <w:rPr/>
            </w:pPr>
            <w:r>
              <w:rPr/>
              <w:t> </w:t>
            </w:r>
          </w:p>
        </w:tc>
        <w:tc>
          <w:tcPr>
            <w:tcW w:w="756"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1,167</w:t>
            </w:r>
          </w:p>
        </w:tc>
        <w:tc>
          <w:tcPr>
            <w:tcW w:w="75" w:type="dxa"/>
            <w:tcBorders/>
            <w:shd w:fill="CCEEFF" w:val="clear"/>
            <w:vAlign w:val="bottom"/>
          </w:tcPr>
          <w:p>
            <w:pPr>
              <w:pStyle w:val="TableContents"/>
              <w:spacing w:before="0" w:after="283"/>
              <w:jc w:val="left"/>
              <w:rPr/>
            </w:pPr>
            <w:r>
              <w:rPr/>
              <w:t> </w:t>
            </w:r>
          </w:p>
        </w:tc>
      </w:tr>
      <w:tr>
        <w:trPr/>
        <w:tc>
          <w:tcPr>
            <w:tcW w:w="2090" w:type="dxa"/>
            <w:tcBorders/>
            <w:shd w:fill="auto" w:val="clear"/>
            <w:vAlign w:val="bottom"/>
          </w:tcPr>
          <w:p>
            <w:pPr>
              <w:pStyle w:val="TableContents"/>
              <w:spacing w:before="0" w:after="0"/>
              <w:ind w:left="288" w:right="0" w:hanging="144"/>
              <w:jc w:val="left"/>
              <w:rPr>
                <w:rFonts w:ascii="Times New Roman" w:hAnsi="Times New Roman"/>
                <w:sz w:val="20"/>
              </w:rPr>
            </w:pPr>
            <w:r>
              <w:rPr>
                <w:rFonts w:ascii="Times New Roman" w:hAnsi="Times New Roman"/>
                <w:sz w:val="20"/>
              </w:rPr>
              <w:t>Auto loans</w:t>
            </w:r>
          </w:p>
        </w:tc>
        <w:tc>
          <w:tcPr>
            <w:tcW w:w="60" w:type="dxa"/>
            <w:tcBorders/>
            <w:shd w:fill="auto" w:val="clear"/>
            <w:vAlign w:val="bottom"/>
          </w:tcPr>
          <w:p>
            <w:pPr>
              <w:pStyle w:val="TableContents"/>
              <w:spacing w:before="0" w:after="283"/>
              <w:jc w:val="right"/>
              <w:rPr/>
            </w:pPr>
            <w:r>
              <w:rPr/>
              <w:t> </w:t>
            </w:r>
          </w:p>
        </w:tc>
        <w:tc>
          <w:tcPr>
            <w:tcW w:w="213" w:type="dxa"/>
            <w:tcBorders/>
            <w:shd w:fill="auto" w:val="clear"/>
            <w:vAlign w:val="bottom"/>
          </w:tcPr>
          <w:p>
            <w:pPr>
              <w:pStyle w:val="TableContents"/>
              <w:spacing w:before="0" w:after="283"/>
              <w:jc w:val="left"/>
              <w:rPr/>
            </w:pPr>
            <w:r>
              <w:rPr/>
              <w:t> </w:t>
            </w:r>
          </w:p>
        </w:tc>
        <w:tc>
          <w:tcPr>
            <w:tcW w:w="827" w:type="dxa"/>
            <w:tcBorders/>
            <w:shd w:fill="auto" w:val="clear"/>
            <w:vAlign w:val="bottom"/>
          </w:tcPr>
          <w:p>
            <w:pPr>
              <w:pStyle w:val="TableContents"/>
              <w:spacing w:before="0" w:after="0"/>
              <w:jc w:val="right"/>
              <w:rPr/>
            </w:pPr>
            <w:r>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94" w:type="dxa"/>
            <w:tcBorders/>
            <w:shd w:fill="auto" w:val="clear"/>
            <w:vAlign w:val="bottom"/>
          </w:tcPr>
          <w:p>
            <w:pPr>
              <w:pStyle w:val="TableContents"/>
              <w:spacing w:before="0" w:after="283"/>
              <w:jc w:val="left"/>
              <w:rPr/>
            </w:pPr>
            <w:r>
              <w:rPr/>
              <w:t> </w:t>
            </w:r>
          </w:p>
        </w:tc>
        <w:tc>
          <w:tcPr>
            <w:tcW w:w="756" w:type="dxa"/>
            <w:tcBorders/>
            <w:shd w:fill="auto" w:val="clear"/>
            <w:vAlign w:val="bottom"/>
          </w:tcPr>
          <w:p>
            <w:pPr>
              <w:pStyle w:val="TableContents"/>
              <w:spacing w:before="0" w:after="0"/>
              <w:jc w:val="right"/>
              <w:rPr/>
            </w:pPr>
            <w:r>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94" w:type="dxa"/>
            <w:tcBorders/>
            <w:shd w:fill="auto" w:val="clear"/>
            <w:vAlign w:val="bottom"/>
          </w:tcPr>
          <w:p>
            <w:pPr>
              <w:pStyle w:val="TableContents"/>
              <w:spacing w:before="0" w:after="283"/>
              <w:jc w:val="left"/>
              <w:rPr/>
            </w:pPr>
            <w:r>
              <w:rPr/>
              <w:t> </w:t>
            </w:r>
          </w:p>
        </w:tc>
        <w:tc>
          <w:tcPr>
            <w:tcW w:w="756" w:type="dxa"/>
            <w:tcBorders/>
            <w:shd w:fill="auto" w:val="clear"/>
            <w:vAlign w:val="bottom"/>
          </w:tcPr>
          <w:p>
            <w:pPr>
              <w:pStyle w:val="TableContents"/>
              <w:spacing w:before="0" w:after="0"/>
              <w:jc w:val="right"/>
              <w:rPr/>
            </w:pPr>
            <w:r>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94" w:type="dxa"/>
            <w:tcBorders/>
            <w:shd w:fill="auto" w:val="clear"/>
            <w:vAlign w:val="bottom"/>
          </w:tcPr>
          <w:p>
            <w:pPr>
              <w:pStyle w:val="TableContents"/>
              <w:spacing w:before="0" w:after="283"/>
              <w:jc w:val="left"/>
              <w:rPr/>
            </w:pPr>
            <w:r>
              <w:rPr/>
              <w:t> </w:t>
            </w:r>
          </w:p>
        </w:tc>
        <w:tc>
          <w:tcPr>
            <w:tcW w:w="756" w:type="dxa"/>
            <w:tcBorders/>
            <w:shd w:fill="auto" w:val="clear"/>
            <w:vAlign w:val="bottom"/>
          </w:tcPr>
          <w:p>
            <w:pPr>
              <w:pStyle w:val="TableContents"/>
              <w:spacing w:before="0" w:after="0"/>
              <w:jc w:val="right"/>
              <w:rPr/>
            </w:pPr>
            <w:r>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45" w:type="dxa"/>
            <w:tcBorders/>
            <w:shd w:fill="auto" w:val="clear"/>
            <w:vAlign w:val="bottom"/>
          </w:tcPr>
          <w:p>
            <w:pPr>
              <w:pStyle w:val="TableContents"/>
              <w:spacing w:before="0" w:after="283"/>
              <w:jc w:val="left"/>
              <w:rPr/>
            </w:pPr>
            <w:r>
              <w:rPr/>
              <w:t> </w:t>
            </w:r>
          </w:p>
        </w:tc>
        <w:tc>
          <w:tcPr>
            <w:tcW w:w="660" w:type="dxa"/>
            <w:tcBorders/>
            <w:shd w:fill="auto" w:val="clear"/>
            <w:vAlign w:val="bottom"/>
          </w:tcPr>
          <w:p>
            <w:pPr>
              <w:pStyle w:val="TableContents"/>
              <w:spacing w:before="0" w:after="0"/>
              <w:jc w:val="right"/>
              <w:rPr/>
            </w:pPr>
            <w:r>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94" w:type="dxa"/>
            <w:tcBorders/>
            <w:shd w:fill="auto" w:val="clear"/>
            <w:vAlign w:val="bottom"/>
          </w:tcPr>
          <w:p>
            <w:pPr>
              <w:pStyle w:val="TableContents"/>
              <w:spacing w:before="0" w:after="283"/>
              <w:jc w:val="left"/>
              <w:rPr/>
            </w:pPr>
            <w:r>
              <w:rPr/>
              <w:t> </w:t>
            </w:r>
          </w:p>
        </w:tc>
        <w:tc>
          <w:tcPr>
            <w:tcW w:w="756" w:type="dxa"/>
            <w:tcBorders/>
            <w:shd w:fill="auto" w:val="clear"/>
            <w:vAlign w:val="bottom"/>
          </w:tcPr>
          <w:p>
            <w:pPr>
              <w:pStyle w:val="TableContents"/>
              <w:spacing w:before="0" w:after="0"/>
              <w:jc w:val="right"/>
              <w:rPr/>
            </w:pPr>
            <w:r>
              <w:rPr/>
              <w:t>—</w:t>
            </w:r>
          </w:p>
        </w:tc>
        <w:tc>
          <w:tcPr>
            <w:tcW w:w="75" w:type="dxa"/>
            <w:tcBorders/>
            <w:shd w:fill="auto" w:val="clear"/>
            <w:vAlign w:val="bottom"/>
          </w:tcPr>
          <w:p>
            <w:pPr>
              <w:pStyle w:val="TableContents"/>
              <w:spacing w:before="0" w:after="283"/>
              <w:jc w:val="left"/>
              <w:rPr/>
            </w:pPr>
            <w:r>
              <w:rPr/>
              <w:t> </w:t>
            </w:r>
          </w:p>
        </w:tc>
      </w:tr>
      <w:tr>
        <w:trPr/>
        <w:tc>
          <w:tcPr>
            <w:tcW w:w="2090" w:type="dxa"/>
            <w:tcBorders/>
            <w:shd w:fill="CCEEFF" w:val="clear"/>
            <w:vAlign w:val="bottom"/>
          </w:tcPr>
          <w:p>
            <w:pPr>
              <w:pStyle w:val="TableContents"/>
              <w:spacing w:before="0" w:after="0"/>
              <w:ind w:left="288" w:right="0" w:hanging="144"/>
              <w:jc w:val="left"/>
              <w:rPr>
                <w:rFonts w:ascii="Times New Roman" w:hAnsi="Times New Roman"/>
                <w:sz w:val="20"/>
              </w:rPr>
            </w:pPr>
            <w:r>
              <w:rPr>
                <w:rFonts w:ascii="Times New Roman" w:hAnsi="Times New Roman"/>
                <w:sz w:val="20"/>
              </w:rPr>
              <w:t>Other consumer</w:t>
            </w:r>
          </w:p>
        </w:tc>
        <w:tc>
          <w:tcPr>
            <w:tcW w:w="60" w:type="dxa"/>
            <w:tcBorders/>
            <w:shd w:fill="CCEEFF" w:val="clear"/>
            <w:vAlign w:val="bottom"/>
          </w:tcPr>
          <w:p>
            <w:pPr>
              <w:pStyle w:val="TableContents"/>
              <w:spacing w:before="0" w:after="283"/>
              <w:jc w:val="right"/>
              <w:rPr/>
            </w:pPr>
            <w:r>
              <w:rPr/>
              <w:t> </w:t>
            </w:r>
          </w:p>
        </w:tc>
        <w:tc>
          <w:tcPr>
            <w:tcW w:w="213" w:type="dxa"/>
            <w:tcBorders/>
            <w:shd w:fill="CCEEFF" w:val="clear"/>
            <w:vAlign w:val="bottom"/>
          </w:tcPr>
          <w:p>
            <w:pPr>
              <w:pStyle w:val="TableContents"/>
              <w:spacing w:before="0" w:after="283"/>
              <w:jc w:val="left"/>
              <w:rPr/>
            </w:pPr>
            <w:r>
              <w:rPr/>
              <w:t> </w:t>
            </w:r>
          </w:p>
        </w:tc>
        <w:tc>
          <w:tcPr>
            <w:tcW w:w="827"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94" w:type="dxa"/>
            <w:tcBorders/>
            <w:shd w:fill="CCEEFF" w:val="clear"/>
            <w:vAlign w:val="bottom"/>
          </w:tcPr>
          <w:p>
            <w:pPr>
              <w:pStyle w:val="TableContents"/>
              <w:spacing w:before="0" w:after="283"/>
              <w:jc w:val="left"/>
              <w:rPr/>
            </w:pPr>
            <w:r>
              <w:rPr/>
              <w:t> </w:t>
            </w:r>
          </w:p>
        </w:tc>
        <w:tc>
          <w:tcPr>
            <w:tcW w:w="756"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94" w:type="dxa"/>
            <w:tcBorders/>
            <w:shd w:fill="CCEEFF" w:val="clear"/>
            <w:vAlign w:val="bottom"/>
          </w:tcPr>
          <w:p>
            <w:pPr>
              <w:pStyle w:val="TableContents"/>
              <w:spacing w:before="0" w:after="283"/>
              <w:jc w:val="left"/>
              <w:rPr/>
            </w:pPr>
            <w:r>
              <w:rPr/>
              <w:t> </w:t>
            </w:r>
          </w:p>
        </w:tc>
        <w:tc>
          <w:tcPr>
            <w:tcW w:w="756"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94" w:type="dxa"/>
            <w:tcBorders/>
            <w:shd w:fill="CCEEFF" w:val="clear"/>
            <w:vAlign w:val="bottom"/>
          </w:tcPr>
          <w:p>
            <w:pPr>
              <w:pStyle w:val="TableContents"/>
              <w:spacing w:before="0" w:after="283"/>
              <w:jc w:val="left"/>
              <w:rPr/>
            </w:pPr>
            <w:r>
              <w:rPr/>
              <w:t> </w:t>
            </w:r>
          </w:p>
        </w:tc>
        <w:tc>
          <w:tcPr>
            <w:tcW w:w="756"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45" w:type="dxa"/>
            <w:tcBorders/>
            <w:shd w:fill="CCEEFF" w:val="clear"/>
            <w:vAlign w:val="bottom"/>
          </w:tcPr>
          <w:p>
            <w:pPr>
              <w:pStyle w:val="TableContents"/>
              <w:spacing w:before="0" w:after="283"/>
              <w:jc w:val="left"/>
              <w:rPr/>
            </w:pPr>
            <w:r>
              <w:rPr/>
              <w:t> </w:t>
            </w:r>
          </w:p>
        </w:tc>
        <w:tc>
          <w:tcPr>
            <w:tcW w:w="660"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94" w:type="dxa"/>
            <w:tcBorders/>
            <w:shd w:fill="CCEEFF" w:val="clear"/>
            <w:vAlign w:val="bottom"/>
          </w:tcPr>
          <w:p>
            <w:pPr>
              <w:pStyle w:val="TableContents"/>
              <w:spacing w:before="0" w:after="283"/>
              <w:jc w:val="left"/>
              <w:rPr/>
            </w:pPr>
            <w:r>
              <w:rPr/>
              <w:t> </w:t>
            </w:r>
          </w:p>
        </w:tc>
        <w:tc>
          <w:tcPr>
            <w:tcW w:w="756" w:type="dxa"/>
            <w:tcBorders/>
            <w:shd w:fill="CCEEFF" w:val="clear"/>
            <w:vAlign w:val="bottom"/>
          </w:tcPr>
          <w:p>
            <w:pPr>
              <w:pStyle w:val="TableContents"/>
              <w:spacing w:before="0" w:after="0"/>
              <w:jc w:val="right"/>
              <w:rPr/>
            </w:pPr>
            <w:r>
              <w:rPr/>
              <w:t>—</w:t>
            </w:r>
          </w:p>
        </w:tc>
        <w:tc>
          <w:tcPr>
            <w:tcW w:w="75" w:type="dxa"/>
            <w:tcBorders/>
            <w:shd w:fill="CCEEFF" w:val="clear"/>
            <w:vAlign w:val="bottom"/>
          </w:tcPr>
          <w:p>
            <w:pPr>
              <w:pStyle w:val="TableContents"/>
              <w:spacing w:before="0" w:after="283"/>
              <w:jc w:val="left"/>
              <w:rPr/>
            </w:pPr>
            <w:r>
              <w:rPr/>
              <w:t> </w:t>
            </w:r>
          </w:p>
        </w:tc>
      </w:tr>
      <w:tr>
        <w:trPr/>
        <w:tc>
          <w:tcPr>
            <w:tcW w:w="2090" w:type="dxa"/>
            <w:tcBorders/>
            <w:shd w:fill="auto"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Construction</w:t>
            </w:r>
          </w:p>
        </w:tc>
        <w:tc>
          <w:tcPr>
            <w:tcW w:w="60" w:type="dxa"/>
            <w:tcBorders/>
            <w:shd w:fill="auto" w:val="clear"/>
            <w:vAlign w:val="bottom"/>
          </w:tcPr>
          <w:p>
            <w:pPr>
              <w:pStyle w:val="TableContents"/>
              <w:spacing w:before="0" w:after="283"/>
              <w:jc w:val="right"/>
              <w:rPr/>
            </w:pPr>
            <w:r>
              <w:rPr/>
              <w:t> </w:t>
            </w:r>
          </w:p>
        </w:tc>
        <w:tc>
          <w:tcPr>
            <w:tcW w:w="213"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27"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1,014</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94"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756"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686</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94"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756"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328</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94"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756"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1,014</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4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6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245</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94"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756"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507</w:t>
            </w:r>
          </w:p>
        </w:tc>
        <w:tc>
          <w:tcPr>
            <w:tcW w:w="75" w:type="dxa"/>
            <w:tcBorders/>
            <w:shd w:fill="auto" w:val="clear"/>
            <w:vAlign w:val="bottom"/>
          </w:tcPr>
          <w:p>
            <w:pPr>
              <w:pStyle w:val="TableContents"/>
              <w:spacing w:before="0" w:after="283"/>
              <w:jc w:val="left"/>
              <w:rPr/>
            </w:pPr>
            <w:r>
              <w:rPr/>
              <w:t> </w:t>
            </w:r>
          </w:p>
        </w:tc>
      </w:tr>
      <w:tr>
        <w:trPr/>
        <w:tc>
          <w:tcPr>
            <w:tcW w:w="2090" w:type="dxa"/>
            <w:tcBorders/>
            <w:shd w:fill="CCEE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r>
          </w:p>
        </w:tc>
        <w:tc>
          <w:tcPr>
            <w:tcW w:w="60" w:type="dxa"/>
            <w:tcBorders/>
            <w:shd w:fill="CCEEFF" w:val="clear"/>
            <w:vAlign w:val="bottom"/>
          </w:tcPr>
          <w:p>
            <w:pPr>
              <w:pStyle w:val="TableContents"/>
              <w:spacing w:before="0" w:after="283"/>
              <w:jc w:val="right"/>
              <w:rPr/>
            </w:pPr>
            <w:r>
              <w:rPr/>
              <w:t> </w:t>
            </w:r>
          </w:p>
        </w:tc>
        <w:tc>
          <w:tcPr>
            <w:tcW w:w="213"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827"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5,106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94"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756"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1,971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94"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756"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3,135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94"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756"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5,106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45"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60"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285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94"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756"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6,439</w:t>
            </w:r>
          </w:p>
        </w:tc>
        <w:tc>
          <w:tcPr>
            <w:tcW w:w="75" w:type="dxa"/>
            <w:tcBorders/>
            <w:shd w:fill="CCEEFF" w:val="clear"/>
            <w:vAlign w:val="bottom"/>
          </w:tcPr>
          <w:p>
            <w:pPr>
              <w:pStyle w:val="TableContents"/>
              <w:spacing w:before="0" w:after="283"/>
              <w:jc w:val="left"/>
              <w:rPr/>
            </w:pPr>
            <w:r>
              <w:rPr/>
              <w:t> </w:t>
            </w:r>
          </w:p>
        </w:tc>
      </w:tr>
    </w:tbl>
    <w:p>
      <w:pPr>
        <w:pStyle w:val="TextBody"/>
        <w:spacing w:before="0" w:after="0"/>
        <w:jc w:val="both"/>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 xml:space="preserve">All impaired loans $250 thousand and greater were specifically evaluated for impairment </w:t>
      </w:r>
      <w:r>
        <w:rPr>
          <w:rFonts w:ascii="Times New Roman;Times;serif" w:hAnsi="Times New Roman;Times;serif"/>
          <w:color w:val="000000"/>
          <w:sz w:val="20"/>
        </w:rPr>
        <w:t>at December 31, 2022</w:t>
      </w:r>
      <w:r>
        <w:rPr>
          <w:rFonts w:ascii="Times New Roman" w:hAnsi="Times New Roman"/>
          <w:color w:val="000000"/>
          <w:sz w:val="20"/>
        </w:rPr>
        <w:t>. Interest income recognized using a cash-basis method on impaired loans for the three months ended March 31, 2022 was not significant. Additional funds committed to be advanced on impaired loans are not significant.</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15</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b w:val="false"/>
            <w:i/>
            <w:color w:val="000000"/>
            <w:sz w:val="16"/>
          </w:rPr>
          <w:t>Table of Contents</w:t>
        </w:r>
      </w:hyperlink>
    </w:p>
    <w:p>
      <w:pPr>
        <w:pStyle w:val="TextBody"/>
        <w:spacing w:before="0" w:after="0"/>
        <w:jc w:val="both"/>
        <w:rPr>
          <w:rFonts w:ascii="Times New Roman" w:hAnsi="Times New Roman"/>
          <w:color w:val="000000"/>
          <w:sz w:val="20"/>
        </w:rPr>
      </w:pPr>
      <w:r>
        <w:rPr>
          <w:rFonts w:ascii="Times New Roman" w:hAnsi="Times New Roman"/>
          <w:color w:val="000000"/>
          <w:sz w:val="20"/>
        </w:rPr>
        <w:t>The table below provides an age analysis on accruing past-due loans and nonaccrual loans at the dates indicated (dollars in thousands):</w:t>
      </w:r>
    </w:p>
    <w:p>
      <w:pPr>
        <w:pStyle w:val="TextBody"/>
        <w:spacing w:before="0" w:after="0"/>
        <w:jc w:val="both"/>
        <w:rPr>
          <w:rFonts w:ascii="Times New Roman" w:hAnsi="Times New Roman"/>
          <w:sz w:val="20"/>
        </w:rPr>
      </w:pPr>
      <w:r>
        <w:rPr>
          <w:rFonts w:ascii="Times New Roman" w:hAnsi="Times New Roman"/>
          <w:sz w:val="20"/>
        </w:rPr>
      </w:r>
    </w:p>
    <w:tbl>
      <w:tblPr>
        <w:tblW w:w="6592" w:type="dxa"/>
        <w:jc w:val="left"/>
        <w:tblInd w:w="0" w:type="dxa"/>
        <w:tblCellMar>
          <w:top w:w="0" w:type="dxa"/>
          <w:left w:w="0" w:type="dxa"/>
          <w:bottom w:w="0" w:type="dxa"/>
          <w:right w:w="0" w:type="dxa"/>
        </w:tblCellMar>
      </w:tblPr>
      <w:tblGrid>
        <w:gridCol w:w="2090"/>
        <w:gridCol w:w="60"/>
        <w:gridCol w:w="206"/>
        <w:gridCol w:w="803"/>
        <w:gridCol w:w="60"/>
        <w:gridCol w:w="60"/>
        <w:gridCol w:w="191"/>
        <w:gridCol w:w="743"/>
        <w:gridCol w:w="60"/>
        <w:gridCol w:w="60"/>
        <w:gridCol w:w="206"/>
        <w:gridCol w:w="804"/>
        <w:gridCol w:w="60"/>
        <w:gridCol w:w="60"/>
        <w:gridCol w:w="215"/>
        <w:gridCol w:w="839"/>
        <w:gridCol w:w="75"/>
      </w:tblGrid>
      <w:tr>
        <w:trPr/>
        <w:tc>
          <w:tcPr>
            <w:tcW w:w="2090" w:type="dxa"/>
            <w:tcBorders/>
            <w:shd w:fill="auto" w:val="clear"/>
            <w:vAlign w:val="bottom"/>
          </w:tcPr>
          <w:p>
            <w:pPr>
              <w:pStyle w:val="TableContents"/>
              <w:spacing w:before="0" w:after="0"/>
              <w:jc w:val="left"/>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1009"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 xml:space="preserve">30-89 Days </w:t>
            </w:r>
          </w:p>
          <w:p>
            <w:pPr>
              <w:pStyle w:val="TableContents"/>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Past Due</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34"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90 Days or</w:t>
            </w:r>
          </w:p>
          <w:p>
            <w:pPr>
              <w:pStyle w:val="TableContents"/>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 xml:space="preserve">More Past </w:t>
            </w:r>
          </w:p>
          <w:p>
            <w:pPr>
              <w:pStyle w:val="TableContents"/>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Due</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01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Nonaccrual</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054"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 xml:space="preserve">Nonaccrual </w:t>
            </w:r>
          </w:p>
          <w:p>
            <w:pPr>
              <w:pStyle w:val="TableContents"/>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 xml:space="preserve">with no </w:t>
            </w:r>
          </w:p>
          <w:p>
            <w:pPr>
              <w:pStyle w:val="TableContents"/>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ACL</w:t>
            </w:r>
          </w:p>
        </w:tc>
        <w:tc>
          <w:tcPr>
            <w:tcW w:w="75" w:type="dxa"/>
            <w:tcBorders/>
            <w:shd w:fill="auto" w:val="clear"/>
            <w:vAlign w:val="bottom"/>
          </w:tcPr>
          <w:p>
            <w:pPr>
              <w:pStyle w:val="TableContents"/>
              <w:spacing w:before="0" w:after="283"/>
              <w:jc w:val="left"/>
              <w:rPr/>
            </w:pPr>
            <w:r>
              <w:rPr/>
              <w:t> </w:t>
            </w:r>
          </w:p>
        </w:tc>
      </w:tr>
      <w:tr>
        <w:trPr/>
        <w:tc>
          <w:tcPr>
            <w:tcW w:w="2090" w:type="dxa"/>
            <w:tcBorders/>
            <w:shd w:fill="auto" w:val="clear"/>
            <w:vAlign w:val="bottom"/>
          </w:tcPr>
          <w:p>
            <w:pPr>
              <w:pStyle w:val="TableContents"/>
              <w:spacing w:before="0" w:after="0"/>
              <w:ind w:left="180" w:right="0" w:hanging="0"/>
              <w:jc w:val="left"/>
              <w:rPr>
                <w:rFonts w:ascii="Times New Roman;Times;serif" w:hAnsi="Times New Roman;Times;serif"/>
                <w:color w:val="000000"/>
                <w:sz w:val="20"/>
                <w:u w:val="single"/>
              </w:rPr>
            </w:pPr>
            <w:r>
              <w:rPr>
                <w:rFonts w:ascii="Times New Roman;Times;serif" w:hAnsi="Times New Roman;Times;serif"/>
                <w:color w:val="000000"/>
                <w:sz w:val="20"/>
                <w:u w:val="single"/>
              </w:rPr>
              <w:t>March 31, 2023</w:t>
            </w:r>
          </w:p>
        </w:tc>
        <w:tc>
          <w:tcPr>
            <w:tcW w:w="60" w:type="dxa"/>
            <w:tcBorders/>
            <w:shd w:fill="auto" w:val="clear"/>
            <w:vAlign w:val="bottom"/>
          </w:tcPr>
          <w:p>
            <w:pPr>
              <w:pStyle w:val="TableContents"/>
              <w:spacing w:before="0" w:after="283"/>
              <w:rPr/>
            </w:pPr>
            <w:r>
              <w:rPr/>
              <w:t> </w:t>
            </w:r>
          </w:p>
        </w:tc>
        <w:tc>
          <w:tcPr>
            <w:tcW w:w="1009"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34"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01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054"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jc w:val="left"/>
              <w:rPr/>
            </w:pPr>
            <w:r>
              <w:rPr/>
              <w:t> </w:t>
            </w:r>
          </w:p>
        </w:tc>
      </w:tr>
      <w:tr>
        <w:trPr/>
        <w:tc>
          <w:tcPr>
            <w:tcW w:w="2090" w:type="dxa"/>
            <w:tcBorders/>
            <w:shd w:fill="CCEEFF"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Commercial real estate</w:t>
            </w:r>
          </w:p>
        </w:tc>
        <w:tc>
          <w:tcPr>
            <w:tcW w:w="60" w:type="dxa"/>
            <w:tcBorders/>
            <w:shd w:fill="CCEEFF" w:val="clear"/>
            <w:vAlign w:val="bottom"/>
          </w:tcPr>
          <w:p>
            <w:pPr>
              <w:pStyle w:val="TableContents"/>
              <w:spacing w:before="0" w:after="283"/>
              <w:jc w:val="right"/>
              <w:rPr/>
            </w:pPr>
            <w:r>
              <w:rPr/>
              <w:t> </w:t>
            </w:r>
          </w:p>
        </w:tc>
        <w:tc>
          <w:tcPr>
            <w:tcW w:w="206" w:type="dxa"/>
            <w:tcBorders/>
            <w:shd w:fill="CCEEFF"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803" w:type="dxa"/>
            <w:tcBorders/>
            <w:shd w:fill="CCEEFF"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2,236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91" w:type="dxa"/>
            <w:tcBorders/>
            <w:shd w:fill="CCEEFF"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743" w:type="dxa"/>
            <w:tcBorders/>
            <w:shd w:fill="CCEEFF"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19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06" w:type="dxa"/>
            <w:tcBorders/>
            <w:shd w:fill="CCEEFF"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804" w:type="dxa"/>
            <w:tcBorders/>
            <w:shd w:fill="CCEEFF"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79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15" w:type="dxa"/>
            <w:tcBorders/>
            <w:shd w:fill="CCEEFF"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839" w:type="dxa"/>
            <w:tcBorders/>
            <w:shd w:fill="CCEEFF"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79</w:t>
            </w:r>
          </w:p>
        </w:tc>
        <w:tc>
          <w:tcPr>
            <w:tcW w:w="75" w:type="dxa"/>
            <w:tcBorders/>
            <w:shd w:fill="CCEEFF" w:val="clear"/>
            <w:vAlign w:val="bottom"/>
          </w:tcPr>
          <w:p>
            <w:pPr>
              <w:pStyle w:val="TableContents"/>
              <w:spacing w:before="0" w:after="283"/>
              <w:jc w:val="left"/>
              <w:rPr/>
            </w:pPr>
            <w:r>
              <w:rPr/>
              <w:t> </w:t>
            </w:r>
          </w:p>
        </w:tc>
      </w:tr>
      <w:tr>
        <w:trPr/>
        <w:tc>
          <w:tcPr>
            <w:tcW w:w="2090" w:type="dxa"/>
            <w:tcBorders/>
            <w:shd w:fill="auto"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Commercial - specialized</w:t>
            </w:r>
          </w:p>
        </w:tc>
        <w:tc>
          <w:tcPr>
            <w:tcW w:w="60" w:type="dxa"/>
            <w:tcBorders/>
            <w:shd w:fill="auto" w:val="clear"/>
            <w:vAlign w:val="bottom"/>
          </w:tcPr>
          <w:p>
            <w:pPr>
              <w:pStyle w:val="TableContents"/>
              <w:spacing w:before="0" w:after="283"/>
              <w:jc w:val="right"/>
              <w:rPr/>
            </w:pPr>
            <w:r>
              <w:rPr/>
              <w:t> </w:t>
            </w:r>
          </w:p>
        </w:tc>
        <w:tc>
          <w:tcPr>
            <w:tcW w:w="206" w:type="dxa"/>
            <w:tcBorders/>
            <w:shd w:fill="auto" w:val="clear"/>
            <w:vAlign w:val="bottom"/>
          </w:tcPr>
          <w:p>
            <w:pPr>
              <w:pStyle w:val="TableContents"/>
              <w:spacing w:before="0" w:after="283"/>
              <w:jc w:val="left"/>
              <w:rPr/>
            </w:pPr>
            <w:r>
              <w:rPr/>
              <w:t> </w:t>
            </w:r>
          </w:p>
        </w:tc>
        <w:tc>
          <w:tcPr>
            <w:tcW w:w="803" w:type="dxa"/>
            <w:tcBorders/>
            <w:shd w:fill="auto"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1,042</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91" w:type="dxa"/>
            <w:tcBorders/>
            <w:shd w:fill="auto" w:val="clear"/>
            <w:vAlign w:val="bottom"/>
          </w:tcPr>
          <w:p>
            <w:pPr>
              <w:pStyle w:val="TableContents"/>
              <w:spacing w:before="0" w:after="283"/>
              <w:jc w:val="left"/>
              <w:rPr/>
            </w:pPr>
            <w:r>
              <w:rPr/>
              <w:t> </w:t>
            </w:r>
          </w:p>
        </w:tc>
        <w:tc>
          <w:tcPr>
            <w:tcW w:w="743" w:type="dxa"/>
            <w:tcBorders/>
            <w:shd w:fill="auto"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13</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06" w:type="dxa"/>
            <w:tcBorders/>
            <w:shd w:fill="auto" w:val="clear"/>
            <w:vAlign w:val="bottom"/>
          </w:tcPr>
          <w:p>
            <w:pPr>
              <w:pStyle w:val="TableContents"/>
              <w:spacing w:before="0" w:after="283"/>
              <w:jc w:val="left"/>
              <w:rPr/>
            </w:pPr>
            <w:r>
              <w:rPr/>
              <w:t> </w:t>
            </w:r>
          </w:p>
        </w:tc>
        <w:tc>
          <w:tcPr>
            <w:tcW w:w="804" w:type="dxa"/>
            <w:tcBorders/>
            <w:shd w:fill="auto"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36</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15" w:type="dxa"/>
            <w:tcBorders/>
            <w:shd w:fill="auto" w:val="clear"/>
            <w:vAlign w:val="bottom"/>
          </w:tcPr>
          <w:p>
            <w:pPr>
              <w:pStyle w:val="TableContents"/>
              <w:spacing w:before="0" w:after="283"/>
              <w:jc w:val="left"/>
              <w:rPr/>
            </w:pPr>
            <w:r>
              <w:rPr/>
              <w:t> </w:t>
            </w:r>
          </w:p>
        </w:tc>
        <w:tc>
          <w:tcPr>
            <w:tcW w:w="839" w:type="dxa"/>
            <w:tcBorders/>
            <w:shd w:fill="auto" w:val="clear"/>
            <w:vAlign w:val="bottom"/>
          </w:tcPr>
          <w:p>
            <w:pPr>
              <w:pStyle w:val="TableContents"/>
              <w:spacing w:before="0" w:after="0"/>
              <w:jc w:val="right"/>
              <w:rPr>
                <w:color w:val="000000"/>
              </w:rPr>
            </w:pPr>
            <w:r>
              <w:rPr>
                <w:color w:val="000000"/>
              </w:rPr>
              <w:t>—</w:t>
            </w:r>
          </w:p>
        </w:tc>
        <w:tc>
          <w:tcPr>
            <w:tcW w:w="75" w:type="dxa"/>
            <w:tcBorders/>
            <w:shd w:fill="auto" w:val="clear"/>
            <w:vAlign w:val="bottom"/>
          </w:tcPr>
          <w:p>
            <w:pPr>
              <w:pStyle w:val="TableContents"/>
              <w:spacing w:before="0" w:after="283"/>
              <w:jc w:val="left"/>
              <w:rPr/>
            </w:pPr>
            <w:r>
              <w:rPr/>
              <w:t> </w:t>
            </w:r>
          </w:p>
        </w:tc>
      </w:tr>
      <w:tr>
        <w:trPr/>
        <w:tc>
          <w:tcPr>
            <w:tcW w:w="2090" w:type="dxa"/>
            <w:tcBorders/>
            <w:shd w:fill="CCEEFF"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Commercial - general</w:t>
            </w:r>
          </w:p>
        </w:tc>
        <w:tc>
          <w:tcPr>
            <w:tcW w:w="60" w:type="dxa"/>
            <w:tcBorders/>
            <w:shd w:fill="CCEEFF" w:val="clear"/>
            <w:vAlign w:val="bottom"/>
          </w:tcPr>
          <w:p>
            <w:pPr>
              <w:pStyle w:val="TableContents"/>
              <w:spacing w:before="0" w:after="283"/>
              <w:jc w:val="right"/>
              <w:rPr/>
            </w:pPr>
            <w:r>
              <w:rPr/>
              <w:t> </w:t>
            </w:r>
          </w:p>
        </w:tc>
        <w:tc>
          <w:tcPr>
            <w:tcW w:w="206" w:type="dxa"/>
            <w:tcBorders/>
            <w:shd w:fill="CCEEFF" w:val="clear"/>
            <w:vAlign w:val="bottom"/>
          </w:tcPr>
          <w:p>
            <w:pPr>
              <w:pStyle w:val="TableContents"/>
              <w:spacing w:before="0" w:after="283"/>
              <w:jc w:val="left"/>
              <w:rPr/>
            </w:pPr>
            <w:r>
              <w:rPr/>
              <w:t> </w:t>
            </w:r>
          </w:p>
        </w:tc>
        <w:tc>
          <w:tcPr>
            <w:tcW w:w="803" w:type="dxa"/>
            <w:tcBorders/>
            <w:shd w:fill="CCEEFF"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753</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91" w:type="dxa"/>
            <w:tcBorders/>
            <w:shd w:fill="CCEEFF" w:val="clear"/>
            <w:vAlign w:val="bottom"/>
          </w:tcPr>
          <w:p>
            <w:pPr>
              <w:pStyle w:val="TableContents"/>
              <w:spacing w:before="0" w:after="283"/>
              <w:jc w:val="left"/>
              <w:rPr/>
            </w:pPr>
            <w:r>
              <w:rPr/>
              <w:t> </w:t>
            </w:r>
          </w:p>
        </w:tc>
        <w:tc>
          <w:tcPr>
            <w:tcW w:w="743" w:type="dxa"/>
            <w:tcBorders/>
            <w:shd w:fill="CCEEFF"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74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06" w:type="dxa"/>
            <w:tcBorders/>
            <w:shd w:fill="CCEEFF" w:val="clear"/>
            <w:vAlign w:val="bottom"/>
          </w:tcPr>
          <w:p>
            <w:pPr>
              <w:pStyle w:val="TableContents"/>
              <w:spacing w:before="0" w:after="283"/>
              <w:jc w:val="left"/>
              <w:rPr/>
            </w:pPr>
            <w:r>
              <w:rPr/>
              <w:t> </w:t>
            </w:r>
          </w:p>
        </w:tc>
        <w:tc>
          <w:tcPr>
            <w:tcW w:w="804" w:type="dxa"/>
            <w:tcBorders/>
            <w:shd w:fill="CCEEFF"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3,671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15" w:type="dxa"/>
            <w:tcBorders/>
            <w:shd w:fill="CCEEFF" w:val="clear"/>
            <w:vAlign w:val="bottom"/>
          </w:tcPr>
          <w:p>
            <w:pPr>
              <w:pStyle w:val="TableContents"/>
              <w:spacing w:before="0" w:after="283"/>
              <w:jc w:val="left"/>
              <w:rPr/>
            </w:pPr>
            <w:r>
              <w:rPr/>
              <w:t> </w:t>
            </w:r>
          </w:p>
        </w:tc>
        <w:tc>
          <w:tcPr>
            <w:tcW w:w="839" w:type="dxa"/>
            <w:tcBorders/>
            <w:shd w:fill="CCEEFF"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3,141</w:t>
            </w:r>
          </w:p>
        </w:tc>
        <w:tc>
          <w:tcPr>
            <w:tcW w:w="75" w:type="dxa"/>
            <w:tcBorders/>
            <w:shd w:fill="CCEEFF" w:val="clear"/>
            <w:vAlign w:val="bottom"/>
          </w:tcPr>
          <w:p>
            <w:pPr>
              <w:pStyle w:val="TableContents"/>
              <w:spacing w:before="0" w:after="283"/>
              <w:jc w:val="left"/>
              <w:rPr/>
            </w:pPr>
            <w:r>
              <w:rPr/>
              <w:t> </w:t>
            </w:r>
          </w:p>
        </w:tc>
      </w:tr>
      <w:tr>
        <w:trPr/>
        <w:tc>
          <w:tcPr>
            <w:tcW w:w="2090" w:type="dxa"/>
            <w:tcBorders/>
            <w:shd w:fill="auto"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Consumer:</w:t>
            </w:r>
          </w:p>
        </w:tc>
        <w:tc>
          <w:tcPr>
            <w:tcW w:w="60" w:type="dxa"/>
            <w:tcBorders/>
            <w:shd w:fill="auto" w:val="clear"/>
            <w:vAlign w:val="bottom"/>
          </w:tcPr>
          <w:p>
            <w:pPr>
              <w:pStyle w:val="TableContents"/>
              <w:spacing w:before="0" w:after="283"/>
              <w:jc w:val="right"/>
              <w:rPr/>
            </w:pPr>
            <w:r>
              <w:rPr/>
              <w:t> </w:t>
            </w:r>
          </w:p>
        </w:tc>
        <w:tc>
          <w:tcPr>
            <w:tcW w:w="206" w:type="dxa"/>
            <w:tcBorders/>
            <w:shd w:fill="auto" w:val="clear"/>
            <w:vAlign w:val="bottom"/>
          </w:tcPr>
          <w:p>
            <w:pPr>
              <w:pStyle w:val="TableContents"/>
              <w:spacing w:before="0" w:after="283"/>
              <w:jc w:val="left"/>
              <w:rPr/>
            </w:pPr>
            <w:r>
              <w:rPr/>
              <w:t> </w:t>
            </w:r>
          </w:p>
        </w:tc>
        <w:tc>
          <w:tcPr>
            <w:tcW w:w="803"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91" w:type="dxa"/>
            <w:tcBorders/>
            <w:shd w:fill="auto" w:val="clear"/>
            <w:vAlign w:val="bottom"/>
          </w:tcPr>
          <w:p>
            <w:pPr>
              <w:pStyle w:val="TableContents"/>
              <w:spacing w:before="0" w:after="283"/>
              <w:jc w:val="left"/>
              <w:rPr/>
            </w:pPr>
            <w:r>
              <w:rPr/>
              <w:t> </w:t>
            </w:r>
          </w:p>
        </w:tc>
        <w:tc>
          <w:tcPr>
            <w:tcW w:w="743"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06" w:type="dxa"/>
            <w:tcBorders/>
            <w:shd w:fill="auto" w:val="clear"/>
            <w:vAlign w:val="bottom"/>
          </w:tcPr>
          <w:p>
            <w:pPr>
              <w:pStyle w:val="TableContents"/>
              <w:spacing w:before="0" w:after="283"/>
              <w:jc w:val="left"/>
              <w:rPr/>
            </w:pPr>
            <w:r>
              <w:rPr/>
              <w:t> </w:t>
            </w:r>
          </w:p>
        </w:tc>
        <w:tc>
          <w:tcPr>
            <w:tcW w:w="80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15" w:type="dxa"/>
            <w:tcBorders/>
            <w:shd w:fill="auto" w:val="clear"/>
            <w:vAlign w:val="bottom"/>
          </w:tcPr>
          <w:p>
            <w:pPr>
              <w:pStyle w:val="TableContents"/>
              <w:spacing w:before="0" w:after="283"/>
              <w:jc w:val="left"/>
              <w:rPr/>
            </w:pPr>
            <w:r>
              <w:rPr/>
              <w:t> </w:t>
            </w:r>
          </w:p>
        </w:tc>
        <w:tc>
          <w:tcPr>
            <w:tcW w:w="839" w:type="dxa"/>
            <w:tcBorders/>
            <w:shd w:fill="auto" w:val="clear"/>
            <w:vAlign w:val="bottom"/>
          </w:tcPr>
          <w:p>
            <w:pPr>
              <w:pStyle w:val="TableContents"/>
              <w:spacing w:before="0" w:after="283"/>
              <w:jc w:val="right"/>
              <w:rPr/>
            </w:pPr>
            <w:r>
              <w:rPr/>
              <w:t> </w:t>
            </w:r>
          </w:p>
        </w:tc>
        <w:tc>
          <w:tcPr>
            <w:tcW w:w="75" w:type="dxa"/>
            <w:tcBorders/>
            <w:shd w:fill="auto" w:val="clear"/>
            <w:vAlign w:val="bottom"/>
          </w:tcPr>
          <w:p>
            <w:pPr>
              <w:pStyle w:val="TableContents"/>
              <w:spacing w:before="0" w:after="283"/>
              <w:jc w:val="left"/>
              <w:rPr/>
            </w:pPr>
            <w:r>
              <w:rPr/>
              <w:t> </w:t>
            </w:r>
          </w:p>
        </w:tc>
      </w:tr>
      <w:tr>
        <w:trPr/>
        <w:tc>
          <w:tcPr>
            <w:tcW w:w="2090" w:type="dxa"/>
            <w:tcBorders/>
            <w:shd w:fill="CCEEFF" w:val="clear"/>
            <w:vAlign w:val="bottom"/>
          </w:tcPr>
          <w:p>
            <w:pPr>
              <w:pStyle w:val="TableContents"/>
              <w:spacing w:before="0" w:after="0"/>
              <w:ind w:left="180" w:right="0" w:hanging="0"/>
              <w:jc w:val="left"/>
              <w:rPr>
                <w:rFonts w:ascii="Times New Roman;Times;serif" w:hAnsi="Times New Roman;Times;serif"/>
                <w:color w:val="000000"/>
                <w:sz w:val="20"/>
              </w:rPr>
            </w:pPr>
            <w:r>
              <w:rPr>
                <w:rFonts w:ascii="Times New Roman;Times;serif" w:hAnsi="Times New Roman;Times;serif"/>
                <w:color w:val="000000"/>
                <w:sz w:val="20"/>
              </w:rPr>
              <w:t>1-4 Family residential</w:t>
            </w:r>
          </w:p>
        </w:tc>
        <w:tc>
          <w:tcPr>
            <w:tcW w:w="60" w:type="dxa"/>
            <w:tcBorders/>
            <w:shd w:fill="CCEEFF" w:val="clear"/>
            <w:vAlign w:val="bottom"/>
          </w:tcPr>
          <w:p>
            <w:pPr>
              <w:pStyle w:val="TableContents"/>
              <w:spacing w:before="0" w:after="283"/>
              <w:jc w:val="right"/>
              <w:rPr/>
            </w:pPr>
            <w:r>
              <w:rPr/>
              <w:t> </w:t>
            </w:r>
          </w:p>
        </w:tc>
        <w:tc>
          <w:tcPr>
            <w:tcW w:w="206" w:type="dxa"/>
            <w:tcBorders/>
            <w:shd w:fill="CCEEFF" w:val="clear"/>
            <w:vAlign w:val="bottom"/>
          </w:tcPr>
          <w:p>
            <w:pPr>
              <w:pStyle w:val="TableContents"/>
              <w:spacing w:before="0" w:after="283"/>
              <w:jc w:val="left"/>
              <w:rPr/>
            </w:pPr>
            <w:r>
              <w:rPr/>
              <w:t> </w:t>
            </w:r>
          </w:p>
        </w:tc>
        <w:tc>
          <w:tcPr>
            <w:tcW w:w="803" w:type="dxa"/>
            <w:tcBorders/>
            <w:shd w:fill="CCEEFF"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1,285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91" w:type="dxa"/>
            <w:tcBorders/>
            <w:shd w:fill="CCEEFF" w:val="clear"/>
            <w:vAlign w:val="bottom"/>
          </w:tcPr>
          <w:p>
            <w:pPr>
              <w:pStyle w:val="TableContents"/>
              <w:spacing w:before="0" w:after="283"/>
              <w:jc w:val="left"/>
              <w:rPr/>
            </w:pPr>
            <w:r>
              <w:rPr/>
              <w:t> </w:t>
            </w:r>
          </w:p>
        </w:tc>
        <w:tc>
          <w:tcPr>
            <w:tcW w:w="743" w:type="dxa"/>
            <w:tcBorders/>
            <w:shd w:fill="CCEEFF"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2,011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06" w:type="dxa"/>
            <w:tcBorders/>
            <w:shd w:fill="CCEEFF" w:val="clear"/>
            <w:vAlign w:val="bottom"/>
          </w:tcPr>
          <w:p>
            <w:pPr>
              <w:pStyle w:val="TableContents"/>
              <w:spacing w:before="0" w:after="283"/>
              <w:jc w:val="left"/>
              <w:rPr/>
            </w:pPr>
            <w:r>
              <w:rPr/>
              <w:t> </w:t>
            </w:r>
          </w:p>
        </w:tc>
        <w:tc>
          <w:tcPr>
            <w:tcW w:w="804" w:type="dxa"/>
            <w:tcBorders/>
            <w:shd w:fill="CCEEFF"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1,326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15" w:type="dxa"/>
            <w:tcBorders/>
            <w:shd w:fill="CCEEFF" w:val="clear"/>
            <w:vAlign w:val="bottom"/>
          </w:tcPr>
          <w:p>
            <w:pPr>
              <w:pStyle w:val="TableContents"/>
              <w:spacing w:before="0" w:after="283"/>
              <w:jc w:val="left"/>
              <w:rPr/>
            </w:pPr>
            <w:r>
              <w:rPr/>
              <w:t> </w:t>
            </w:r>
          </w:p>
        </w:tc>
        <w:tc>
          <w:tcPr>
            <w:tcW w:w="839" w:type="dxa"/>
            <w:tcBorders/>
            <w:shd w:fill="CCEEFF" w:val="clear"/>
            <w:vAlign w:val="bottom"/>
          </w:tcPr>
          <w:p>
            <w:pPr>
              <w:pStyle w:val="TableContents"/>
              <w:spacing w:before="0" w:after="0"/>
              <w:jc w:val="right"/>
              <w:rPr>
                <w:color w:val="000000"/>
              </w:rPr>
            </w:pPr>
            <w:r>
              <w:rPr>
                <w:color w:val="000000"/>
              </w:rPr>
              <w:t>—</w:t>
            </w:r>
          </w:p>
        </w:tc>
        <w:tc>
          <w:tcPr>
            <w:tcW w:w="75" w:type="dxa"/>
            <w:tcBorders/>
            <w:shd w:fill="CCEEFF" w:val="clear"/>
            <w:vAlign w:val="bottom"/>
          </w:tcPr>
          <w:p>
            <w:pPr>
              <w:pStyle w:val="TableContents"/>
              <w:spacing w:before="0" w:after="283"/>
              <w:jc w:val="left"/>
              <w:rPr/>
            </w:pPr>
            <w:r>
              <w:rPr/>
              <w:t> </w:t>
            </w:r>
          </w:p>
        </w:tc>
      </w:tr>
      <w:tr>
        <w:trPr/>
        <w:tc>
          <w:tcPr>
            <w:tcW w:w="2090" w:type="dxa"/>
            <w:tcBorders/>
            <w:shd w:fill="auto" w:val="clear"/>
            <w:vAlign w:val="bottom"/>
          </w:tcPr>
          <w:p>
            <w:pPr>
              <w:pStyle w:val="TableContents"/>
              <w:spacing w:before="0" w:after="0"/>
              <w:ind w:left="180" w:right="0" w:hanging="0"/>
              <w:jc w:val="left"/>
              <w:rPr>
                <w:rFonts w:ascii="Times New Roman;Times;serif" w:hAnsi="Times New Roman;Times;serif"/>
                <w:color w:val="000000"/>
                <w:sz w:val="20"/>
              </w:rPr>
            </w:pPr>
            <w:r>
              <w:rPr>
                <w:rFonts w:ascii="Times New Roman;Times;serif" w:hAnsi="Times New Roman;Times;serif"/>
                <w:color w:val="000000"/>
                <w:sz w:val="20"/>
              </w:rPr>
              <w:t>Auto loans</w:t>
            </w:r>
          </w:p>
        </w:tc>
        <w:tc>
          <w:tcPr>
            <w:tcW w:w="60" w:type="dxa"/>
            <w:tcBorders/>
            <w:shd w:fill="auto" w:val="clear"/>
            <w:vAlign w:val="bottom"/>
          </w:tcPr>
          <w:p>
            <w:pPr>
              <w:pStyle w:val="TableContents"/>
              <w:spacing w:before="0" w:after="283"/>
              <w:jc w:val="right"/>
              <w:rPr/>
            </w:pPr>
            <w:r>
              <w:rPr/>
              <w:t> </w:t>
            </w:r>
          </w:p>
        </w:tc>
        <w:tc>
          <w:tcPr>
            <w:tcW w:w="206" w:type="dxa"/>
            <w:tcBorders/>
            <w:shd w:fill="auto" w:val="clear"/>
            <w:vAlign w:val="bottom"/>
          </w:tcPr>
          <w:p>
            <w:pPr>
              <w:pStyle w:val="TableContents"/>
              <w:spacing w:before="0" w:after="283"/>
              <w:jc w:val="left"/>
              <w:rPr/>
            </w:pPr>
            <w:r>
              <w:rPr/>
              <w:t> </w:t>
            </w:r>
          </w:p>
        </w:tc>
        <w:tc>
          <w:tcPr>
            <w:tcW w:w="803" w:type="dxa"/>
            <w:tcBorders/>
            <w:shd w:fill="auto"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335</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91" w:type="dxa"/>
            <w:tcBorders/>
            <w:shd w:fill="auto" w:val="clear"/>
            <w:vAlign w:val="bottom"/>
          </w:tcPr>
          <w:p>
            <w:pPr>
              <w:pStyle w:val="TableContents"/>
              <w:spacing w:before="0" w:after="283"/>
              <w:jc w:val="left"/>
              <w:rPr/>
            </w:pPr>
            <w:r>
              <w:rPr/>
              <w:t> </w:t>
            </w:r>
          </w:p>
        </w:tc>
        <w:tc>
          <w:tcPr>
            <w:tcW w:w="743" w:type="dxa"/>
            <w:tcBorders/>
            <w:shd w:fill="auto"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94</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06" w:type="dxa"/>
            <w:tcBorders/>
            <w:shd w:fill="auto" w:val="clear"/>
            <w:vAlign w:val="bottom"/>
          </w:tcPr>
          <w:p>
            <w:pPr>
              <w:pStyle w:val="TableContents"/>
              <w:spacing w:before="0" w:after="283"/>
              <w:jc w:val="left"/>
              <w:rPr/>
            </w:pPr>
            <w:r>
              <w:rPr/>
              <w:t> </w:t>
            </w:r>
          </w:p>
        </w:tc>
        <w:tc>
          <w:tcPr>
            <w:tcW w:w="804" w:type="dxa"/>
            <w:tcBorders/>
            <w:shd w:fill="auto" w:val="cle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15" w:type="dxa"/>
            <w:tcBorders/>
            <w:shd w:fill="auto" w:val="clear"/>
            <w:vAlign w:val="bottom"/>
          </w:tcPr>
          <w:p>
            <w:pPr>
              <w:pStyle w:val="TableContents"/>
              <w:spacing w:before="0" w:after="283"/>
              <w:jc w:val="left"/>
              <w:rPr/>
            </w:pPr>
            <w:r>
              <w:rPr/>
              <w:t> </w:t>
            </w:r>
          </w:p>
        </w:tc>
        <w:tc>
          <w:tcPr>
            <w:tcW w:w="839" w:type="dxa"/>
            <w:tcBorders/>
            <w:shd w:fill="auto" w:val="clear"/>
            <w:vAlign w:val="bottom"/>
          </w:tcPr>
          <w:p>
            <w:pPr>
              <w:pStyle w:val="TableContents"/>
              <w:spacing w:before="0" w:after="0"/>
              <w:jc w:val="right"/>
              <w:rPr>
                <w:color w:val="000000"/>
              </w:rPr>
            </w:pPr>
            <w:r>
              <w:rPr>
                <w:color w:val="000000"/>
              </w:rPr>
              <w:t>—</w:t>
            </w:r>
          </w:p>
        </w:tc>
        <w:tc>
          <w:tcPr>
            <w:tcW w:w="75" w:type="dxa"/>
            <w:tcBorders/>
            <w:shd w:fill="auto" w:val="clear"/>
            <w:vAlign w:val="bottom"/>
          </w:tcPr>
          <w:p>
            <w:pPr>
              <w:pStyle w:val="TableContents"/>
              <w:spacing w:before="0" w:after="283"/>
              <w:jc w:val="left"/>
              <w:rPr/>
            </w:pPr>
            <w:r>
              <w:rPr/>
              <w:t> </w:t>
            </w:r>
          </w:p>
        </w:tc>
      </w:tr>
      <w:tr>
        <w:trPr/>
        <w:tc>
          <w:tcPr>
            <w:tcW w:w="2090" w:type="dxa"/>
            <w:tcBorders/>
            <w:shd w:fill="CCEEFF" w:val="clear"/>
            <w:vAlign w:val="bottom"/>
          </w:tcPr>
          <w:p>
            <w:pPr>
              <w:pStyle w:val="TableContents"/>
              <w:spacing w:before="0" w:after="0"/>
              <w:ind w:left="180" w:right="0" w:hanging="0"/>
              <w:jc w:val="left"/>
              <w:rPr>
                <w:rFonts w:ascii="Times New Roman;Times;serif" w:hAnsi="Times New Roman;Times;serif"/>
                <w:color w:val="000000"/>
                <w:sz w:val="20"/>
              </w:rPr>
            </w:pPr>
            <w:r>
              <w:rPr>
                <w:rFonts w:ascii="Times New Roman;Times;serif" w:hAnsi="Times New Roman;Times;serif"/>
                <w:color w:val="000000"/>
                <w:sz w:val="20"/>
              </w:rPr>
              <w:t>Other consumer</w:t>
            </w:r>
          </w:p>
        </w:tc>
        <w:tc>
          <w:tcPr>
            <w:tcW w:w="60" w:type="dxa"/>
            <w:tcBorders/>
            <w:shd w:fill="CCEEFF" w:val="clear"/>
            <w:vAlign w:val="bottom"/>
          </w:tcPr>
          <w:p>
            <w:pPr>
              <w:pStyle w:val="TableContents"/>
              <w:spacing w:before="0" w:after="283"/>
              <w:jc w:val="right"/>
              <w:rPr/>
            </w:pPr>
            <w:r>
              <w:rPr/>
              <w:t> </w:t>
            </w:r>
          </w:p>
        </w:tc>
        <w:tc>
          <w:tcPr>
            <w:tcW w:w="206" w:type="dxa"/>
            <w:tcBorders/>
            <w:shd w:fill="CCEEFF" w:val="clear"/>
            <w:vAlign w:val="bottom"/>
          </w:tcPr>
          <w:p>
            <w:pPr>
              <w:pStyle w:val="TableContents"/>
              <w:spacing w:before="0" w:after="283"/>
              <w:jc w:val="left"/>
              <w:rPr/>
            </w:pPr>
            <w:r>
              <w:rPr/>
              <w:t> </w:t>
            </w:r>
          </w:p>
        </w:tc>
        <w:tc>
          <w:tcPr>
            <w:tcW w:w="803" w:type="dxa"/>
            <w:tcBorders/>
            <w:shd w:fill="CCEEFF"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251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91" w:type="dxa"/>
            <w:tcBorders/>
            <w:shd w:fill="CCEEFF" w:val="clear"/>
            <w:vAlign w:val="bottom"/>
          </w:tcPr>
          <w:p>
            <w:pPr>
              <w:pStyle w:val="TableContents"/>
              <w:spacing w:before="0" w:after="283"/>
              <w:jc w:val="left"/>
              <w:rPr/>
            </w:pPr>
            <w:r>
              <w:rPr/>
              <w:t> </w:t>
            </w:r>
          </w:p>
        </w:tc>
        <w:tc>
          <w:tcPr>
            <w:tcW w:w="743" w:type="dxa"/>
            <w:tcBorders/>
            <w:shd w:fill="CCEEFF"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221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06" w:type="dxa"/>
            <w:tcBorders/>
            <w:shd w:fill="CCEEFF" w:val="clear"/>
            <w:vAlign w:val="bottom"/>
          </w:tcPr>
          <w:p>
            <w:pPr>
              <w:pStyle w:val="TableContents"/>
              <w:spacing w:before="0" w:after="283"/>
              <w:jc w:val="left"/>
              <w:rPr/>
            </w:pPr>
            <w:r>
              <w:rPr/>
              <w:t> </w:t>
            </w:r>
          </w:p>
        </w:tc>
        <w:tc>
          <w:tcPr>
            <w:tcW w:w="804" w:type="dxa"/>
            <w:tcBorders/>
            <w:shd w:fill="CCEEFF"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36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15" w:type="dxa"/>
            <w:tcBorders/>
            <w:shd w:fill="CCEEFF" w:val="clear"/>
            <w:vAlign w:val="bottom"/>
          </w:tcPr>
          <w:p>
            <w:pPr>
              <w:pStyle w:val="TableContents"/>
              <w:spacing w:before="0" w:after="283"/>
              <w:jc w:val="left"/>
              <w:rPr/>
            </w:pPr>
            <w:r>
              <w:rPr/>
              <w:t> </w:t>
            </w:r>
          </w:p>
        </w:tc>
        <w:tc>
          <w:tcPr>
            <w:tcW w:w="839" w:type="dxa"/>
            <w:tcBorders/>
            <w:shd w:fill="CCEEFF" w:val="clear"/>
            <w:vAlign w:val="bottom"/>
          </w:tcPr>
          <w:p>
            <w:pPr>
              <w:pStyle w:val="TableContents"/>
              <w:spacing w:before="0" w:after="0"/>
              <w:jc w:val="right"/>
              <w:rPr>
                <w:color w:val="000000"/>
              </w:rPr>
            </w:pPr>
            <w:r>
              <w:rPr>
                <w:color w:val="000000"/>
              </w:rPr>
              <w:t>—</w:t>
            </w:r>
          </w:p>
        </w:tc>
        <w:tc>
          <w:tcPr>
            <w:tcW w:w="75" w:type="dxa"/>
            <w:tcBorders/>
            <w:shd w:fill="CCEEFF" w:val="clear"/>
            <w:vAlign w:val="bottom"/>
          </w:tcPr>
          <w:p>
            <w:pPr>
              <w:pStyle w:val="TableContents"/>
              <w:spacing w:before="0" w:after="283"/>
              <w:jc w:val="left"/>
              <w:rPr/>
            </w:pPr>
            <w:r>
              <w:rPr/>
              <w:t> </w:t>
            </w:r>
          </w:p>
        </w:tc>
      </w:tr>
      <w:tr>
        <w:trPr/>
        <w:tc>
          <w:tcPr>
            <w:tcW w:w="2090" w:type="dxa"/>
            <w:tcBorders/>
            <w:shd w:fill="auto"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Construction</w:t>
            </w:r>
          </w:p>
        </w:tc>
        <w:tc>
          <w:tcPr>
            <w:tcW w:w="60" w:type="dxa"/>
            <w:tcBorders/>
            <w:shd w:fill="auto" w:val="clear"/>
            <w:vAlign w:val="bottom"/>
          </w:tcPr>
          <w:p>
            <w:pPr>
              <w:pStyle w:val="TableContents"/>
              <w:spacing w:before="0" w:after="283"/>
              <w:jc w:val="right"/>
              <w:rPr/>
            </w:pPr>
            <w:r>
              <w:rPr/>
              <w:t> </w:t>
            </w:r>
          </w:p>
        </w:tc>
        <w:tc>
          <w:tcPr>
            <w:tcW w:w="206"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03" w:type="dxa"/>
            <w:tcBorders>
              <w:bottom w:val="single" w:sz="12" w:space="0" w:color="000000"/>
            </w:tcBorders>
            <w:shd w:fill="auto"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1,146</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91"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743"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06"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04"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1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39"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75" w:type="dxa"/>
            <w:tcBorders/>
            <w:shd w:fill="auto" w:val="clear"/>
            <w:vAlign w:val="bottom"/>
          </w:tcPr>
          <w:p>
            <w:pPr>
              <w:pStyle w:val="TableContents"/>
              <w:spacing w:before="0" w:after="283"/>
              <w:jc w:val="left"/>
              <w:rPr/>
            </w:pPr>
            <w:r>
              <w:rPr/>
              <w:t> </w:t>
            </w:r>
          </w:p>
        </w:tc>
      </w:tr>
      <w:tr>
        <w:trPr/>
        <w:tc>
          <w:tcPr>
            <w:tcW w:w="2090" w:type="dxa"/>
            <w:tcBorders/>
            <w:shd w:fill="CCEEFF" w:val="clear"/>
            <w:vAlign w:val="bottom"/>
          </w:tcPr>
          <w:p>
            <w:pPr>
              <w:pStyle w:val="TableContents"/>
              <w:spacing w:before="0" w:after="0"/>
              <w:jc w:val="left"/>
              <w:rPr>
                <w:color w:val="000000"/>
              </w:rPr>
            </w:pPr>
            <w:r>
              <w:rPr>
                <w:color w:val="000000"/>
              </w:rPr>
              <w:t> </w:t>
            </w:r>
          </w:p>
        </w:tc>
        <w:tc>
          <w:tcPr>
            <w:tcW w:w="60" w:type="dxa"/>
            <w:tcBorders/>
            <w:shd w:fill="CCEEFF" w:val="clear"/>
            <w:vAlign w:val="bottom"/>
          </w:tcPr>
          <w:p>
            <w:pPr>
              <w:pStyle w:val="TableContents"/>
              <w:spacing w:before="0" w:after="283"/>
              <w:jc w:val="right"/>
              <w:rPr/>
            </w:pPr>
            <w:r>
              <w:rPr/>
              <w:t> </w:t>
            </w:r>
          </w:p>
        </w:tc>
        <w:tc>
          <w:tcPr>
            <w:tcW w:w="206" w:type="dxa"/>
            <w:tcBorders>
              <w:bottom w:val="double" w:sz="8" w:space="0" w:color="000000"/>
            </w:tcBorders>
            <w:shd w:fill="CCEEFF" w:val="clear"/>
            <w:tcMar>
              <w:bottom w:w="28" w:type="dxa"/>
            </w:tcM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803" w:type="dxa"/>
            <w:tcBorders>
              <w:bottom w:val="double" w:sz="8" w:space="0" w:color="000000"/>
            </w:tcBorders>
            <w:shd w:fill="CCEEFF"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7,048</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91" w:type="dxa"/>
            <w:tcBorders>
              <w:bottom w:val="double" w:sz="8" w:space="0" w:color="000000"/>
            </w:tcBorders>
            <w:shd w:fill="CCEEFF" w:val="clear"/>
            <w:tcMar>
              <w:bottom w:w="28" w:type="dxa"/>
            </w:tcM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743" w:type="dxa"/>
            <w:tcBorders>
              <w:bottom w:val="double" w:sz="8" w:space="0" w:color="000000"/>
            </w:tcBorders>
            <w:shd w:fill="CCEEFF"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2,432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06" w:type="dxa"/>
            <w:tcBorders>
              <w:bottom w:val="double" w:sz="8" w:space="0" w:color="000000"/>
            </w:tcBorders>
            <w:shd w:fill="CCEEFF" w:val="clear"/>
            <w:tcMar>
              <w:bottom w:w="28" w:type="dxa"/>
            </w:tcM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804" w:type="dxa"/>
            <w:tcBorders>
              <w:bottom w:val="double" w:sz="8" w:space="0" w:color="000000"/>
            </w:tcBorders>
            <w:shd w:fill="CCEEFF"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5,148</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15" w:type="dxa"/>
            <w:tcBorders>
              <w:bottom w:val="double" w:sz="8" w:space="0" w:color="000000"/>
            </w:tcBorders>
            <w:shd w:fill="CCEEFF" w:val="clear"/>
            <w:tcMar>
              <w:bottom w:w="28" w:type="dxa"/>
            </w:tcM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839" w:type="dxa"/>
            <w:tcBorders>
              <w:bottom w:val="double" w:sz="8" w:space="0" w:color="000000"/>
            </w:tcBorders>
            <w:shd w:fill="CCEEFF"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3,220</w:t>
            </w:r>
          </w:p>
        </w:tc>
        <w:tc>
          <w:tcPr>
            <w:tcW w:w="75" w:type="dxa"/>
            <w:tcBorders/>
            <w:shd w:fill="CCEEFF" w:val="clear"/>
            <w:vAlign w:val="bottom"/>
          </w:tcPr>
          <w:p>
            <w:pPr>
              <w:pStyle w:val="TableContents"/>
              <w:spacing w:before="0" w:after="283"/>
              <w:jc w:val="left"/>
              <w:rPr/>
            </w:pPr>
            <w:r>
              <w:rPr/>
              <w:t> </w:t>
            </w:r>
          </w:p>
        </w:tc>
      </w:tr>
    </w:tbl>
    <w:p>
      <w:pPr>
        <w:pStyle w:val="TextBody"/>
        <w:spacing w:before="0" w:after="0"/>
        <w:jc w:val="both"/>
        <w:rPr/>
      </w:pPr>
      <w:r>
        <w:rPr/>
      </w:r>
    </w:p>
    <w:tbl>
      <w:tblPr>
        <w:tblW w:w="5703" w:type="dxa"/>
        <w:jc w:val="left"/>
        <w:tblInd w:w="0" w:type="dxa"/>
        <w:tblCellMar>
          <w:top w:w="0" w:type="dxa"/>
          <w:left w:w="0" w:type="dxa"/>
          <w:bottom w:w="0" w:type="dxa"/>
          <w:right w:w="0" w:type="dxa"/>
        </w:tblCellMar>
      </w:tblPr>
      <w:tblGrid>
        <w:gridCol w:w="2090"/>
        <w:gridCol w:w="60"/>
        <w:gridCol w:w="197"/>
        <w:gridCol w:w="767"/>
        <w:gridCol w:w="60"/>
        <w:gridCol w:w="60"/>
        <w:gridCol w:w="259"/>
        <w:gridCol w:w="1005"/>
        <w:gridCol w:w="60"/>
        <w:gridCol w:w="60"/>
        <w:gridCol w:w="206"/>
        <w:gridCol w:w="804"/>
        <w:gridCol w:w="75"/>
      </w:tblGrid>
      <w:tr>
        <w:trPr/>
        <w:tc>
          <w:tcPr>
            <w:tcW w:w="209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64"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30-89 Days</w:t>
            </w:r>
          </w:p>
          <w:p>
            <w:pPr>
              <w:pStyle w:val="TableContents"/>
              <w:spacing w:before="0" w:after="0"/>
              <w:jc w:val="center"/>
              <w:rPr>
                <w:rFonts w:ascii="Times New Roman" w:hAnsi="Times New Roman"/>
                <w:b/>
                <w:sz w:val="20"/>
              </w:rPr>
            </w:pPr>
            <w:r>
              <w:rPr>
                <w:rFonts w:ascii="Times New Roman" w:hAnsi="Times New Roman"/>
                <w:b/>
                <w:sz w:val="20"/>
              </w:rPr>
              <w:t>Past Due</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64"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90 Days or</w:t>
            </w:r>
          </w:p>
          <w:p>
            <w:pPr>
              <w:pStyle w:val="TableContents"/>
              <w:spacing w:before="0" w:after="0"/>
              <w:jc w:val="center"/>
              <w:rPr>
                <w:rFonts w:ascii="Times New Roman" w:hAnsi="Times New Roman"/>
                <w:b/>
                <w:sz w:val="20"/>
              </w:rPr>
            </w:pPr>
            <w:r>
              <w:rPr>
                <w:rFonts w:ascii="Times New Roman" w:hAnsi="Times New Roman"/>
                <w:b/>
                <w:sz w:val="20"/>
              </w:rPr>
              <w:t>More Past Due</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01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Nonaccrual</w:t>
            </w:r>
          </w:p>
        </w:tc>
        <w:tc>
          <w:tcPr>
            <w:tcW w:w="75" w:type="dxa"/>
            <w:tcBorders/>
            <w:shd w:fill="auto" w:val="clear"/>
            <w:vAlign w:val="bottom"/>
          </w:tcPr>
          <w:p>
            <w:pPr>
              <w:pStyle w:val="TableContents"/>
              <w:spacing w:before="0" w:after="283"/>
              <w:jc w:val="left"/>
              <w:rPr/>
            </w:pPr>
            <w:r>
              <w:rPr/>
              <w:t> </w:t>
            </w:r>
          </w:p>
        </w:tc>
      </w:tr>
      <w:tr>
        <w:trPr/>
        <w:tc>
          <w:tcPr>
            <w:tcW w:w="2090" w:type="dxa"/>
            <w:tcBorders/>
            <w:shd w:fill="auto" w:val="clear"/>
            <w:vAlign w:val="bottom"/>
          </w:tcPr>
          <w:p>
            <w:pPr>
              <w:pStyle w:val="TableContents"/>
              <w:spacing w:before="0" w:after="0"/>
              <w:ind w:left="180" w:right="0" w:hanging="0"/>
              <w:jc w:val="left"/>
              <w:rPr>
                <w:rFonts w:ascii="Times New Roman" w:hAnsi="Times New Roman"/>
                <w:sz w:val="20"/>
                <w:u w:val="single"/>
              </w:rPr>
            </w:pPr>
            <w:r>
              <w:rPr>
                <w:rFonts w:ascii="Times New Roman" w:hAnsi="Times New Roman"/>
                <w:sz w:val="20"/>
                <w:u w:val="single"/>
              </w:rPr>
              <w:t>December 31, 2022</w:t>
            </w:r>
          </w:p>
        </w:tc>
        <w:tc>
          <w:tcPr>
            <w:tcW w:w="60" w:type="dxa"/>
            <w:tcBorders/>
            <w:shd w:fill="auto" w:val="clear"/>
            <w:vAlign w:val="bottom"/>
          </w:tcPr>
          <w:p>
            <w:pPr>
              <w:pStyle w:val="TableContents"/>
              <w:spacing w:before="0" w:after="283"/>
              <w:jc w:val="right"/>
              <w:rPr/>
            </w:pPr>
            <w:r>
              <w:rPr/>
              <w:t> </w:t>
            </w:r>
          </w:p>
        </w:tc>
        <w:tc>
          <w:tcPr>
            <w:tcW w:w="964" w:type="dxa"/>
            <w:gridSpan w:val="2"/>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64" w:type="dxa"/>
            <w:gridSpan w:val="2"/>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010" w:type="dxa"/>
            <w:gridSpan w:val="2"/>
            <w:tcBorders/>
            <w:shd w:fill="auto" w:val="clear"/>
            <w:vAlign w:val="bottom"/>
          </w:tcPr>
          <w:p>
            <w:pPr>
              <w:pStyle w:val="TableContents"/>
              <w:spacing w:before="0" w:after="283"/>
              <w:jc w:val="right"/>
              <w:rPr/>
            </w:pPr>
            <w:r>
              <w:rPr/>
              <w:t> </w:t>
            </w:r>
          </w:p>
        </w:tc>
        <w:tc>
          <w:tcPr>
            <w:tcW w:w="75" w:type="dxa"/>
            <w:tcBorders/>
            <w:shd w:fill="auto" w:val="clear"/>
            <w:vAlign w:val="bottom"/>
          </w:tcPr>
          <w:p>
            <w:pPr>
              <w:pStyle w:val="TableContents"/>
              <w:spacing w:before="0" w:after="283"/>
              <w:jc w:val="left"/>
              <w:rPr/>
            </w:pPr>
            <w:r>
              <w:rPr/>
              <w:t> </w:t>
            </w:r>
          </w:p>
        </w:tc>
      </w:tr>
      <w:tr>
        <w:trPr/>
        <w:tc>
          <w:tcPr>
            <w:tcW w:w="2090" w:type="dxa"/>
            <w:tcBorders/>
            <w:shd w:fill="CCEE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Commercial real estate</w:t>
            </w:r>
          </w:p>
        </w:tc>
        <w:tc>
          <w:tcPr>
            <w:tcW w:w="60" w:type="dxa"/>
            <w:tcBorders/>
            <w:shd w:fill="CCEEFF" w:val="clear"/>
            <w:vAlign w:val="bottom"/>
          </w:tcPr>
          <w:p>
            <w:pPr>
              <w:pStyle w:val="TableContents"/>
              <w:spacing w:before="0" w:after="283"/>
              <w:jc w:val="right"/>
              <w:rPr/>
            </w:pPr>
            <w:r>
              <w:rPr/>
              <w:t> </w:t>
            </w:r>
          </w:p>
        </w:tc>
        <w:tc>
          <w:tcPr>
            <w:tcW w:w="197"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767"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342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59"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1005"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27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06"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804" w:type="dxa"/>
            <w:tcBorders/>
            <w:shd w:fill="CCEEFF" w:val="clear"/>
            <w:vAlign w:val="bottom"/>
          </w:tcPr>
          <w:p>
            <w:pPr>
              <w:pStyle w:val="TableContents"/>
              <w:spacing w:before="0" w:after="0"/>
              <w:jc w:val="right"/>
              <w:rPr/>
            </w:pPr>
            <w:r>
              <w:rPr/>
              <w:t>—</w:t>
            </w:r>
          </w:p>
        </w:tc>
        <w:tc>
          <w:tcPr>
            <w:tcW w:w="75" w:type="dxa"/>
            <w:tcBorders/>
            <w:shd w:fill="CCEEFF" w:val="clear"/>
            <w:vAlign w:val="bottom"/>
          </w:tcPr>
          <w:p>
            <w:pPr>
              <w:pStyle w:val="TableContents"/>
              <w:spacing w:before="0" w:after="283"/>
              <w:jc w:val="left"/>
              <w:rPr/>
            </w:pPr>
            <w:r>
              <w:rPr/>
              <w:t> </w:t>
            </w:r>
          </w:p>
        </w:tc>
      </w:tr>
      <w:tr>
        <w:trPr/>
        <w:tc>
          <w:tcPr>
            <w:tcW w:w="2090" w:type="dxa"/>
            <w:tcBorders/>
            <w:shd w:fill="auto"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Commercial - specialized</w:t>
            </w:r>
          </w:p>
        </w:tc>
        <w:tc>
          <w:tcPr>
            <w:tcW w:w="60" w:type="dxa"/>
            <w:tcBorders/>
            <w:shd w:fill="auto" w:val="clear"/>
            <w:vAlign w:val="bottom"/>
          </w:tcPr>
          <w:p>
            <w:pPr>
              <w:pStyle w:val="TableContents"/>
              <w:spacing w:before="0" w:after="283"/>
              <w:jc w:val="right"/>
              <w:rPr/>
            </w:pPr>
            <w:r>
              <w:rPr/>
              <w:t> </w:t>
            </w:r>
          </w:p>
        </w:tc>
        <w:tc>
          <w:tcPr>
            <w:tcW w:w="197" w:type="dxa"/>
            <w:tcBorders/>
            <w:shd w:fill="auto" w:val="clear"/>
            <w:vAlign w:val="bottom"/>
          </w:tcPr>
          <w:p>
            <w:pPr>
              <w:pStyle w:val="TableContents"/>
              <w:spacing w:before="0" w:after="283"/>
              <w:jc w:val="left"/>
              <w:rPr/>
            </w:pPr>
            <w:r>
              <w:rPr/>
              <w:t> </w:t>
            </w:r>
          </w:p>
        </w:tc>
        <w:tc>
          <w:tcPr>
            <w:tcW w:w="767"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25</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59" w:type="dxa"/>
            <w:tcBorders/>
            <w:shd w:fill="auto" w:val="clear"/>
            <w:vAlign w:val="bottom"/>
          </w:tcPr>
          <w:p>
            <w:pPr>
              <w:pStyle w:val="TableContents"/>
              <w:spacing w:before="0" w:after="283"/>
              <w:jc w:val="left"/>
              <w:rPr/>
            </w:pPr>
            <w:r>
              <w:rPr/>
              <w:t> </w:t>
            </w:r>
          </w:p>
        </w:tc>
        <w:tc>
          <w:tcPr>
            <w:tcW w:w="1005"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13</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06" w:type="dxa"/>
            <w:tcBorders/>
            <w:shd w:fill="auto" w:val="clear"/>
            <w:vAlign w:val="bottom"/>
          </w:tcPr>
          <w:p>
            <w:pPr>
              <w:pStyle w:val="TableContents"/>
              <w:spacing w:before="0" w:after="283"/>
              <w:jc w:val="left"/>
              <w:rPr/>
            </w:pPr>
            <w:r>
              <w:rPr/>
              <w:t> </w:t>
            </w:r>
          </w:p>
        </w:tc>
        <w:tc>
          <w:tcPr>
            <w:tcW w:w="804"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38</w:t>
            </w:r>
          </w:p>
        </w:tc>
        <w:tc>
          <w:tcPr>
            <w:tcW w:w="75" w:type="dxa"/>
            <w:tcBorders/>
            <w:shd w:fill="auto" w:val="clear"/>
            <w:vAlign w:val="bottom"/>
          </w:tcPr>
          <w:p>
            <w:pPr>
              <w:pStyle w:val="TableContents"/>
              <w:spacing w:before="0" w:after="283"/>
              <w:jc w:val="left"/>
              <w:rPr/>
            </w:pPr>
            <w:r>
              <w:rPr/>
              <w:t> </w:t>
            </w:r>
          </w:p>
        </w:tc>
      </w:tr>
      <w:tr>
        <w:trPr/>
        <w:tc>
          <w:tcPr>
            <w:tcW w:w="2090" w:type="dxa"/>
            <w:tcBorders/>
            <w:shd w:fill="CCEE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Commercial - general</w:t>
            </w:r>
          </w:p>
        </w:tc>
        <w:tc>
          <w:tcPr>
            <w:tcW w:w="60" w:type="dxa"/>
            <w:tcBorders/>
            <w:shd w:fill="CCEEFF" w:val="clear"/>
            <w:vAlign w:val="bottom"/>
          </w:tcPr>
          <w:p>
            <w:pPr>
              <w:pStyle w:val="TableContents"/>
              <w:spacing w:before="0" w:after="283"/>
              <w:jc w:val="right"/>
              <w:rPr/>
            </w:pPr>
            <w:r>
              <w:rPr/>
              <w:t> </w:t>
            </w:r>
          </w:p>
        </w:tc>
        <w:tc>
          <w:tcPr>
            <w:tcW w:w="197" w:type="dxa"/>
            <w:tcBorders/>
            <w:shd w:fill="CCEEFF" w:val="clear"/>
            <w:vAlign w:val="bottom"/>
          </w:tcPr>
          <w:p>
            <w:pPr>
              <w:pStyle w:val="TableContents"/>
              <w:spacing w:before="0" w:after="283"/>
              <w:jc w:val="left"/>
              <w:rPr/>
            </w:pPr>
            <w:r>
              <w:rPr/>
              <w:t> </w:t>
            </w:r>
          </w:p>
        </w:tc>
        <w:tc>
          <w:tcPr>
            <w:tcW w:w="767"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1,451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59" w:type="dxa"/>
            <w:tcBorders/>
            <w:shd w:fill="CCEEFF" w:val="clear"/>
            <w:vAlign w:val="bottom"/>
          </w:tcPr>
          <w:p>
            <w:pPr>
              <w:pStyle w:val="TableContents"/>
              <w:spacing w:before="0" w:after="283"/>
              <w:jc w:val="left"/>
              <w:rPr/>
            </w:pPr>
            <w:r>
              <w:rPr/>
              <w:t> </w:t>
            </w:r>
          </w:p>
        </w:tc>
        <w:tc>
          <w:tcPr>
            <w:tcW w:w="1005"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60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06" w:type="dxa"/>
            <w:tcBorders/>
            <w:shd w:fill="CCEEFF" w:val="clear"/>
            <w:vAlign w:val="bottom"/>
          </w:tcPr>
          <w:p>
            <w:pPr>
              <w:pStyle w:val="TableContents"/>
              <w:spacing w:before="0" w:after="283"/>
              <w:jc w:val="left"/>
              <w:rPr/>
            </w:pPr>
            <w:r>
              <w:rPr/>
              <w:t> </w:t>
            </w:r>
          </w:p>
        </w:tc>
        <w:tc>
          <w:tcPr>
            <w:tcW w:w="804"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3,357</w:t>
            </w:r>
          </w:p>
        </w:tc>
        <w:tc>
          <w:tcPr>
            <w:tcW w:w="75" w:type="dxa"/>
            <w:tcBorders/>
            <w:shd w:fill="CCEEFF" w:val="clear"/>
            <w:vAlign w:val="bottom"/>
          </w:tcPr>
          <w:p>
            <w:pPr>
              <w:pStyle w:val="TableContents"/>
              <w:spacing w:before="0" w:after="283"/>
              <w:jc w:val="left"/>
              <w:rPr/>
            </w:pPr>
            <w:r>
              <w:rPr/>
              <w:t> </w:t>
            </w:r>
          </w:p>
        </w:tc>
      </w:tr>
      <w:tr>
        <w:trPr/>
        <w:tc>
          <w:tcPr>
            <w:tcW w:w="2090" w:type="dxa"/>
            <w:tcBorders/>
            <w:shd w:fill="auto"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Consumer:</w:t>
            </w:r>
          </w:p>
        </w:tc>
        <w:tc>
          <w:tcPr>
            <w:tcW w:w="60" w:type="dxa"/>
            <w:tcBorders/>
            <w:shd w:fill="auto" w:val="clear"/>
            <w:vAlign w:val="bottom"/>
          </w:tcPr>
          <w:p>
            <w:pPr>
              <w:pStyle w:val="TableContents"/>
              <w:spacing w:before="0" w:after="283"/>
              <w:jc w:val="right"/>
              <w:rPr/>
            </w:pPr>
            <w:r>
              <w:rPr/>
              <w:t> </w:t>
            </w:r>
          </w:p>
        </w:tc>
        <w:tc>
          <w:tcPr>
            <w:tcW w:w="197" w:type="dxa"/>
            <w:tcBorders/>
            <w:shd w:fill="auto" w:val="clear"/>
            <w:vAlign w:val="bottom"/>
          </w:tcPr>
          <w:p>
            <w:pPr>
              <w:pStyle w:val="TableContents"/>
              <w:spacing w:before="0" w:after="283"/>
              <w:jc w:val="left"/>
              <w:rPr/>
            </w:pPr>
            <w:r>
              <w:rPr/>
              <w:t> </w:t>
            </w:r>
          </w:p>
        </w:tc>
        <w:tc>
          <w:tcPr>
            <w:tcW w:w="767"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59" w:type="dxa"/>
            <w:tcBorders/>
            <w:shd w:fill="auto" w:val="clear"/>
            <w:vAlign w:val="bottom"/>
          </w:tcPr>
          <w:p>
            <w:pPr>
              <w:pStyle w:val="TableContents"/>
              <w:spacing w:before="0" w:after="283"/>
              <w:jc w:val="left"/>
              <w:rPr/>
            </w:pPr>
            <w:r>
              <w:rPr/>
              <w:t> </w:t>
            </w:r>
          </w:p>
        </w:tc>
        <w:tc>
          <w:tcPr>
            <w:tcW w:w="100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06" w:type="dxa"/>
            <w:tcBorders/>
            <w:shd w:fill="auto" w:val="clear"/>
            <w:vAlign w:val="bottom"/>
          </w:tcPr>
          <w:p>
            <w:pPr>
              <w:pStyle w:val="TableContents"/>
              <w:spacing w:before="0" w:after="283"/>
              <w:jc w:val="left"/>
              <w:rPr/>
            </w:pPr>
            <w:r>
              <w:rPr/>
              <w:t> </w:t>
            </w:r>
          </w:p>
        </w:tc>
        <w:tc>
          <w:tcPr>
            <w:tcW w:w="804" w:type="dxa"/>
            <w:tcBorders/>
            <w:shd w:fill="auto" w:val="clear"/>
            <w:vAlign w:val="bottom"/>
          </w:tcPr>
          <w:p>
            <w:pPr>
              <w:pStyle w:val="TableContents"/>
              <w:spacing w:before="0" w:after="283"/>
              <w:jc w:val="right"/>
              <w:rPr/>
            </w:pPr>
            <w:r>
              <w:rPr/>
              <w:t> </w:t>
            </w:r>
          </w:p>
        </w:tc>
        <w:tc>
          <w:tcPr>
            <w:tcW w:w="75" w:type="dxa"/>
            <w:tcBorders/>
            <w:shd w:fill="auto" w:val="clear"/>
            <w:vAlign w:val="bottom"/>
          </w:tcPr>
          <w:p>
            <w:pPr>
              <w:pStyle w:val="TableContents"/>
              <w:spacing w:before="0" w:after="283"/>
              <w:jc w:val="left"/>
              <w:rPr/>
            </w:pPr>
            <w:r>
              <w:rPr/>
              <w:t> </w:t>
            </w:r>
          </w:p>
        </w:tc>
      </w:tr>
      <w:tr>
        <w:trPr/>
        <w:tc>
          <w:tcPr>
            <w:tcW w:w="2090" w:type="dxa"/>
            <w:tcBorders/>
            <w:shd w:fill="CCEEFF" w:val="clear"/>
            <w:vAlign w:val="bottom"/>
          </w:tcPr>
          <w:p>
            <w:pPr>
              <w:pStyle w:val="TableContents"/>
              <w:spacing w:before="0" w:after="0"/>
              <w:ind w:left="288" w:right="0" w:hanging="144"/>
              <w:jc w:val="left"/>
              <w:rPr>
                <w:rFonts w:ascii="Times New Roman" w:hAnsi="Times New Roman"/>
                <w:sz w:val="20"/>
              </w:rPr>
            </w:pPr>
            <w:r>
              <w:rPr>
                <w:rFonts w:ascii="Times New Roman" w:hAnsi="Times New Roman"/>
                <w:sz w:val="20"/>
              </w:rPr>
              <w:t>1-4 Family residential</w:t>
            </w:r>
          </w:p>
        </w:tc>
        <w:tc>
          <w:tcPr>
            <w:tcW w:w="60" w:type="dxa"/>
            <w:tcBorders/>
            <w:shd w:fill="CCEEFF" w:val="clear"/>
            <w:vAlign w:val="bottom"/>
          </w:tcPr>
          <w:p>
            <w:pPr>
              <w:pStyle w:val="TableContents"/>
              <w:spacing w:before="0" w:after="283"/>
              <w:jc w:val="right"/>
              <w:rPr/>
            </w:pPr>
            <w:r>
              <w:rPr/>
              <w:t> </w:t>
            </w:r>
          </w:p>
        </w:tc>
        <w:tc>
          <w:tcPr>
            <w:tcW w:w="197" w:type="dxa"/>
            <w:tcBorders/>
            <w:shd w:fill="CCEEFF" w:val="clear"/>
            <w:vAlign w:val="bottom"/>
          </w:tcPr>
          <w:p>
            <w:pPr>
              <w:pStyle w:val="TableContents"/>
              <w:spacing w:before="0" w:after="283"/>
              <w:jc w:val="left"/>
              <w:rPr/>
            </w:pPr>
            <w:r>
              <w:rPr/>
              <w:t> </w:t>
            </w:r>
          </w:p>
        </w:tc>
        <w:tc>
          <w:tcPr>
            <w:tcW w:w="767"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1,389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59" w:type="dxa"/>
            <w:tcBorders/>
            <w:shd w:fill="CCEEFF" w:val="clear"/>
            <w:vAlign w:val="bottom"/>
          </w:tcPr>
          <w:p>
            <w:pPr>
              <w:pStyle w:val="TableContents"/>
              <w:spacing w:before="0" w:after="283"/>
              <w:jc w:val="left"/>
              <w:rPr/>
            </w:pPr>
            <w:r>
              <w:rPr/>
              <w:t> </w:t>
            </w:r>
          </w:p>
        </w:tc>
        <w:tc>
          <w:tcPr>
            <w:tcW w:w="1005"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1,653</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06" w:type="dxa"/>
            <w:tcBorders/>
            <w:shd w:fill="CCEEFF" w:val="clear"/>
            <w:vAlign w:val="bottom"/>
          </w:tcPr>
          <w:p>
            <w:pPr>
              <w:pStyle w:val="TableContents"/>
              <w:spacing w:before="0" w:after="283"/>
              <w:jc w:val="left"/>
              <w:rPr/>
            </w:pPr>
            <w:r>
              <w:rPr/>
              <w:t> </w:t>
            </w:r>
          </w:p>
        </w:tc>
        <w:tc>
          <w:tcPr>
            <w:tcW w:w="804"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1,356</w:t>
            </w:r>
          </w:p>
        </w:tc>
        <w:tc>
          <w:tcPr>
            <w:tcW w:w="75" w:type="dxa"/>
            <w:tcBorders/>
            <w:shd w:fill="CCEEFF" w:val="clear"/>
            <w:vAlign w:val="bottom"/>
          </w:tcPr>
          <w:p>
            <w:pPr>
              <w:pStyle w:val="TableContents"/>
              <w:spacing w:before="0" w:after="283"/>
              <w:jc w:val="left"/>
              <w:rPr/>
            </w:pPr>
            <w:r>
              <w:rPr/>
              <w:t> </w:t>
            </w:r>
          </w:p>
        </w:tc>
      </w:tr>
      <w:tr>
        <w:trPr/>
        <w:tc>
          <w:tcPr>
            <w:tcW w:w="2090" w:type="dxa"/>
            <w:tcBorders/>
            <w:shd w:fill="auto" w:val="clear"/>
            <w:vAlign w:val="bottom"/>
          </w:tcPr>
          <w:p>
            <w:pPr>
              <w:pStyle w:val="TableContents"/>
              <w:spacing w:before="0" w:after="0"/>
              <w:ind w:left="288" w:right="0" w:hanging="144"/>
              <w:jc w:val="left"/>
              <w:rPr>
                <w:rFonts w:ascii="Times New Roman" w:hAnsi="Times New Roman"/>
                <w:sz w:val="20"/>
              </w:rPr>
            </w:pPr>
            <w:r>
              <w:rPr>
                <w:rFonts w:ascii="Times New Roman" w:hAnsi="Times New Roman"/>
                <w:sz w:val="20"/>
              </w:rPr>
              <w:t>Auto loans</w:t>
            </w:r>
          </w:p>
        </w:tc>
        <w:tc>
          <w:tcPr>
            <w:tcW w:w="60" w:type="dxa"/>
            <w:tcBorders/>
            <w:shd w:fill="auto" w:val="clear"/>
            <w:vAlign w:val="bottom"/>
          </w:tcPr>
          <w:p>
            <w:pPr>
              <w:pStyle w:val="TableContents"/>
              <w:spacing w:before="0" w:after="283"/>
              <w:jc w:val="right"/>
              <w:rPr/>
            </w:pPr>
            <w:r>
              <w:rPr/>
              <w:t> </w:t>
            </w:r>
          </w:p>
        </w:tc>
        <w:tc>
          <w:tcPr>
            <w:tcW w:w="197" w:type="dxa"/>
            <w:tcBorders/>
            <w:shd w:fill="auto" w:val="clear"/>
            <w:vAlign w:val="bottom"/>
          </w:tcPr>
          <w:p>
            <w:pPr>
              <w:pStyle w:val="TableContents"/>
              <w:spacing w:before="0" w:after="283"/>
              <w:jc w:val="left"/>
              <w:rPr/>
            </w:pPr>
            <w:r>
              <w:rPr/>
              <w:t> </w:t>
            </w:r>
          </w:p>
        </w:tc>
        <w:tc>
          <w:tcPr>
            <w:tcW w:w="767"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707</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59" w:type="dxa"/>
            <w:tcBorders/>
            <w:shd w:fill="auto" w:val="clear"/>
            <w:vAlign w:val="bottom"/>
          </w:tcPr>
          <w:p>
            <w:pPr>
              <w:pStyle w:val="TableContents"/>
              <w:spacing w:before="0" w:after="283"/>
              <w:jc w:val="left"/>
              <w:rPr/>
            </w:pPr>
            <w:r>
              <w:rPr/>
              <w:t> </w:t>
            </w:r>
          </w:p>
        </w:tc>
        <w:tc>
          <w:tcPr>
            <w:tcW w:w="1005"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85</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06" w:type="dxa"/>
            <w:tcBorders/>
            <w:shd w:fill="auto" w:val="clear"/>
            <w:vAlign w:val="bottom"/>
          </w:tcPr>
          <w:p>
            <w:pPr>
              <w:pStyle w:val="TableContents"/>
              <w:spacing w:before="0" w:after="283"/>
              <w:jc w:val="left"/>
              <w:rPr/>
            </w:pPr>
            <w:r>
              <w:rPr/>
              <w:t> </w:t>
            </w:r>
          </w:p>
        </w:tc>
        <w:tc>
          <w:tcPr>
            <w:tcW w:w="804" w:type="dxa"/>
            <w:tcBorders/>
            <w:shd w:fill="auto" w:val="clear"/>
            <w:vAlign w:val="bottom"/>
          </w:tcPr>
          <w:p>
            <w:pPr>
              <w:pStyle w:val="TableContents"/>
              <w:spacing w:before="0" w:after="0"/>
              <w:jc w:val="right"/>
              <w:rPr/>
            </w:pPr>
            <w:r>
              <w:rPr/>
              <w:t>—</w:t>
            </w:r>
          </w:p>
        </w:tc>
        <w:tc>
          <w:tcPr>
            <w:tcW w:w="75" w:type="dxa"/>
            <w:tcBorders/>
            <w:shd w:fill="auto" w:val="clear"/>
            <w:vAlign w:val="bottom"/>
          </w:tcPr>
          <w:p>
            <w:pPr>
              <w:pStyle w:val="TableContents"/>
              <w:spacing w:before="0" w:after="283"/>
              <w:jc w:val="left"/>
              <w:rPr/>
            </w:pPr>
            <w:r>
              <w:rPr/>
              <w:t> </w:t>
            </w:r>
          </w:p>
        </w:tc>
      </w:tr>
      <w:tr>
        <w:trPr/>
        <w:tc>
          <w:tcPr>
            <w:tcW w:w="2090" w:type="dxa"/>
            <w:tcBorders/>
            <w:shd w:fill="CCEEFF" w:val="clear"/>
            <w:vAlign w:val="bottom"/>
          </w:tcPr>
          <w:p>
            <w:pPr>
              <w:pStyle w:val="TableContents"/>
              <w:spacing w:before="0" w:after="0"/>
              <w:ind w:left="288" w:right="0" w:hanging="144"/>
              <w:jc w:val="left"/>
              <w:rPr>
                <w:rFonts w:ascii="Times New Roman" w:hAnsi="Times New Roman"/>
                <w:sz w:val="20"/>
              </w:rPr>
            </w:pPr>
            <w:r>
              <w:rPr>
                <w:rFonts w:ascii="Times New Roman" w:hAnsi="Times New Roman"/>
                <w:sz w:val="20"/>
              </w:rPr>
              <w:t>Other consumer</w:t>
            </w:r>
          </w:p>
        </w:tc>
        <w:tc>
          <w:tcPr>
            <w:tcW w:w="60" w:type="dxa"/>
            <w:tcBorders/>
            <w:shd w:fill="CCEEFF" w:val="clear"/>
            <w:vAlign w:val="bottom"/>
          </w:tcPr>
          <w:p>
            <w:pPr>
              <w:pStyle w:val="TableContents"/>
              <w:spacing w:before="0" w:after="283"/>
              <w:jc w:val="right"/>
              <w:rPr/>
            </w:pPr>
            <w:r>
              <w:rPr/>
              <w:t> </w:t>
            </w:r>
          </w:p>
        </w:tc>
        <w:tc>
          <w:tcPr>
            <w:tcW w:w="197" w:type="dxa"/>
            <w:tcBorders/>
            <w:shd w:fill="CCEEFF" w:val="clear"/>
            <w:vAlign w:val="bottom"/>
          </w:tcPr>
          <w:p>
            <w:pPr>
              <w:pStyle w:val="TableContents"/>
              <w:spacing w:before="0" w:after="283"/>
              <w:jc w:val="left"/>
              <w:rPr/>
            </w:pPr>
            <w:r>
              <w:rPr/>
              <w:t> </w:t>
            </w:r>
          </w:p>
        </w:tc>
        <w:tc>
          <w:tcPr>
            <w:tcW w:w="767"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1,487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59" w:type="dxa"/>
            <w:tcBorders/>
            <w:shd w:fill="CCEEFF" w:val="clear"/>
            <w:vAlign w:val="bottom"/>
          </w:tcPr>
          <w:p>
            <w:pPr>
              <w:pStyle w:val="TableContents"/>
              <w:spacing w:before="0" w:after="283"/>
              <w:jc w:val="left"/>
              <w:rPr/>
            </w:pPr>
            <w:r>
              <w:rPr/>
              <w:t> </w:t>
            </w:r>
          </w:p>
        </w:tc>
        <w:tc>
          <w:tcPr>
            <w:tcW w:w="1005"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149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06" w:type="dxa"/>
            <w:tcBorders/>
            <w:shd w:fill="CCEEFF" w:val="clear"/>
            <w:vAlign w:val="bottom"/>
          </w:tcPr>
          <w:p>
            <w:pPr>
              <w:pStyle w:val="TableContents"/>
              <w:spacing w:before="0" w:after="283"/>
              <w:jc w:val="left"/>
              <w:rPr/>
            </w:pPr>
            <w:r>
              <w:rPr/>
              <w:t> </w:t>
            </w:r>
          </w:p>
        </w:tc>
        <w:tc>
          <w:tcPr>
            <w:tcW w:w="804"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37</w:t>
            </w:r>
          </w:p>
        </w:tc>
        <w:tc>
          <w:tcPr>
            <w:tcW w:w="75" w:type="dxa"/>
            <w:tcBorders/>
            <w:shd w:fill="CCEEFF" w:val="clear"/>
            <w:vAlign w:val="bottom"/>
          </w:tcPr>
          <w:p>
            <w:pPr>
              <w:pStyle w:val="TableContents"/>
              <w:spacing w:before="0" w:after="283"/>
              <w:jc w:val="left"/>
              <w:rPr/>
            </w:pPr>
            <w:r>
              <w:rPr/>
              <w:t> </w:t>
            </w:r>
          </w:p>
        </w:tc>
      </w:tr>
      <w:tr>
        <w:trPr/>
        <w:tc>
          <w:tcPr>
            <w:tcW w:w="2090" w:type="dxa"/>
            <w:tcBorders/>
            <w:shd w:fill="auto"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Construction</w:t>
            </w:r>
          </w:p>
        </w:tc>
        <w:tc>
          <w:tcPr>
            <w:tcW w:w="60" w:type="dxa"/>
            <w:tcBorders/>
            <w:shd w:fill="auto" w:val="clear"/>
            <w:vAlign w:val="bottom"/>
          </w:tcPr>
          <w:p>
            <w:pPr>
              <w:pStyle w:val="TableContents"/>
              <w:spacing w:before="0" w:after="283"/>
              <w:jc w:val="right"/>
              <w:rPr/>
            </w:pPr>
            <w:r>
              <w:rPr/>
              <w:t> </w:t>
            </w:r>
          </w:p>
        </w:tc>
        <w:tc>
          <w:tcPr>
            <w:tcW w:w="197"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767"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550</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59"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005" w:type="dxa"/>
            <w:tcBorders>
              <w:bottom w:val="single" w:sz="12" w:space="0" w:color="000000"/>
            </w:tcBorders>
            <w:shd w:fill="auto" w:val="clear"/>
            <w:tcMar>
              <w:bottom w:w="28" w:type="dxa"/>
            </w:tcMar>
            <w:vAlign w:val="bottom"/>
          </w:tcPr>
          <w:p>
            <w:pPr>
              <w:pStyle w:val="TableContents"/>
              <w:spacing w:before="0" w:after="0"/>
              <w:jc w:val="right"/>
              <w:rPr/>
            </w:pPr>
            <w:r>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06"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04"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1,014</w:t>
            </w:r>
          </w:p>
        </w:tc>
        <w:tc>
          <w:tcPr>
            <w:tcW w:w="75" w:type="dxa"/>
            <w:tcBorders/>
            <w:shd w:fill="auto" w:val="clear"/>
            <w:vAlign w:val="bottom"/>
          </w:tcPr>
          <w:p>
            <w:pPr>
              <w:pStyle w:val="TableContents"/>
              <w:spacing w:before="0" w:after="283"/>
              <w:jc w:val="left"/>
              <w:rPr/>
            </w:pPr>
            <w:r>
              <w:rPr/>
              <w:t> </w:t>
            </w:r>
          </w:p>
        </w:tc>
      </w:tr>
      <w:tr>
        <w:trPr/>
        <w:tc>
          <w:tcPr>
            <w:tcW w:w="2090" w:type="dxa"/>
            <w:tcBorders/>
            <w:shd w:fill="auto"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r>
          </w:p>
        </w:tc>
        <w:tc>
          <w:tcPr>
            <w:tcW w:w="60" w:type="dxa"/>
            <w:tcBorders/>
            <w:shd w:fill="auto" w:val="clear"/>
            <w:vAlign w:val="bottom"/>
          </w:tcPr>
          <w:p>
            <w:pPr>
              <w:pStyle w:val="TableContents"/>
              <w:spacing w:before="0" w:after="283"/>
              <w:jc w:val="right"/>
              <w:rPr/>
            </w:pPr>
            <w:r>
              <w:rPr/>
              <w:t> </w:t>
            </w:r>
          </w:p>
        </w:tc>
        <w:tc>
          <w:tcPr>
            <w:tcW w:w="197"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767"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5,951</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59"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1005"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1,987</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06"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804"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5,802</w:t>
            </w:r>
          </w:p>
        </w:tc>
        <w:tc>
          <w:tcPr>
            <w:tcW w:w="75" w:type="dxa"/>
            <w:tcBorders/>
            <w:shd w:fill="auto" w:val="clear"/>
            <w:vAlign w:val="bottom"/>
          </w:tcPr>
          <w:p>
            <w:pPr>
              <w:pStyle w:val="TableContents"/>
              <w:spacing w:before="0" w:after="283"/>
              <w:jc w:val="left"/>
              <w:rPr/>
            </w:pPr>
            <w:r>
              <w:rPr/>
              <w:t> </w:t>
            </w:r>
          </w:p>
        </w:tc>
      </w:tr>
    </w:tbl>
    <w:p>
      <w:pPr>
        <w:pStyle w:val="TextBody"/>
        <w:spacing w:before="0" w:after="0"/>
        <w:jc w:val="both"/>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r>
    </w:p>
    <w:p>
      <w:pPr>
        <w:pStyle w:val="TextBody"/>
        <w:spacing w:before="0" w:after="0"/>
        <w:jc w:val="both"/>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 xml:space="preserve">The Company has elected the fair value option for recording residential mortgage loans held for sale (mandatory) in accordance with GAAP. The Company had no nonaccrual mortgage loans held for sale (mandatory) at March 31, 2023, and December 31, 2022. </w:t>
      </w:r>
    </w:p>
    <w:p>
      <w:pPr>
        <w:pStyle w:val="TextBody"/>
        <w:spacing w:before="0" w:after="0"/>
        <w:jc w:val="both"/>
        <w:rPr/>
      </w:pPr>
      <w:r>
        <w:rPr/>
      </w:r>
    </w:p>
    <w:p>
      <w:pPr>
        <w:pStyle w:val="TextBody"/>
        <w:spacing w:before="0" w:after="0"/>
        <w:jc w:val="both"/>
        <w:rPr>
          <w:rFonts w:ascii="Times New Roman" w:hAnsi="Times New Roman"/>
          <w:color w:val="000000"/>
          <w:sz w:val="20"/>
          <w:u w:val="single"/>
        </w:rPr>
      </w:pPr>
      <w:r>
        <w:rPr>
          <w:rFonts w:ascii="Times New Roman" w:hAnsi="Times New Roman"/>
          <w:color w:val="000000"/>
          <w:sz w:val="20"/>
          <w:u w:val="single"/>
        </w:rPr>
        <w:t>Credit Quality Indicators</w:t>
      </w:r>
    </w:p>
    <w:p>
      <w:pPr>
        <w:pStyle w:val="TextBody"/>
        <w:spacing w:before="0" w:after="0"/>
        <w:jc w:val="both"/>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The Company grades its loans on a thirteen-point grading scale. These grades fit in one of the following categories: (i) pass, (ii) special mention, (iii) substandard, (iv) doubtful, or (v) loss. Loans categorized as loss are charged-off immediately. The grading of loans reflect a judgment by the Company about the risks of default associated with the loan. The Company reviews the grades on loans as part of the Company’s on-going monitoring of the credit quality of the loan portfolio.  These risk ratings are assigned based on relevant information about the ability of the borrowers to service their debt such as: current financial information, historical payment experience, credit documentation, public information, and current economic trends, among other factors.</w:t>
      </w:r>
    </w:p>
    <w:p>
      <w:pPr>
        <w:pStyle w:val="TextBody"/>
        <w:spacing w:before="0" w:after="0"/>
        <w:jc w:val="both"/>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Pass loans have financial factors or nature of collateral that are considered reasonable credit risks in the normal course of lending and encompass several grades that are assigned based on varying levels of risk, ranging from credits that are secured by cash or marketable securities, to watch credits which have all the characteristics of an acceptable credit risk but warrant more than the normal level of monitoring.</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Special mention loans have potential weaknesses that deserve management’s close attention. If left uncorrected, these potential weaknesses may result in deterioration of repayment prospects for the loans at some future date.</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Substandard loans are inadequately protected by the current net worth and paying capacity of the borrower or by the collateral pledged, if any. These loans have a well-defined weakness or weaknesses that jeopardize collection and present the distinct possibility that some loss will be sustained if the deficiencies are not corrected. A protracted workout on these credits is a distinct possibility. Prompt corrective action is therefore required to strengthen the Company’s position, and/or to reduce exposure and to assure that adequate remedial measures are taken by the borrower. Credit exposure becomes more likely in such credits and a serious evaluation of the secondary support to the credit is performed. Substandard loans can be accruing or can be nonaccrual depending on the circumstances of the individual loans.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Doubtful loans have all the weaknesses inherent in substandard loans with the added characteristics that the weaknesses make collection or liquidation in full on the basis of currently existing facts, conditions, and values highly questionable and improbable. All doubtful loans are on nonaccrual.</w:t>
      </w:r>
    </w:p>
    <w:p>
      <w:pPr>
        <w:pStyle w:val="TextBody"/>
        <w:spacing w:before="0" w:after="0"/>
        <w:jc w:val="both"/>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In connection with the review of the Company’s loan portfolio, management considers risk elements attributable to particular loan type or categories in assessing the quality of individual loans. The list of loans to be analyzed for individual evaluation consists of non-accrual loans over $250,000 with direct exposure. Interest income recognized using a cash-basis method on non-accrual loans for the three months ended March 31, 2023 was not significant.  In addition, the Company closely monitors substandard accruing loans over $1 million with direct exposure, and past due accruing loans over $100,000 for possible individual evaluation.  All other loans will be evaluated collectively in designated pools unless a loss exposure has been identified.</w:t>
      </w:r>
    </w:p>
    <w:p>
      <w:pPr>
        <w:pStyle w:val="TextBody"/>
        <w:spacing w:before="0" w:after="0"/>
        <w:jc w:val="both"/>
        <w:rPr>
          <w:rFonts w:ascii="Times New Roman" w:hAnsi="Times New Roman"/>
          <w:sz w:val="20"/>
        </w:rPr>
      </w:pPr>
      <w:r>
        <w:rPr>
          <w:rFonts w:ascii="Times New Roman" w:hAnsi="Times New Roman"/>
          <w:sz w:val="20"/>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16</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b w:val="false"/>
            <w:i/>
            <w:color w:val="000000"/>
            <w:sz w:val="16"/>
          </w:rPr>
          <w:t>Table of Contents</w:t>
        </w:r>
      </w:hyperlink>
    </w:p>
    <w:p>
      <w:pPr>
        <w:pStyle w:val="TextBody"/>
        <w:spacing w:before="0" w:after="0"/>
        <w:jc w:val="both"/>
        <w:rPr>
          <w:rFonts w:ascii="Times New Roman" w:hAnsi="Times New Roman"/>
          <w:color w:val="000000"/>
          <w:sz w:val="20"/>
        </w:rPr>
      </w:pPr>
      <w:r>
        <w:rPr>
          <w:rFonts w:ascii="Times New Roman" w:hAnsi="Times New Roman"/>
          <w:color w:val="000000"/>
          <w:sz w:val="20"/>
        </w:rPr>
        <w:t>The following table reflects the amortized cost basis in loans by credit quality indicator and origination year at March 31, 2023, excluding loans held for sale. Loans acquired are shown in the table by origination year, not merger date. The Company had an immaterial amount of revolving loans converted to term loans at March 31, 2023.</w:t>
      </w:r>
    </w:p>
    <w:p>
      <w:pPr>
        <w:pStyle w:val="TextBody"/>
        <w:spacing w:before="0" w:after="0"/>
        <w:jc w:val="both"/>
        <w:rPr>
          <w:rFonts w:ascii="Times New Roman" w:hAnsi="Times New Roman"/>
          <w:sz w:val="20"/>
        </w:rPr>
      </w:pPr>
      <w:r>
        <w:rPr>
          <w:rFonts w:ascii="Times New Roman" w:hAnsi="Times New Roman"/>
          <w:sz w:val="20"/>
        </w:rPr>
      </w:r>
    </w:p>
    <w:tbl>
      <w:tblPr>
        <w:tblW w:w="10205" w:type="dxa"/>
        <w:jc w:val="left"/>
        <w:tblInd w:w="0" w:type="dxa"/>
        <w:tblCellMar>
          <w:top w:w="0" w:type="dxa"/>
          <w:left w:w="0" w:type="dxa"/>
          <w:bottom w:w="0" w:type="dxa"/>
          <w:right w:w="0" w:type="dxa"/>
        </w:tblCellMar>
      </w:tblPr>
      <w:tblGrid>
        <w:gridCol w:w="2502"/>
        <w:gridCol w:w="60"/>
        <w:gridCol w:w="125"/>
        <w:gridCol w:w="590"/>
        <w:gridCol w:w="60"/>
        <w:gridCol w:w="60"/>
        <w:gridCol w:w="125"/>
        <w:gridCol w:w="695"/>
        <w:gridCol w:w="60"/>
        <w:gridCol w:w="60"/>
        <w:gridCol w:w="128"/>
        <w:gridCol w:w="714"/>
        <w:gridCol w:w="61"/>
        <w:gridCol w:w="61"/>
        <w:gridCol w:w="128"/>
        <w:gridCol w:w="606"/>
        <w:gridCol w:w="61"/>
        <w:gridCol w:w="61"/>
        <w:gridCol w:w="128"/>
        <w:gridCol w:w="606"/>
        <w:gridCol w:w="61"/>
        <w:gridCol w:w="61"/>
        <w:gridCol w:w="128"/>
        <w:gridCol w:w="714"/>
        <w:gridCol w:w="60"/>
        <w:gridCol w:w="60"/>
        <w:gridCol w:w="210"/>
        <w:gridCol w:w="996"/>
        <w:gridCol w:w="60"/>
        <w:gridCol w:w="60"/>
        <w:gridCol w:w="125"/>
        <w:gridCol w:w="695"/>
        <w:gridCol w:w="84"/>
      </w:tblGrid>
      <w:tr>
        <w:trPr/>
        <w:tc>
          <w:tcPr>
            <w:tcW w:w="2502" w:type="dxa"/>
            <w:tcBorders/>
            <w:shd w:fill="auto" w:val="clear"/>
            <w:vAlign w:val="bottom"/>
          </w:tcPr>
          <w:p>
            <w:pPr>
              <w:pStyle w:val="TableContents"/>
              <w:spacing w:before="0" w:after="0"/>
              <w:jc w:val="left"/>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71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2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42" w:type="dxa"/>
            <w:gridSpan w:val="2"/>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rPr/>
            </w:pPr>
            <w:r>
              <w:rPr/>
              <w:t> </w:t>
            </w:r>
          </w:p>
        </w:tc>
        <w:tc>
          <w:tcPr>
            <w:tcW w:w="1590" w:type="dxa"/>
            <w:gridSpan w:val="6"/>
            <w:tcBorders/>
            <w:shd w:fill="auto" w:val="clear"/>
            <w:vAlign w:val="bottom"/>
          </w:tcPr>
          <w:p>
            <w:pPr>
              <w:pStyle w:val="TableContents"/>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Term Loans</w:t>
            </w:r>
          </w:p>
        </w:tc>
        <w:tc>
          <w:tcPr>
            <w:tcW w:w="61"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rPr/>
            </w:pPr>
            <w:r>
              <w:rPr/>
              <w:t> </w:t>
            </w:r>
          </w:p>
        </w:tc>
        <w:tc>
          <w:tcPr>
            <w:tcW w:w="842"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06"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20" w:type="dxa"/>
            <w:gridSpan w:val="2"/>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jc w:val="left"/>
              <w:rPr/>
            </w:pPr>
            <w:r>
              <w:rPr/>
              <w:t> </w:t>
            </w:r>
          </w:p>
        </w:tc>
      </w:tr>
      <w:tr>
        <w:trPr/>
        <w:tc>
          <w:tcPr>
            <w:tcW w:w="2502" w:type="dxa"/>
            <w:tcBorders/>
            <w:shd w:fill="auto" w:val="clear"/>
            <w:vAlign w:val="bottom"/>
          </w:tcPr>
          <w:p>
            <w:pPr>
              <w:pStyle w:val="TableContents"/>
              <w:spacing w:before="0" w:after="0"/>
              <w:jc w:val="left"/>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71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2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3518" w:type="dxa"/>
            <w:gridSpan w:val="14"/>
            <w:tcBorders/>
            <w:shd w:fill="auto" w:val="clear"/>
            <w:vAlign w:val="bottom"/>
          </w:tcPr>
          <w:p>
            <w:pPr>
              <w:pStyle w:val="TableContents"/>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Amortized Cost Basis by Origination Year</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06"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20" w:type="dxa"/>
            <w:gridSpan w:val="2"/>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jc w:val="left"/>
              <w:rPr/>
            </w:pPr>
            <w:r>
              <w:rPr/>
              <w:t> </w:t>
            </w:r>
          </w:p>
        </w:tc>
      </w:tr>
      <w:tr>
        <w:trPr/>
        <w:tc>
          <w:tcPr>
            <w:tcW w:w="2502" w:type="dxa"/>
            <w:tcBorders/>
            <w:shd w:fill="auto" w:val="clear"/>
            <w:vAlign w:val="bottom"/>
          </w:tcPr>
          <w:p>
            <w:pPr>
              <w:pStyle w:val="TableContents"/>
              <w:spacing w:before="0" w:after="0"/>
              <w:jc w:val="left"/>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715" w:type="dxa"/>
            <w:gridSpan w:val="2"/>
            <w:tcBorders>
              <w:bottom w:val="single" w:sz="12" w:space="0" w:color="000000"/>
            </w:tcBorders>
            <w:shd w:fill="auto" w:val="clear"/>
            <w:tcMar>
              <w:bottom w:w="28" w:type="dxa"/>
            </w:tcMar>
            <w:vAlign w:val="bottom"/>
          </w:tcPr>
          <w:p>
            <w:pPr>
              <w:pStyle w:val="TableContents"/>
              <w:spacing w:before="0" w:after="283"/>
              <w:rPr/>
            </w:pPr>
            <w:r>
              <w:rPr/>
              <w:t> </w:t>
            </w:r>
          </w:p>
        </w:tc>
        <w:tc>
          <w:tcPr>
            <w:tcW w:w="6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0" w:type="dxa"/>
            <w:tcBorders>
              <w:bottom w:val="single" w:sz="12" w:space="0" w:color="000000"/>
            </w:tcBorders>
            <w:shd w:fill="auto" w:val="clear"/>
            <w:tcMar>
              <w:bottom w:w="28" w:type="dxa"/>
            </w:tcMar>
            <w:vAlign w:val="bottom"/>
          </w:tcPr>
          <w:p>
            <w:pPr>
              <w:pStyle w:val="TableContents"/>
              <w:spacing w:before="0" w:after="283"/>
              <w:rPr/>
            </w:pPr>
            <w:r>
              <w:rPr/>
              <w:t> </w:t>
            </w:r>
          </w:p>
        </w:tc>
        <w:tc>
          <w:tcPr>
            <w:tcW w:w="820" w:type="dxa"/>
            <w:gridSpan w:val="2"/>
            <w:tcBorders>
              <w:bottom w:val="single" w:sz="12" w:space="0" w:color="000000"/>
            </w:tcBorders>
            <w:shd w:fill="auto" w:val="clear"/>
            <w:tcMar>
              <w:bottom w:w="28" w:type="dxa"/>
            </w:tcMar>
            <w:vAlign w:val="bottom"/>
          </w:tcPr>
          <w:p>
            <w:pPr>
              <w:pStyle w:val="TableContents"/>
              <w:spacing w:before="0" w:after="283"/>
              <w:rPr/>
            </w:pPr>
            <w:r>
              <w:rPr/>
              <w:t> </w:t>
            </w:r>
          </w:p>
        </w:tc>
        <w:tc>
          <w:tcPr>
            <w:tcW w:w="6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0" w:type="dxa"/>
            <w:tcBorders>
              <w:bottom w:val="single" w:sz="12" w:space="0" w:color="000000"/>
            </w:tcBorders>
            <w:shd w:fill="auto" w:val="clear"/>
            <w:tcMar>
              <w:bottom w:w="28" w:type="dxa"/>
            </w:tcMar>
            <w:vAlign w:val="bottom"/>
          </w:tcPr>
          <w:p>
            <w:pPr>
              <w:pStyle w:val="TableContents"/>
              <w:spacing w:before="0" w:after="283"/>
              <w:rPr/>
            </w:pPr>
            <w:r>
              <w:rPr/>
              <w:t> </w:t>
            </w:r>
          </w:p>
        </w:tc>
        <w:tc>
          <w:tcPr>
            <w:tcW w:w="842" w:type="dxa"/>
            <w:gridSpan w:val="2"/>
            <w:tcBorders>
              <w:bottom w:val="single" w:sz="12" w:space="0" w:color="000000"/>
            </w:tcBorders>
            <w:shd w:fill="auto" w:val="clear"/>
            <w:tcMar>
              <w:bottom w:w="28" w:type="dxa"/>
            </w:tcMar>
            <w:vAlign w:val="bottom"/>
          </w:tcPr>
          <w:p>
            <w:pPr>
              <w:pStyle w:val="TableContents"/>
              <w:spacing w:before="0" w:after="283"/>
              <w:rPr/>
            </w:pPr>
            <w:r>
              <w:rPr/>
              <w:t> </w:t>
            </w:r>
          </w:p>
        </w:tc>
        <w:tc>
          <w:tcPr>
            <w:tcW w:w="61"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1" w:type="dxa"/>
            <w:tcBorders>
              <w:bottom w:val="single" w:sz="12" w:space="0" w:color="000000"/>
            </w:tcBorders>
            <w:shd w:fill="auto" w:val="clear"/>
            <w:tcMar>
              <w:bottom w:w="28" w:type="dxa"/>
            </w:tcMar>
            <w:vAlign w:val="bottom"/>
          </w:tcPr>
          <w:p>
            <w:pPr>
              <w:pStyle w:val="TableContents"/>
              <w:spacing w:before="0" w:after="283"/>
              <w:rPr/>
            </w:pPr>
            <w:r>
              <w:rPr/>
              <w:t> </w:t>
            </w:r>
          </w:p>
        </w:tc>
        <w:tc>
          <w:tcPr>
            <w:tcW w:w="734" w:type="dxa"/>
            <w:gridSpan w:val="2"/>
            <w:tcBorders>
              <w:bottom w:val="single" w:sz="12" w:space="0" w:color="000000"/>
            </w:tcBorders>
            <w:shd w:fill="auto" w:val="clear"/>
            <w:tcMar>
              <w:bottom w:w="28" w:type="dxa"/>
            </w:tcMar>
            <w:vAlign w:val="bottom"/>
          </w:tcPr>
          <w:p>
            <w:pPr>
              <w:pStyle w:val="TableContents"/>
              <w:spacing w:before="0" w:after="283"/>
              <w:rPr/>
            </w:pPr>
            <w:r>
              <w:rPr/>
              <w:t> </w:t>
            </w:r>
          </w:p>
        </w:tc>
        <w:tc>
          <w:tcPr>
            <w:tcW w:w="61"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1" w:type="dxa"/>
            <w:tcBorders>
              <w:bottom w:val="single" w:sz="12" w:space="0" w:color="000000"/>
            </w:tcBorders>
            <w:shd w:fill="auto" w:val="clear"/>
            <w:tcMar>
              <w:bottom w:w="28" w:type="dxa"/>
            </w:tcMar>
            <w:vAlign w:val="bottom"/>
          </w:tcPr>
          <w:p>
            <w:pPr>
              <w:pStyle w:val="TableContents"/>
              <w:spacing w:before="0" w:after="283"/>
              <w:rPr/>
            </w:pPr>
            <w:r>
              <w:rPr/>
              <w:t> </w:t>
            </w:r>
          </w:p>
        </w:tc>
        <w:tc>
          <w:tcPr>
            <w:tcW w:w="734" w:type="dxa"/>
            <w:gridSpan w:val="2"/>
            <w:tcBorders>
              <w:bottom w:val="single" w:sz="12" w:space="0" w:color="000000"/>
            </w:tcBorders>
            <w:shd w:fill="auto" w:val="clear"/>
            <w:tcMar>
              <w:bottom w:w="28" w:type="dxa"/>
            </w:tcMar>
            <w:vAlign w:val="bottom"/>
          </w:tcPr>
          <w:p>
            <w:pPr>
              <w:pStyle w:val="TableContents"/>
              <w:spacing w:before="0" w:after="283"/>
              <w:rPr/>
            </w:pPr>
            <w:r>
              <w:rPr/>
              <w:t> </w:t>
            </w:r>
          </w:p>
        </w:tc>
        <w:tc>
          <w:tcPr>
            <w:tcW w:w="61"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1" w:type="dxa"/>
            <w:tcBorders>
              <w:bottom w:val="single" w:sz="12" w:space="0" w:color="000000"/>
            </w:tcBorders>
            <w:shd w:fill="auto" w:val="clear"/>
            <w:tcMar>
              <w:bottom w:w="28" w:type="dxa"/>
            </w:tcMar>
            <w:vAlign w:val="bottom"/>
          </w:tcPr>
          <w:p>
            <w:pPr>
              <w:pStyle w:val="TableContents"/>
              <w:spacing w:before="0" w:after="283"/>
              <w:rPr/>
            </w:pPr>
            <w:r>
              <w:rPr/>
              <w:t> </w:t>
            </w:r>
          </w:p>
        </w:tc>
        <w:tc>
          <w:tcPr>
            <w:tcW w:w="842" w:type="dxa"/>
            <w:gridSpan w:val="2"/>
            <w:tcBorders>
              <w:bottom w:val="single" w:sz="12" w:space="0" w:color="000000"/>
            </w:tcBorders>
            <w:shd w:fill="auto" w:val="clear"/>
            <w:tcMar>
              <w:bottom w:w="28" w:type="dxa"/>
            </w:tcMar>
            <w:vAlign w:val="bottom"/>
          </w:tcPr>
          <w:p>
            <w:pPr>
              <w:pStyle w:val="TableContents"/>
              <w:spacing w:before="0" w:after="283"/>
              <w:rPr/>
            </w:pPr>
            <w:r>
              <w:rPr/>
              <w:t> </w:t>
            </w:r>
          </w:p>
        </w:tc>
        <w:tc>
          <w:tcPr>
            <w:tcW w:w="6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0" w:type="dxa"/>
            <w:tcBorders>
              <w:bottom w:val="single" w:sz="12" w:space="0" w:color="000000"/>
            </w:tcBorders>
            <w:shd w:fill="auto" w:val="clear"/>
            <w:tcMar>
              <w:bottom w:w="28" w:type="dxa"/>
            </w:tcMar>
            <w:vAlign w:val="bottom"/>
          </w:tcPr>
          <w:p>
            <w:pPr>
              <w:pStyle w:val="TableContents"/>
              <w:spacing w:before="0" w:after="283"/>
              <w:rPr/>
            </w:pPr>
            <w:r>
              <w:rPr/>
              <w:t> </w:t>
            </w:r>
          </w:p>
        </w:tc>
        <w:tc>
          <w:tcPr>
            <w:tcW w:w="1206" w:type="dxa"/>
            <w:gridSpan w:val="2"/>
            <w:tcBorders>
              <w:bottom w:val="single" w:sz="12" w:space="0" w:color="000000"/>
            </w:tcBorders>
            <w:shd w:fill="auto" w:val="clear"/>
            <w:tcMar>
              <w:bottom w:w="28" w:type="dxa"/>
            </w:tcMar>
            <w:vAlign w:val="bottom"/>
          </w:tcPr>
          <w:p>
            <w:pPr>
              <w:pStyle w:val="TableContents"/>
              <w:spacing w:before="0" w:after="283"/>
              <w:rPr/>
            </w:pPr>
            <w:r>
              <w:rPr/>
              <w:t> </w:t>
            </w:r>
          </w:p>
        </w:tc>
        <w:tc>
          <w:tcPr>
            <w:tcW w:w="6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0" w:type="dxa"/>
            <w:tcBorders>
              <w:bottom w:val="single" w:sz="12" w:space="0" w:color="000000"/>
            </w:tcBorders>
            <w:shd w:fill="auto" w:val="clear"/>
            <w:tcMar>
              <w:bottom w:w="28" w:type="dxa"/>
            </w:tcMar>
            <w:vAlign w:val="bottom"/>
          </w:tcPr>
          <w:p>
            <w:pPr>
              <w:pStyle w:val="TableContents"/>
              <w:spacing w:before="0" w:after="283"/>
              <w:rPr/>
            </w:pPr>
            <w:r>
              <w:rPr/>
              <w:t> </w:t>
            </w:r>
          </w:p>
        </w:tc>
        <w:tc>
          <w:tcPr>
            <w:tcW w:w="820" w:type="dxa"/>
            <w:gridSpan w:val="2"/>
            <w:tcBorders>
              <w:bottom w:val="single" w:sz="12" w:space="0" w:color="000000"/>
            </w:tcBorders>
            <w:shd w:fill="auto" w:val="clear"/>
            <w:tcMar>
              <w:bottom w:w="28" w:type="dxa"/>
            </w:tcMar>
            <w:vAlign w:val="bottom"/>
          </w:tcPr>
          <w:p>
            <w:pPr>
              <w:pStyle w:val="TableContents"/>
              <w:spacing w:before="0" w:after="283"/>
              <w:rPr/>
            </w:pPr>
            <w:r>
              <w:rPr/>
              <w:t> </w:t>
            </w:r>
          </w:p>
        </w:tc>
        <w:tc>
          <w:tcPr>
            <w:tcW w:w="84" w:type="dxa"/>
            <w:tcBorders/>
            <w:shd w:fill="auto" w:val="clear"/>
            <w:vAlign w:val="bottom"/>
          </w:tcPr>
          <w:p>
            <w:pPr>
              <w:pStyle w:val="TableContents"/>
              <w:spacing w:before="0" w:after="283"/>
              <w:jc w:val="left"/>
              <w:rPr/>
            </w:pPr>
            <w:r>
              <w:rPr/>
              <w:t> </w:t>
            </w:r>
          </w:p>
        </w:tc>
      </w:tr>
      <w:tr>
        <w:trPr/>
        <w:tc>
          <w:tcPr>
            <w:tcW w:w="2502" w:type="dxa"/>
            <w:tcBorders/>
            <w:shd w:fill="auto"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(Dollars in thousands)</w:t>
            </w:r>
          </w:p>
        </w:tc>
        <w:tc>
          <w:tcPr>
            <w:tcW w:w="60" w:type="dxa"/>
            <w:tcBorders/>
            <w:shd w:fill="auto" w:val="clear"/>
            <w:vAlign w:val="bottom"/>
          </w:tcPr>
          <w:p>
            <w:pPr>
              <w:pStyle w:val="TableContents"/>
              <w:spacing w:before="0" w:after="283"/>
              <w:rPr/>
            </w:pPr>
            <w:r>
              <w:rPr/>
              <w:t> </w:t>
            </w:r>
          </w:p>
        </w:tc>
        <w:tc>
          <w:tcPr>
            <w:tcW w:w="71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2023</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2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2022</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42"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2021</w:t>
            </w:r>
          </w:p>
        </w:tc>
        <w:tc>
          <w:tcPr>
            <w:tcW w:w="61"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rPr/>
            </w:pPr>
            <w:r>
              <w:rPr/>
              <w:t> </w:t>
            </w:r>
          </w:p>
        </w:tc>
        <w:tc>
          <w:tcPr>
            <w:tcW w:w="734"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2020</w:t>
            </w:r>
          </w:p>
        </w:tc>
        <w:tc>
          <w:tcPr>
            <w:tcW w:w="61"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rPr/>
            </w:pPr>
            <w:r>
              <w:rPr/>
              <w:t> </w:t>
            </w:r>
          </w:p>
        </w:tc>
        <w:tc>
          <w:tcPr>
            <w:tcW w:w="734"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2019</w:t>
            </w:r>
          </w:p>
        </w:tc>
        <w:tc>
          <w:tcPr>
            <w:tcW w:w="61"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rPr/>
            </w:pPr>
            <w:r>
              <w:rPr/>
              <w:t> </w:t>
            </w:r>
          </w:p>
        </w:tc>
        <w:tc>
          <w:tcPr>
            <w:tcW w:w="842"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Prior</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06"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Revolving Loans</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2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Total</w:t>
            </w:r>
          </w:p>
        </w:tc>
        <w:tc>
          <w:tcPr>
            <w:tcW w:w="84" w:type="dxa"/>
            <w:tcBorders/>
            <w:shd w:fill="auto" w:val="clear"/>
            <w:vAlign w:val="bottom"/>
          </w:tcPr>
          <w:p>
            <w:pPr>
              <w:pStyle w:val="TableContents"/>
              <w:spacing w:before="0" w:after="283"/>
              <w:jc w:val="left"/>
              <w:rPr/>
            </w:pPr>
            <w:r>
              <w:rPr/>
              <w:t> </w:t>
            </w:r>
          </w:p>
        </w:tc>
      </w:tr>
      <w:tr>
        <w:trPr/>
        <w:tc>
          <w:tcPr>
            <w:tcW w:w="2502" w:type="dxa"/>
            <w:tcBorders/>
            <w:shd w:fill="auto" w:val="clear"/>
            <w:vAlign w:val="bottom"/>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r>
          </w:p>
        </w:tc>
        <w:tc>
          <w:tcPr>
            <w:tcW w:w="60" w:type="dxa"/>
            <w:tcBorders/>
            <w:shd w:fill="auto" w:val="clear"/>
            <w:vAlign w:val="bottom"/>
          </w:tcPr>
          <w:p>
            <w:pPr>
              <w:pStyle w:val="TableContents"/>
              <w:spacing w:before="0" w:after="283"/>
              <w:rPr/>
            </w:pPr>
            <w:r>
              <w:rPr/>
              <w:t> </w:t>
            </w:r>
          </w:p>
        </w:tc>
        <w:tc>
          <w:tcPr>
            <w:tcW w:w="71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2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42" w:type="dxa"/>
            <w:gridSpan w:val="2"/>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rPr/>
            </w:pPr>
            <w:r>
              <w:rPr/>
              <w:t> </w:t>
            </w:r>
          </w:p>
        </w:tc>
        <w:tc>
          <w:tcPr>
            <w:tcW w:w="734" w:type="dxa"/>
            <w:gridSpan w:val="2"/>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rPr/>
            </w:pPr>
            <w:r>
              <w:rPr/>
              <w:t> </w:t>
            </w:r>
          </w:p>
        </w:tc>
        <w:tc>
          <w:tcPr>
            <w:tcW w:w="734" w:type="dxa"/>
            <w:gridSpan w:val="2"/>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rPr/>
            </w:pPr>
            <w:r>
              <w:rPr/>
              <w:t> </w:t>
            </w:r>
          </w:p>
        </w:tc>
        <w:tc>
          <w:tcPr>
            <w:tcW w:w="842"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06"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20" w:type="dxa"/>
            <w:gridSpan w:val="2"/>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jc w:val="left"/>
              <w:rPr/>
            </w:pPr>
            <w:r>
              <w:rPr/>
              <w:t> </w:t>
            </w:r>
          </w:p>
        </w:tc>
      </w:tr>
      <w:tr>
        <w:trPr/>
        <w:tc>
          <w:tcPr>
            <w:tcW w:w="2502" w:type="dxa"/>
            <w:tcBorders/>
            <w:shd w:fill="auto"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b/>
                <w:color w:val="000000"/>
                <w:sz w:val="20"/>
              </w:rPr>
              <w:t>Commercial real estate:</w:t>
            </w:r>
            <w:r>
              <w:rPr>
                <w:rFonts w:ascii="Times New Roman;Times;serif" w:hAnsi="Times New Roman;Times;serif"/>
                <w:color w:val="000000"/>
                <w:sz w:val="20"/>
              </w:rPr>
              <w:t xml:space="preserve"> </w:t>
            </w:r>
          </w:p>
        </w:tc>
        <w:tc>
          <w:tcPr>
            <w:tcW w:w="60" w:type="dxa"/>
            <w:tcBorders/>
            <w:shd w:fill="auto" w:val="clear"/>
            <w:vAlign w:val="bottom"/>
          </w:tcPr>
          <w:p>
            <w:pPr>
              <w:pStyle w:val="TableContents"/>
              <w:spacing w:before="0" w:after="283"/>
              <w:rPr/>
            </w:pPr>
            <w:r>
              <w:rPr/>
              <w:t> </w:t>
            </w:r>
          </w:p>
        </w:tc>
        <w:tc>
          <w:tcPr>
            <w:tcW w:w="71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2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42" w:type="dxa"/>
            <w:gridSpan w:val="2"/>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rPr/>
            </w:pPr>
            <w:r>
              <w:rPr/>
              <w:t> </w:t>
            </w:r>
          </w:p>
        </w:tc>
        <w:tc>
          <w:tcPr>
            <w:tcW w:w="734" w:type="dxa"/>
            <w:gridSpan w:val="2"/>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rPr/>
            </w:pPr>
            <w:r>
              <w:rPr/>
              <w:t> </w:t>
            </w:r>
          </w:p>
        </w:tc>
        <w:tc>
          <w:tcPr>
            <w:tcW w:w="734" w:type="dxa"/>
            <w:gridSpan w:val="2"/>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rPr/>
            </w:pPr>
            <w:r>
              <w:rPr/>
              <w:t> </w:t>
            </w:r>
          </w:p>
        </w:tc>
        <w:tc>
          <w:tcPr>
            <w:tcW w:w="842"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06"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20" w:type="dxa"/>
            <w:gridSpan w:val="2"/>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jc w:val="left"/>
              <w:rPr/>
            </w:pPr>
            <w:r>
              <w:rPr/>
              <w:t> </w:t>
            </w:r>
          </w:p>
        </w:tc>
      </w:tr>
      <w:tr>
        <w:trPr/>
        <w:tc>
          <w:tcPr>
            <w:tcW w:w="2502" w:type="dxa"/>
            <w:tcBorders/>
            <w:shd w:fill="CCEEFF"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Pass</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590" w:type="dxa"/>
            <w:tcBorders/>
            <w:shd w:fill="CCEEFF"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62,228</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95" w:type="dxa"/>
            <w:tcBorders/>
            <w:shd w:fill="CCEEFF"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291,185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8" w:type="dxa"/>
            <w:tcBorders/>
            <w:shd w:fill="CCEEFF"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714" w:type="dxa"/>
            <w:tcBorders/>
            <w:shd w:fill="CCEEFF"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230,596</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28" w:type="dxa"/>
            <w:tcBorders/>
            <w:shd w:fill="CCEEFF"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06" w:type="dxa"/>
            <w:tcBorders/>
            <w:shd w:fill="CCEEFF"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65,575</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28" w:type="dxa"/>
            <w:tcBorders/>
            <w:shd w:fill="CCEEFF"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06" w:type="dxa"/>
            <w:tcBorders/>
            <w:shd w:fill="CCEEFF"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69,961</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28" w:type="dxa"/>
            <w:tcBorders/>
            <w:shd w:fill="CCEEFF"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714" w:type="dxa"/>
            <w:tcBorders/>
            <w:shd w:fill="CCEEFF"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179,093</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10" w:type="dxa"/>
            <w:tcBorders/>
            <w:shd w:fill="CCEEFF"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996" w:type="dxa"/>
            <w:tcBorders/>
            <w:shd w:fill="CCEEFF"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3,511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95" w:type="dxa"/>
            <w:tcBorders/>
            <w:shd w:fill="CCEEFF"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902,149</w:t>
            </w:r>
          </w:p>
        </w:tc>
        <w:tc>
          <w:tcPr>
            <w:tcW w:w="84" w:type="dxa"/>
            <w:tcBorders/>
            <w:shd w:fill="CCEEFF" w:val="clear"/>
            <w:vAlign w:val="bottom"/>
          </w:tcPr>
          <w:p>
            <w:pPr>
              <w:pStyle w:val="TableContents"/>
              <w:spacing w:before="0" w:after="283"/>
              <w:jc w:val="left"/>
              <w:rPr/>
            </w:pPr>
            <w:r>
              <w:rPr/>
              <w:t> </w:t>
            </w:r>
          </w:p>
        </w:tc>
      </w:tr>
      <w:tr>
        <w:trPr/>
        <w:tc>
          <w:tcPr>
            <w:tcW w:w="2502" w:type="dxa"/>
            <w:tcBorders/>
            <w:shd w:fill="auto"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Special mention</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590" w:type="dxa"/>
            <w:tcBorders/>
            <w:shd w:fill="auto" w:val="cle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8" w:type="dxa"/>
            <w:tcBorders/>
            <w:shd w:fill="auto" w:val="clear"/>
            <w:vAlign w:val="bottom"/>
          </w:tcPr>
          <w:p>
            <w:pPr>
              <w:pStyle w:val="TableContents"/>
              <w:spacing w:before="0" w:after="283"/>
              <w:jc w:val="left"/>
              <w:rPr/>
            </w:pPr>
            <w:r>
              <w:rPr/>
              <w:t> </w:t>
            </w:r>
          </w:p>
        </w:tc>
        <w:tc>
          <w:tcPr>
            <w:tcW w:w="714" w:type="dxa"/>
            <w:tcBorders/>
            <w:shd w:fill="auto" w:val="clear"/>
            <w:vAlign w:val="bottom"/>
          </w:tcPr>
          <w:p>
            <w:pPr>
              <w:pStyle w:val="TableContents"/>
              <w:spacing w:before="0" w:after="0"/>
              <w:jc w:val="right"/>
              <w:rPr>
                <w:color w:val="000000"/>
              </w:rPr>
            </w:pPr>
            <w:r>
              <w:rPr>
                <w:color w:val="000000"/>
              </w:rPr>
              <w:t>—</w:t>
            </w:r>
          </w:p>
        </w:tc>
        <w:tc>
          <w:tcPr>
            <w:tcW w:w="61"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jc w:val="right"/>
              <w:rPr/>
            </w:pPr>
            <w:r>
              <w:rPr/>
              <w:t> </w:t>
            </w:r>
          </w:p>
        </w:tc>
        <w:tc>
          <w:tcPr>
            <w:tcW w:w="128" w:type="dxa"/>
            <w:tcBorders/>
            <w:shd w:fill="auto" w:val="clear"/>
            <w:vAlign w:val="bottom"/>
          </w:tcPr>
          <w:p>
            <w:pPr>
              <w:pStyle w:val="TableContents"/>
              <w:spacing w:before="0" w:after="283"/>
              <w:jc w:val="left"/>
              <w:rPr/>
            </w:pPr>
            <w:r>
              <w:rPr/>
              <w:t> </w:t>
            </w:r>
          </w:p>
        </w:tc>
        <w:tc>
          <w:tcPr>
            <w:tcW w:w="606" w:type="dxa"/>
            <w:tcBorders/>
            <w:shd w:fill="auto" w:val="clear"/>
            <w:vAlign w:val="bottom"/>
          </w:tcPr>
          <w:p>
            <w:pPr>
              <w:pStyle w:val="TableContents"/>
              <w:spacing w:before="0" w:after="0"/>
              <w:jc w:val="right"/>
              <w:rPr>
                <w:color w:val="000000"/>
              </w:rPr>
            </w:pPr>
            <w:r>
              <w:rPr>
                <w:color w:val="000000"/>
              </w:rPr>
              <w:t>—</w:t>
            </w:r>
          </w:p>
        </w:tc>
        <w:tc>
          <w:tcPr>
            <w:tcW w:w="61"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jc w:val="right"/>
              <w:rPr/>
            </w:pPr>
            <w:r>
              <w:rPr/>
              <w:t> </w:t>
            </w:r>
          </w:p>
        </w:tc>
        <w:tc>
          <w:tcPr>
            <w:tcW w:w="128" w:type="dxa"/>
            <w:tcBorders/>
            <w:shd w:fill="auto" w:val="clear"/>
            <w:vAlign w:val="bottom"/>
          </w:tcPr>
          <w:p>
            <w:pPr>
              <w:pStyle w:val="TableContents"/>
              <w:spacing w:before="0" w:after="283"/>
              <w:jc w:val="left"/>
              <w:rPr/>
            </w:pPr>
            <w:r>
              <w:rPr/>
              <w:t> </w:t>
            </w:r>
          </w:p>
        </w:tc>
        <w:tc>
          <w:tcPr>
            <w:tcW w:w="606" w:type="dxa"/>
            <w:tcBorders/>
            <w:shd w:fill="auto" w:val="clear"/>
            <w:vAlign w:val="bottom"/>
          </w:tcPr>
          <w:p>
            <w:pPr>
              <w:pStyle w:val="TableContents"/>
              <w:spacing w:before="0" w:after="0"/>
              <w:jc w:val="right"/>
              <w:rPr>
                <w:color w:val="000000"/>
              </w:rPr>
            </w:pPr>
            <w:r>
              <w:rPr>
                <w:color w:val="000000"/>
              </w:rPr>
              <w:t>—</w:t>
            </w:r>
          </w:p>
        </w:tc>
        <w:tc>
          <w:tcPr>
            <w:tcW w:w="61"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jc w:val="right"/>
              <w:rPr/>
            </w:pPr>
            <w:r>
              <w:rPr/>
              <w:t> </w:t>
            </w:r>
          </w:p>
        </w:tc>
        <w:tc>
          <w:tcPr>
            <w:tcW w:w="128" w:type="dxa"/>
            <w:tcBorders/>
            <w:shd w:fill="auto" w:val="clear"/>
            <w:vAlign w:val="bottom"/>
          </w:tcPr>
          <w:p>
            <w:pPr>
              <w:pStyle w:val="TableContents"/>
              <w:spacing w:before="0" w:after="283"/>
              <w:jc w:val="left"/>
              <w:rPr/>
            </w:pPr>
            <w:r>
              <w:rPr/>
              <w:t> </w:t>
            </w:r>
          </w:p>
        </w:tc>
        <w:tc>
          <w:tcPr>
            <w:tcW w:w="714" w:type="dxa"/>
            <w:tcBorders/>
            <w:shd w:fill="auto" w:val="cle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10" w:type="dxa"/>
            <w:tcBorders/>
            <w:shd w:fill="auto" w:val="clear"/>
            <w:vAlign w:val="bottom"/>
          </w:tcPr>
          <w:p>
            <w:pPr>
              <w:pStyle w:val="TableContents"/>
              <w:spacing w:before="0" w:after="283"/>
              <w:jc w:val="left"/>
              <w:rPr/>
            </w:pPr>
            <w:r>
              <w:rPr/>
              <w:t> </w:t>
            </w:r>
          </w:p>
        </w:tc>
        <w:tc>
          <w:tcPr>
            <w:tcW w:w="996" w:type="dxa"/>
            <w:tcBorders/>
            <w:shd w:fill="auto" w:val="cle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0"/>
              <w:jc w:val="right"/>
              <w:rPr>
                <w:color w:val="000000"/>
              </w:rPr>
            </w:pPr>
            <w:r>
              <w:rPr>
                <w:color w:val="000000"/>
              </w:rPr>
              <w:t>—</w:t>
            </w:r>
          </w:p>
        </w:tc>
        <w:tc>
          <w:tcPr>
            <w:tcW w:w="84" w:type="dxa"/>
            <w:tcBorders/>
            <w:shd w:fill="auto" w:val="clear"/>
            <w:vAlign w:val="bottom"/>
          </w:tcPr>
          <w:p>
            <w:pPr>
              <w:pStyle w:val="TableContents"/>
              <w:spacing w:before="0" w:after="283"/>
              <w:jc w:val="left"/>
              <w:rPr/>
            </w:pPr>
            <w:r>
              <w:rPr/>
              <w:t> </w:t>
            </w:r>
          </w:p>
        </w:tc>
      </w:tr>
      <w:tr>
        <w:trPr/>
        <w:tc>
          <w:tcPr>
            <w:tcW w:w="2502" w:type="dxa"/>
            <w:tcBorders/>
            <w:shd w:fill="CCEEFF"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Classified</w:t>
            </w:r>
          </w:p>
        </w:tc>
        <w:tc>
          <w:tcPr>
            <w:tcW w:w="6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19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8"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14" w:type="dxa"/>
            <w:tcBorders>
              <w:bottom w:val="single" w:sz="12" w:space="0" w:color="000000"/>
            </w:tcBorders>
            <w:shd w:fill="CCEEFF"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117</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28"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06" w:type="dxa"/>
            <w:tcBorders>
              <w:bottom w:val="single" w:sz="12" w:space="0" w:color="000000"/>
            </w:tcBorders>
            <w:shd w:fill="CCEEFF"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1,841</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28"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06" w:type="dxa"/>
            <w:tcBorders>
              <w:bottom w:val="single" w:sz="12" w:space="0" w:color="000000"/>
            </w:tcBorders>
            <w:shd w:fill="CCEEFF"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870</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28"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14" w:type="dxa"/>
            <w:tcBorders>
              <w:bottom w:val="single" w:sz="12" w:space="0" w:color="000000"/>
            </w:tcBorders>
            <w:shd w:fill="CCEEFF"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21,022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96"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23,869</w:t>
            </w:r>
          </w:p>
        </w:tc>
        <w:tc>
          <w:tcPr>
            <w:tcW w:w="84" w:type="dxa"/>
            <w:tcBorders/>
            <w:shd w:fill="CCEEFF" w:val="clear"/>
            <w:vAlign w:val="bottom"/>
          </w:tcPr>
          <w:p>
            <w:pPr>
              <w:pStyle w:val="TableContents"/>
              <w:spacing w:before="0" w:after="283"/>
              <w:jc w:val="left"/>
              <w:rPr/>
            </w:pPr>
            <w:r>
              <w:rPr/>
              <w:t> </w:t>
            </w:r>
          </w:p>
        </w:tc>
      </w:tr>
      <w:tr>
        <w:trPr/>
        <w:tc>
          <w:tcPr>
            <w:tcW w:w="2502" w:type="dxa"/>
            <w:tcBorders/>
            <w:shd w:fill="auto" w:val="clear"/>
            <w:vAlign w:val="bottom"/>
          </w:tcPr>
          <w:p>
            <w:pPr>
              <w:pStyle w:val="TableContents"/>
              <w:spacing w:before="0" w:after="0"/>
              <w:ind w:left="360" w:right="0" w:hanging="180"/>
              <w:jc w:val="left"/>
              <w:rPr>
                <w:rFonts w:ascii="Times New Roman;Times;serif" w:hAnsi="Times New Roman;Times;serif"/>
                <w:color w:val="000000"/>
                <w:sz w:val="20"/>
              </w:rPr>
            </w:pPr>
            <w:r>
              <w:rPr>
                <w:rFonts w:ascii="Times New Roman;Times;serif" w:hAnsi="Times New Roman;Times;serif"/>
                <w:color w:val="000000"/>
                <w:sz w:val="20"/>
              </w:rPr>
              <w:t>Total commercial real estate loans</w:t>
            </w:r>
          </w:p>
        </w:tc>
        <w:tc>
          <w:tcPr>
            <w:tcW w:w="60" w:type="dxa"/>
            <w:tcBorders/>
            <w:shd w:fill="auto" w:val="clear"/>
            <w:vAlign w:val="bottom"/>
          </w:tcPr>
          <w:p>
            <w:pPr>
              <w:pStyle w:val="TableContents"/>
              <w:spacing w:before="0" w:after="283"/>
              <w:jc w:val="right"/>
              <w:rPr/>
            </w:pPr>
            <w:r>
              <w:rPr/>
              <w:t> </w:t>
            </w:r>
          </w:p>
        </w:tc>
        <w:tc>
          <w:tcPr>
            <w:tcW w:w="125" w:type="dxa"/>
            <w:tcBorders>
              <w:bottom w:val="double" w:sz="8" w:space="0" w:color="000000"/>
            </w:tcBorders>
            <w:shd w:fill="auto" w:val="clear"/>
            <w:tcMar>
              <w:bottom w:w="28" w:type="dxa"/>
            </w:tcM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590" w:type="dxa"/>
            <w:tcBorders>
              <w:bottom w:val="double" w:sz="8" w:space="0" w:color="000000"/>
            </w:tcBorders>
            <w:shd w:fill="auto"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62,228</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bottom w:val="double" w:sz="8" w:space="0" w:color="000000"/>
            </w:tcBorders>
            <w:shd w:fill="auto" w:val="clear"/>
            <w:tcMar>
              <w:bottom w:w="28" w:type="dxa"/>
            </w:tcM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95" w:type="dxa"/>
            <w:tcBorders>
              <w:bottom w:val="double" w:sz="8" w:space="0" w:color="000000"/>
            </w:tcBorders>
            <w:shd w:fill="auto"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291,204</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8" w:type="dxa"/>
            <w:tcBorders>
              <w:bottom w:val="double" w:sz="8" w:space="0" w:color="000000"/>
            </w:tcBorders>
            <w:shd w:fill="auto" w:val="clear"/>
            <w:tcMar>
              <w:bottom w:w="28" w:type="dxa"/>
            </w:tcM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714" w:type="dxa"/>
            <w:tcBorders>
              <w:bottom w:val="double" w:sz="8" w:space="0" w:color="000000"/>
            </w:tcBorders>
            <w:shd w:fill="auto"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230,713</w:t>
            </w:r>
          </w:p>
        </w:tc>
        <w:tc>
          <w:tcPr>
            <w:tcW w:w="61"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jc w:val="right"/>
              <w:rPr/>
            </w:pPr>
            <w:r>
              <w:rPr/>
              <w:t> </w:t>
            </w:r>
          </w:p>
        </w:tc>
        <w:tc>
          <w:tcPr>
            <w:tcW w:w="128" w:type="dxa"/>
            <w:tcBorders>
              <w:bottom w:val="double" w:sz="8" w:space="0" w:color="000000"/>
            </w:tcBorders>
            <w:shd w:fill="auto" w:val="clear"/>
            <w:tcMar>
              <w:bottom w:w="28" w:type="dxa"/>
            </w:tcM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06" w:type="dxa"/>
            <w:tcBorders>
              <w:bottom w:val="double" w:sz="8" w:space="0" w:color="000000"/>
            </w:tcBorders>
            <w:shd w:fill="auto"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67,416</w:t>
            </w:r>
          </w:p>
        </w:tc>
        <w:tc>
          <w:tcPr>
            <w:tcW w:w="61"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jc w:val="right"/>
              <w:rPr/>
            </w:pPr>
            <w:r>
              <w:rPr/>
              <w:t> </w:t>
            </w:r>
          </w:p>
        </w:tc>
        <w:tc>
          <w:tcPr>
            <w:tcW w:w="128" w:type="dxa"/>
            <w:tcBorders>
              <w:bottom w:val="double" w:sz="8" w:space="0" w:color="000000"/>
            </w:tcBorders>
            <w:shd w:fill="auto" w:val="clear"/>
            <w:tcMar>
              <w:bottom w:w="28" w:type="dxa"/>
            </w:tcM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06" w:type="dxa"/>
            <w:tcBorders>
              <w:bottom w:val="double" w:sz="8" w:space="0" w:color="000000"/>
            </w:tcBorders>
            <w:shd w:fill="auto"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70,831</w:t>
            </w:r>
          </w:p>
        </w:tc>
        <w:tc>
          <w:tcPr>
            <w:tcW w:w="61"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jc w:val="right"/>
              <w:rPr/>
            </w:pPr>
            <w:r>
              <w:rPr/>
              <w:t> </w:t>
            </w:r>
          </w:p>
        </w:tc>
        <w:tc>
          <w:tcPr>
            <w:tcW w:w="128" w:type="dxa"/>
            <w:tcBorders>
              <w:bottom w:val="double" w:sz="8" w:space="0" w:color="000000"/>
            </w:tcBorders>
            <w:shd w:fill="auto" w:val="clear"/>
            <w:tcMar>
              <w:bottom w:w="28" w:type="dxa"/>
            </w:tcM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714" w:type="dxa"/>
            <w:tcBorders>
              <w:bottom w:val="double" w:sz="8" w:space="0" w:color="000000"/>
            </w:tcBorders>
            <w:shd w:fill="auto"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200,115</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10" w:type="dxa"/>
            <w:tcBorders>
              <w:bottom w:val="double" w:sz="8" w:space="0" w:color="000000"/>
            </w:tcBorders>
            <w:shd w:fill="auto" w:val="clear"/>
            <w:tcMar>
              <w:bottom w:w="28" w:type="dxa"/>
            </w:tcM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996" w:type="dxa"/>
            <w:tcBorders>
              <w:bottom w:val="double" w:sz="8" w:space="0" w:color="000000"/>
            </w:tcBorders>
            <w:shd w:fill="auto"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3,511</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bottom w:val="double" w:sz="8" w:space="0" w:color="000000"/>
            </w:tcBorders>
            <w:shd w:fill="auto" w:val="clear"/>
            <w:tcMar>
              <w:bottom w:w="28" w:type="dxa"/>
            </w:tcM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95" w:type="dxa"/>
            <w:tcBorders>
              <w:bottom w:val="double" w:sz="8" w:space="0" w:color="000000"/>
            </w:tcBorders>
            <w:shd w:fill="auto"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926,018</w:t>
            </w:r>
          </w:p>
        </w:tc>
        <w:tc>
          <w:tcPr>
            <w:tcW w:w="84" w:type="dxa"/>
            <w:tcBorders/>
            <w:shd w:fill="auto" w:val="clear"/>
            <w:vAlign w:val="bottom"/>
          </w:tcPr>
          <w:p>
            <w:pPr>
              <w:pStyle w:val="TableContents"/>
              <w:spacing w:before="0" w:after="283"/>
              <w:jc w:val="left"/>
              <w:rPr/>
            </w:pPr>
            <w:r>
              <w:rPr/>
              <w:t> </w:t>
            </w:r>
          </w:p>
        </w:tc>
      </w:tr>
      <w:tr>
        <w:trPr/>
        <w:tc>
          <w:tcPr>
            <w:tcW w:w="2502" w:type="dxa"/>
            <w:tcBorders/>
            <w:shd w:fill="CCEEFF" w:val="clear"/>
            <w:vAlign w:val="bottom"/>
          </w:tcPr>
          <w:p>
            <w:pPr>
              <w:pStyle w:val="TableContents"/>
              <w:spacing w:before="0" w:after="0"/>
              <w:ind w:left="180" w:right="0" w:hanging="180"/>
              <w:jc w:val="left"/>
              <w:rPr>
                <w:rFonts w:ascii="Times New Roman;Times;serif" w:hAnsi="Times New Roman;Times;serif"/>
                <w:color w:val="000000"/>
                <w:sz w:val="20"/>
              </w:rPr>
            </w:pPr>
            <w:r>
              <w:rPr>
                <w:rFonts w:ascii="Times New Roman;Times;serif" w:hAnsi="Times New Roman;Times;serif"/>
                <w:color w:val="000000"/>
                <w:sz w:val="20"/>
              </w:rPr>
              <w:t>Current period gross charge-offs</w:t>
            </w:r>
          </w:p>
        </w:tc>
        <w:tc>
          <w:tcPr>
            <w:tcW w:w="6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590"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95"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8" w:type="dxa"/>
            <w:tcBorders>
              <w:bottom w:val="single" w:sz="12" w:space="0" w:color="000000"/>
            </w:tcBorders>
            <w:shd w:fill="CCEEFF" w:val="clear"/>
            <w:tcMar>
              <w:bottom w:w="28" w:type="dxa"/>
            </w:tcM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714"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28" w:type="dxa"/>
            <w:tcBorders>
              <w:bottom w:val="single" w:sz="12" w:space="0" w:color="000000"/>
            </w:tcBorders>
            <w:shd w:fill="CCEEFF" w:val="clear"/>
            <w:tcMar>
              <w:bottom w:w="28" w:type="dxa"/>
            </w:tcM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06"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28" w:type="dxa"/>
            <w:tcBorders>
              <w:bottom w:val="single" w:sz="12" w:space="0" w:color="000000"/>
            </w:tcBorders>
            <w:shd w:fill="CCEEFF" w:val="clear"/>
            <w:tcMar>
              <w:bottom w:w="28" w:type="dxa"/>
            </w:tcM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06"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28" w:type="dxa"/>
            <w:tcBorders>
              <w:bottom w:val="single" w:sz="12" w:space="0" w:color="000000"/>
            </w:tcBorders>
            <w:shd w:fill="CCEEFF" w:val="clear"/>
            <w:tcMar>
              <w:bottom w:w="28" w:type="dxa"/>
            </w:tcM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714"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10" w:type="dxa"/>
            <w:tcBorders>
              <w:bottom w:val="single" w:sz="12" w:space="0" w:color="000000"/>
            </w:tcBorders>
            <w:shd w:fill="CCEEFF" w:val="clear"/>
            <w:tcMar>
              <w:bottom w:w="28" w:type="dxa"/>
            </w:tcM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996"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95"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w:t>
            </w:r>
          </w:p>
        </w:tc>
        <w:tc>
          <w:tcPr>
            <w:tcW w:w="84" w:type="dxa"/>
            <w:tcBorders/>
            <w:shd w:fill="CCEEFF" w:val="clear"/>
            <w:vAlign w:val="bottom"/>
          </w:tcPr>
          <w:p>
            <w:pPr>
              <w:pStyle w:val="TableContents"/>
              <w:spacing w:before="0" w:after="283"/>
              <w:jc w:val="left"/>
              <w:rPr/>
            </w:pPr>
            <w:r>
              <w:rPr/>
              <w:t> </w:t>
            </w:r>
          </w:p>
        </w:tc>
      </w:tr>
      <w:tr>
        <w:trPr/>
        <w:tc>
          <w:tcPr>
            <w:tcW w:w="2502" w:type="dxa"/>
            <w:tcBorders/>
            <w:shd w:fill="auto" w:val="clear"/>
            <w:vAlign w:val="bottom"/>
          </w:tcPr>
          <w:p>
            <w:pPr>
              <w:pStyle w:val="TableContents"/>
              <w:spacing w:before="0" w:after="0"/>
              <w:jc w:val="left"/>
              <w:rPr>
                <w:color w:val="000000"/>
              </w:rPr>
            </w:pPr>
            <w:r>
              <w:rPr>
                <w:color w:val="000000"/>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59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8" w:type="dxa"/>
            <w:tcBorders/>
            <w:shd w:fill="auto" w:val="clear"/>
            <w:vAlign w:val="bottom"/>
          </w:tcPr>
          <w:p>
            <w:pPr>
              <w:pStyle w:val="TableContents"/>
              <w:spacing w:before="0" w:after="283"/>
              <w:jc w:val="left"/>
              <w:rPr/>
            </w:pPr>
            <w:r>
              <w:rPr/>
              <w:t> </w:t>
            </w:r>
          </w:p>
        </w:tc>
        <w:tc>
          <w:tcPr>
            <w:tcW w:w="714" w:type="dxa"/>
            <w:tcBorders/>
            <w:shd w:fill="auto" w:val="clear"/>
            <w:vAlign w:val="bottom"/>
          </w:tcPr>
          <w:p>
            <w:pPr>
              <w:pStyle w:val="TableContents"/>
              <w:spacing w:before="0" w:after="283"/>
              <w:jc w:val="right"/>
              <w:rPr/>
            </w:pPr>
            <w:r>
              <w:rPr/>
              <w:t> </w:t>
            </w:r>
          </w:p>
        </w:tc>
        <w:tc>
          <w:tcPr>
            <w:tcW w:w="61"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jc w:val="right"/>
              <w:rPr/>
            </w:pPr>
            <w:r>
              <w:rPr/>
              <w:t> </w:t>
            </w:r>
          </w:p>
        </w:tc>
        <w:tc>
          <w:tcPr>
            <w:tcW w:w="128" w:type="dxa"/>
            <w:tcBorders/>
            <w:shd w:fill="auto" w:val="clear"/>
            <w:vAlign w:val="bottom"/>
          </w:tcPr>
          <w:p>
            <w:pPr>
              <w:pStyle w:val="TableContents"/>
              <w:spacing w:before="0" w:after="283"/>
              <w:jc w:val="left"/>
              <w:rPr/>
            </w:pPr>
            <w:r>
              <w:rPr/>
              <w:t> </w:t>
            </w:r>
          </w:p>
        </w:tc>
        <w:tc>
          <w:tcPr>
            <w:tcW w:w="606" w:type="dxa"/>
            <w:tcBorders/>
            <w:shd w:fill="auto" w:val="clear"/>
            <w:vAlign w:val="bottom"/>
          </w:tcPr>
          <w:p>
            <w:pPr>
              <w:pStyle w:val="TableContents"/>
              <w:spacing w:before="0" w:after="283"/>
              <w:jc w:val="right"/>
              <w:rPr/>
            </w:pPr>
            <w:r>
              <w:rPr/>
              <w:t> </w:t>
            </w:r>
          </w:p>
        </w:tc>
        <w:tc>
          <w:tcPr>
            <w:tcW w:w="61"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jc w:val="right"/>
              <w:rPr/>
            </w:pPr>
            <w:r>
              <w:rPr/>
              <w:t> </w:t>
            </w:r>
          </w:p>
        </w:tc>
        <w:tc>
          <w:tcPr>
            <w:tcW w:w="128" w:type="dxa"/>
            <w:tcBorders/>
            <w:shd w:fill="auto" w:val="clear"/>
            <w:vAlign w:val="bottom"/>
          </w:tcPr>
          <w:p>
            <w:pPr>
              <w:pStyle w:val="TableContents"/>
              <w:spacing w:before="0" w:after="283"/>
              <w:jc w:val="left"/>
              <w:rPr/>
            </w:pPr>
            <w:r>
              <w:rPr/>
              <w:t> </w:t>
            </w:r>
          </w:p>
        </w:tc>
        <w:tc>
          <w:tcPr>
            <w:tcW w:w="606" w:type="dxa"/>
            <w:tcBorders/>
            <w:shd w:fill="auto" w:val="clear"/>
            <w:vAlign w:val="bottom"/>
          </w:tcPr>
          <w:p>
            <w:pPr>
              <w:pStyle w:val="TableContents"/>
              <w:spacing w:before="0" w:after="283"/>
              <w:jc w:val="right"/>
              <w:rPr/>
            </w:pPr>
            <w:r>
              <w:rPr/>
              <w:t> </w:t>
            </w:r>
          </w:p>
        </w:tc>
        <w:tc>
          <w:tcPr>
            <w:tcW w:w="61"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jc w:val="right"/>
              <w:rPr/>
            </w:pPr>
            <w:r>
              <w:rPr/>
              <w:t> </w:t>
            </w:r>
          </w:p>
        </w:tc>
        <w:tc>
          <w:tcPr>
            <w:tcW w:w="128" w:type="dxa"/>
            <w:tcBorders/>
            <w:shd w:fill="auto" w:val="clear"/>
            <w:vAlign w:val="bottom"/>
          </w:tcPr>
          <w:p>
            <w:pPr>
              <w:pStyle w:val="TableContents"/>
              <w:spacing w:before="0" w:after="283"/>
              <w:jc w:val="left"/>
              <w:rPr/>
            </w:pPr>
            <w:r>
              <w:rPr/>
              <w:t> </w:t>
            </w:r>
          </w:p>
        </w:tc>
        <w:tc>
          <w:tcPr>
            <w:tcW w:w="71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10" w:type="dxa"/>
            <w:tcBorders/>
            <w:shd w:fill="auto" w:val="clear"/>
            <w:vAlign w:val="bottom"/>
          </w:tcPr>
          <w:p>
            <w:pPr>
              <w:pStyle w:val="TableContents"/>
              <w:spacing w:before="0" w:after="283"/>
              <w:jc w:val="left"/>
              <w:rPr/>
            </w:pPr>
            <w:r>
              <w:rPr/>
              <w:t> </w:t>
            </w:r>
          </w:p>
        </w:tc>
        <w:tc>
          <w:tcPr>
            <w:tcW w:w="996"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283"/>
              <w:jc w:val="right"/>
              <w:rPr/>
            </w:pPr>
            <w:r>
              <w:rPr/>
              <w:t> </w:t>
            </w:r>
          </w:p>
        </w:tc>
        <w:tc>
          <w:tcPr>
            <w:tcW w:w="84" w:type="dxa"/>
            <w:tcBorders/>
            <w:shd w:fill="auto" w:val="clear"/>
            <w:vAlign w:val="bottom"/>
          </w:tcPr>
          <w:p>
            <w:pPr>
              <w:pStyle w:val="TableContents"/>
              <w:spacing w:before="0" w:after="283"/>
              <w:jc w:val="left"/>
              <w:rPr/>
            </w:pPr>
            <w:r>
              <w:rPr/>
              <w:t> </w:t>
            </w:r>
          </w:p>
        </w:tc>
      </w:tr>
      <w:tr>
        <w:trPr/>
        <w:tc>
          <w:tcPr>
            <w:tcW w:w="2502" w:type="dxa"/>
            <w:tcBorders/>
            <w:shd w:fill="CCEEFF" w:val="clear"/>
            <w:vAlign w:val="bottom"/>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Commercial - specialized:</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8" w:type="dxa"/>
            <w:tcBorders/>
            <w:shd w:fill="CCEEFF" w:val="clear"/>
            <w:vAlign w:val="bottom"/>
          </w:tcPr>
          <w:p>
            <w:pPr>
              <w:pStyle w:val="TableContents"/>
              <w:spacing w:before="0" w:after="283"/>
              <w:jc w:val="left"/>
              <w:rPr/>
            </w:pPr>
            <w:r>
              <w:rPr/>
              <w:t> </w:t>
            </w:r>
          </w:p>
        </w:tc>
        <w:tc>
          <w:tcPr>
            <w:tcW w:w="714" w:type="dxa"/>
            <w:tcBorders/>
            <w:shd w:fill="CCEEFF" w:val="clear"/>
            <w:vAlign w:val="bottom"/>
          </w:tcPr>
          <w:p>
            <w:pPr>
              <w:pStyle w:val="TableContents"/>
              <w:spacing w:before="0" w:after="283"/>
              <w:jc w:val="right"/>
              <w:rPr/>
            </w:pPr>
            <w:r>
              <w:rPr/>
              <w:t> </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28" w:type="dxa"/>
            <w:tcBorders/>
            <w:shd w:fill="CCEEFF" w:val="clear"/>
            <w:vAlign w:val="bottom"/>
          </w:tcPr>
          <w:p>
            <w:pPr>
              <w:pStyle w:val="TableContents"/>
              <w:spacing w:before="0" w:after="283"/>
              <w:jc w:val="left"/>
              <w:rPr/>
            </w:pPr>
            <w:r>
              <w:rPr/>
              <w:t> </w:t>
            </w:r>
          </w:p>
        </w:tc>
        <w:tc>
          <w:tcPr>
            <w:tcW w:w="606" w:type="dxa"/>
            <w:tcBorders/>
            <w:shd w:fill="CCEEFF" w:val="clear"/>
            <w:vAlign w:val="bottom"/>
          </w:tcPr>
          <w:p>
            <w:pPr>
              <w:pStyle w:val="TableContents"/>
              <w:spacing w:before="0" w:after="283"/>
              <w:jc w:val="right"/>
              <w:rPr/>
            </w:pPr>
            <w:r>
              <w:rPr/>
              <w:t> </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28" w:type="dxa"/>
            <w:tcBorders/>
            <w:shd w:fill="CCEEFF" w:val="clear"/>
            <w:vAlign w:val="bottom"/>
          </w:tcPr>
          <w:p>
            <w:pPr>
              <w:pStyle w:val="TableContents"/>
              <w:spacing w:before="0" w:after="283"/>
              <w:jc w:val="left"/>
              <w:rPr/>
            </w:pPr>
            <w:r>
              <w:rPr/>
              <w:t> </w:t>
            </w:r>
          </w:p>
        </w:tc>
        <w:tc>
          <w:tcPr>
            <w:tcW w:w="606" w:type="dxa"/>
            <w:tcBorders/>
            <w:shd w:fill="CCEEFF" w:val="clear"/>
            <w:vAlign w:val="bottom"/>
          </w:tcPr>
          <w:p>
            <w:pPr>
              <w:pStyle w:val="TableContents"/>
              <w:spacing w:before="0" w:after="283"/>
              <w:jc w:val="right"/>
              <w:rPr/>
            </w:pPr>
            <w:r>
              <w:rPr/>
              <w:t> </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28" w:type="dxa"/>
            <w:tcBorders/>
            <w:shd w:fill="CCEEFF" w:val="clear"/>
            <w:vAlign w:val="bottom"/>
          </w:tcPr>
          <w:p>
            <w:pPr>
              <w:pStyle w:val="TableContents"/>
              <w:spacing w:before="0" w:after="283"/>
              <w:jc w:val="left"/>
              <w:rPr/>
            </w:pPr>
            <w:r>
              <w:rPr/>
              <w:t> </w:t>
            </w:r>
          </w:p>
        </w:tc>
        <w:tc>
          <w:tcPr>
            <w:tcW w:w="71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10"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283"/>
              <w:jc w:val="right"/>
              <w:rPr/>
            </w:pPr>
            <w:r>
              <w:rPr/>
              <w:t> </w:t>
            </w:r>
          </w:p>
        </w:tc>
        <w:tc>
          <w:tcPr>
            <w:tcW w:w="84" w:type="dxa"/>
            <w:tcBorders/>
            <w:shd w:fill="CCEEFF" w:val="clear"/>
            <w:vAlign w:val="bottom"/>
          </w:tcPr>
          <w:p>
            <w:pPr>
              <w:pStyle w:val="TableContents"/>
              <w:spacing w:before="0" w:after="283"/>
              <w:jc w:val="left"/>
              <w:rPr/>
            </w:pPr>
            <w:r>
              <w:rPr/>
              <w:t> </w:t>
            </w:r>
          </w:p>
        </w:tc>
      </w:tr>
      <w:tr>
        <w:trPr/>
        <w:tc>
          <w:tcPr>
            <w:tcW w:w="2502" w:type="dxa"/>
            <w:tcBorders/>
            <w:shd w:fill="auto"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Pass</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590" w:type="dxa"/>
            <w:tcBorders/>
            <w:shd w:fill="auto"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26,236</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95" w:type="dxa"/>
            <w:tcBorders/>
            <w:shd w:fill="auto"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70,603</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8" w:type="dxa"/>
            <w:tcBorders/>
            <w:shd w:fill="auto"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714" w:type="dxa"/>
            <w:tcBorders/>
            <w:shd w:fill="auto"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65,620</w:t>
            </w:r>
          </w:p>
        </w:tc>
        <w:tc>
          <w:tcPr>
            <w:tcW w:w="61"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jc w:val="right"/>
              <w:rPr/>
            </w:pPr>
            <w:r>
              <w:rPr/>
              <w:t> </w:t>
            </w:r>
          </w:p>
        </w:tc>
        <w:tc>
          <w:tcPr>
            <w:tcW w:w="128" w:type="dxa"/>
            <w:tcBorders/>
            <w:shd w:fill="auto"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06" w:type="dxa"/>
            <w:tcBorders/>
            <w:shd w:fill="auto"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22,967</w:t>
            </w:r>
          </w:p>
        </w:tc>
        <w:tc>
          <w:tcPr>
            <w:tcW w:w="61"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jc w:val="right"/>
              <w:rPr/>
            </w:pPr>
            <w:r>
              <w:rPr/>
              <w:t> </w:t>
            </w:r>
          </w:p>
        </w:tc>
        <w:tc>
          <w:tcPr>
            <w:tcW w:w="128" w:type="dxa"/>
            <w:tcBorders/>
            <w:shd w:fill="auto"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06" w:type="dxa"/>
            <w:tcBorders/>
            <w:shd w:fill="auto"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17,446</w:t>
            </w:r>
          </w:p>
        </w:tc>
        <w:tc>
          <w:tcPr>
            <w:tcW w:w="61"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jc w:val="right"/>
              <w:rPr/>
            </w:pPr>
            <w:r>
              <w:rPr/>
              <w:t> </w:t>
            </w:r>
          </w:p>
        </w:tc>
        <w:tc>
          <w:tcPr>
            <w:tcW w:w="128" w:type="dxa"/>
            <w:tcBorders/>
            <w:shd w:fill="auto"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714" w:type="dxa"/>
            <w:tcBorders/>
            <w:shd w:fill="auto"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29,568</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10" w:type="dxa"/>
            <w:tcBorders/>
            <w:shd w:fill="auto"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996" w:type="dxa"/>
            <w:tcBorders/>
            <w:shd w:fill="auto"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82,523</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95" w:type="dxa"/>
            <w:tcBorders/>
            <w:shd w:fill="auto"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314,963</w:t>
            </w:r>
          </w:p>
        </w:tc>
        <w:tc>
          <w:tcPr>
            <w:tcW w:w="84" w:type="dxa"/>
            <w:tcBorders/>
            <w:shd w:fill="auto" w:val="clear"/>
            <w:vAlign w:val="bottom"/>
          </w:tcPr>
          <w:p>
            <w:pPr>
              <w:pStyle w:val="TableContents"/>
              <w:spacing w:before="0" w:after="283"/>
              <w:jc w:val="left"/>
              <w:rPr/>
            </w:pPr>
            <w:r>
              <w:rPr/>
              <w:t> </w:t>
            </w:r>
          </w:p>
        </w:tc>
      </w:tr>
      <w:tr>
        <w:trPr/>
        <w:tc>
          <w:tcPr>
            <w:tcW w:w="2502" w:type="dxa"/>
            <w:tcBorders/>
            <w:shd w:fill="CCEEFF"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Special mention</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8" w:type="dxa"/>
            <w:tcBorders/>
            <w:shd w:fill="CCEEFF" w:val="clear"/>
            <w:vAlign w:val="bottom"/>
          </w:tcPr>
          <w:p>
            <w:pPr>
              <w:pStyle w:val="TableContents"/>
              <w:spacing w:before="0" w:after="283"/>
              <w:jc w:val="left"/>
              <w:rPr/>
            </w:pPr>
            <w:r>
              <w:rPr/>
              <w:t> </w:t>
            </w:r>
          </w:p>
        </w:tc>
        <w:tc>
          <w:tcPr>
            <w:tcW w:w="714" w:type="dxa"/>
            <w:tcBorders/>
            <w:shd w:fill="CCEEFF" w:val="clear"/>
            <w:vAlign w:val="bottom"/>
          </w:tcPr>
          <w:p>
            <w:pPr>
              <w:pStyle w:val="TableContents"/>
              <w:spacing w:before="0" w:after="0"/>
              <w:jc w:val="right"/>
              <w:rPr>
                <w:color w:val="000000"/>
              </w:rPr>
            </w:pPr>
            <w:r>
              <w:rPr>
                <w:color w:val="000000"/>
              </w:rPr>
              <w:t>—</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28" w:type="dxa"/>
            <w:tcBorders/>
            <w:shd w:fill="CCEEFF" w:val="clear"/>
            <w:vAlign w:val="bottom"/>
          </w:tcPr>
          <w:p>
            <w:pPr>
              <w:pStyle w:val="TableContents"/>
              <w:spacing w:before="0" w:after="283"/>
              <w:jc w:val="left"/>
              <w:rPr/>
            </w:pPr>
            <w:r>
              <w:rPr/>
              <w:t> </w:t>
            </w:r>
          </w:p>
        </w:tc>
        <w:tc>
          <w:tcPr>
            <w:tcW w:w="606" w:type="dxa"/>
            <w:tcBorders/>
            <w:shd w:fill="CCEEFF" w:val="clear"/>
            <w:vAlign w:val="bottom"/>
          </w:tcPr>
          <w:p>
            <w:pPr>
              <w:pStyle w:val="TableContents"/>
              <w:spacing w:before="0" w:after="0"/>
              <w:jc w:val="right"/>
              <w:rPr>
                <w:color w:val="000000"/>
              </w:rPr>
            </w:pPr>
            <w:r>
              <w:rPr>
                <w:color w:val="000000"/>
              </w:rPr>
              <w:t>—</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28" w:type="dxa"/>
            <w:tcBorders/>
            <w:shd w:fill="CCEEFF" w:val="clear"/>
            <w:vAlign w:val="bottom"/>
          </w:tcPr>
          <w:p>
            <w:pPr>
              <w:pStyle w:val="TableContents"/>
              <w:spacing w:before="0" w:after="283"/>
              <w:jc w:val="left"/>
              <w:rPr/>
            </w:pPr>
            <w:r>
              <w:rPr/>
              <w:t> </w:t>
            </w:r>
          </w:p>
        </w:tc>
        <w:tc>
          <w:tcPr>
            <w:tcW w:w="606" w:type="dxa"/>
            <w:tcBorders/>
            <w:shd w:fill="CCEEFF" w:val="clear"/>
            <w:vAlign w:val="bottom"/>
          </w:tcPr>
          <w:p>
            <w:pPr>
              <w:pStyle w:val="TableContents"/>
              <w:spacing w:before="0" w:after="0"/>
              <w:jc w:val="right"/>
              <w:rPr>
                <w:color w:val="000000"/>
              </w:rPr>
            </w:pPr>
            <w:r>
              <w:rPr>
                <w:color w:val="000000"/>
              </w:rPr>
              <w:t>—</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28" w:type="dxa"/>
            <w:tcBorders/>
            <w:shd w:fill="CCEEFF" w:val="clear"/>
            <w:vAlign w:val="bottom"/>
          </w:tcPr>
          <w:p>
            <w:pPr>
              <w:pStyle w:val="TableContents"/>
              <w:spacing w:before="0" w:after="283"/>
              <w:jc w:val="left"/>
              <w:rPr/>
            </w:pPr>
            <w:r>
              <w:rPr/>
              <w:t> </w:t>
            </w:r>
          </w:p>
        </w:tc>
        <w:tc>
          <w:tcPr>
            <w:tcW w:w="714"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10"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0"/>
              <w:jc w:val="right"/>
              <w:rPr>
                <w:color w:val="000000"/>
              </w:rPr>
            </w:pPr>
            <w:r>
              <w:rPr>
                <w:color w:val="000000"/>
              </w:rPr>
              <w:t>—</w:t>
            </w:r>
          </w:p>
        </w:tc>
        <w:tc>
          <w:tcPr>
            <w:tcW w:w="84" w:type="dxa"/>
            <w:tcBorders/>
            <w:shd w:fill="CCEEFF" w:val="clear"/>
            <w:vAlign w:val="bottom"/>
          </w:tcPr>
          <w:p>
            <w:pPr>
              <w:pStyle w:val="TableContents"/>
              <w:spacing w:before="0" w:after="283"/>
              <w:jc w:val="left"/>
              <w:rPr/>
            </w:pPr>
            <w:r>
              <w:rPr/>
              <w:t> </w:t>
            </w:r>
          </w:p>
        </w:tc>
      </w:tr>
      <w:tr>
        <w:trPr/>
        <w:tc>
          <w:tcPr>
            <w:tcW w:w="2502" w:type="dxa"/>
            <w:tcBorders/>
            <w:shd w:fill="auto"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Classified</w:t>
            </w:r>
          </w:p>
        </w:tc>
        <w:tc>
          <w:tcPr>
            <w:tcW w:w="60" w:type="dxa"/>
            <w:tcBorders/>
            <w:shd w:fill="auto" w:val="clear"/>
            <w:vAlign w:val="bottom"/>
          </w:tcPr>
          <w:p>
            <w:pPr>
              <w:pStyle w:val="TableContents"/>
              <w:spacing w:before="0" w:after="283"/>
              <w:jc w:val="right"/>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59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95"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8"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714" w:type="dxa"/>
            <w:tcBorders>
              <w:bottom w:val="single" w:sz="12" w:space="0" w:color="000000"/>
            </w:tcBorders>
            <w:shd w:fill="auto"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183</w:t>
            </w:r>
          </w:p>
        </w:tc>
        <w:tc>
          <w:tcPr>
            <w:tcW w:w="61"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jc w:val="right"/>
              <w:rPr/>
            </w:pPr>
            <w:r>
              <w:rPr/>
              <w:t> </w:t>
            </w:r>
          </w:p>
        </w:tc>
        <w:tc>
          <w:tcPr>
            <w:tcW w:w="128"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06" w:type="dxa"/>
            <w:tcBorders>
              <w:bottom w:val="single" w:sz="12" w:space="0" w:color="000000"/>
            </w:tcBorders>
            <w:shd w:fill="auto"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245</w:t>
            </w:r>
          </w:p>
        </w:tc>
        <w:tc>
          <w:tcPr>
            <w:tcW w:w="61"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jc w:val="right"/>
              <w:rPr/>
            </w:pPr>
            <w:r>
              <w:rPr/>
              <w:t> </w:t>
            </w:r>
          </w:p>
        </w:tc>
        <w:tc>
          <w:tcPr>
            <w:tcW w:w="128"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06" w:type="dxa"/>
            <w:tcBorders>
              <w:bottom w:val="single" w:sz="12" w:space="0" w:color="000000"/>
            </w:tcBorders>
            <w:shd w:fill="auto"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19</w:t>
            </w:r>
          </w:p>
        </w:tc>
        <w:tc>
          <w:tcPr>
            <w:tcW w:w="61"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jc w:val="right"/>
              <w:rPr/>
            </w:pPr>
            <w:r>
              <w:rPr/>
              <w:t> </w:t>
            </w:r>
          </w:p>
        </w:tc>
        <w:tc>
          <w:tcPr>
            <w:tcW w:w="128"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714" w:type="dxa"/>
            <w:tcBorders>
              <w:bottom w:val="single" w:sz="12" w:space="0" w:color="000000"/>
            </w:tcBorders>
            <w:shd w:fill="auto"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63</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996"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95" w:type="dxa"/>
            <w:tcBorders>
              <w:bottom w:val="single" w:sz="12" w:space="0" w:color="000000"/>
            </w:tcBorders>
            <w:shd w:fill="auto"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510</w:t>
            </w:r>
          </w:p>
        </w:tc>
        <w:tc>
          <w:tcPr>
            <w:tcW w:w="84" w:type="dxa"/>
            <w:tcBorders/>
            <w:shd w:fill="auto" w:val="clear"/>
            <w:vAlign w:val="bottom"/>
          </w:tcPr>
          <w:p>
            <w:pPr>
              <w:pStyle w:val="TableContents"/>
              <w:spacing w:before="0" w:after="283"/>
              <w:jc w:val="left"/>
              <w:rPr/>
            </w:pPr>
            <w:r>
              <w:rPr/>
              <w:t> </w:t>
            </w:r>
          </w:p>
        </w:tc>
      </w:tr>
      <w:tr>
        <w:trPr/>
        <w:tc>
          <w:tcPr>
            <w:tcW w:w="2502" w:type="dxa"/>
            <w:tcBorders/>
            <w:shd w:fill="CCEEFF" w:val="clear"/>
            <w:vAlign w:val="bottom"/>
          </w:tcPr>
          <w:p>
            <w:pPr>
              <w:pStyle w:val="TableContents"/>
              <w:spacing w:before="0" w:after="0"/>
              <w:ind w:left="360" w:right="0" w:hanging="180"/>
              <w:jc w:val="left"/>
              <w:rPr>
                <w:rFonts w:ascii="Times New Roman;Times;serif" w:hAnsi="Times New Roman;Times;serif"/>
                <w:color w:val="000000"/>
                <w:sz w:val="20"/>
              </w:rPr>
            </w:pPr>
            <w:r>
              <w:rPr>
                <w:rFonts w:ascii="Times New Roman;Times;serif" w:hAnsi="Times New Roman;Times;serif"/>
                <w:color w:val="000000"/>
                <w:sz w:val="20"/>
              </w:rPr>
              <w:t>Total commercial - specialized loans</w:t>
            </w:r>
          </w:p>
        </w:tc>
        <w:tc>
          <w:tcPr>
            <w:tcW w:w="60"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590" w:type="dxa"/>
            <w:tcBorders>
              <w:bottom w:val="double" w:sz="8" w:space="0" w:color="000000"/>
            </w:tcBorders>
            <w:shd w:fill="CCEEFF"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26,236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95" w:type="dxa"/>
            <w:tcBorders>
              <w:bottom w:val="double" w:sz="8" w:space="0" w:color="000000"/>
            </w:tcBorders>
            <w:shd w:fill="CCEEFF"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70,603</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8" w:type="dxa"/>
            <w:tcBorders>
              <w:bottom w:val="double" w:sz="8" w:space="0" w:color="000000"/>
            </w:tcBorders>
            <w:shd w:fill="CCEEFF" w:val="clear"/>
            <w:tcMar>
              <w:bottom w:w="28" w:type="dxa"/>
            </w:tcM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714" w:type="dxa"/>
            <w:tcBorders>
              <w:bottom w:val="double" w:sz="8" w:space="0" w:color="000000"/>
            </w:tcBorders>
            <w:shd w:fill="CCEEFF"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65,803</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28" w:type="dxa"/>
            <w:tcBorders>
              <w:bottom w:val="double" w:sz="8" w:space="0" w:color="000000"/>
            </w:tcBorders>
            <w:shd w:fill="CCEEFF" w:val="clear"/>
            <w:tcMar>
              <w:bottom w:w="28" w:type="dxa"/>
            </w:tcM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06" w:type="dxa"/>
            <w:tcBorders>
              <w:bottom w:val="double" w:sz="8" w:space="0" w:color="000000"/>
            </w:tcBorders>
            <w:shd w:fill="CCEEFF"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23,212</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28" w:type="dxa"/>
            <w:tcBorders>
              <w:bottom w:val="double" w:sz="8" w:space="0" w:color="000000"/>
            </w:tcBorders>
            <w:shd w:fill="CCEEFF" w:val="clear"/>
            <w:tcMar>
              <w:bottom w:w="28" w:type="dxa"/>
            </w:tcM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06" w:type="dxa"/>
            <w:tcBorders>
              <w:bottom w:val="double" w:sz="8" w:space="0" w:color="000000"/>
            </w:tcBorders>
            <w:shd w:fill="CCEEFF"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17,465</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28" w:type="dxa"/>
            <w:tcBorders>
              <w:bottom w:val="double" w:sz="8" w:space="0" w:color="000000"/>
            </w:tcBorders>
            <w:shd w:fill="CCEEFF" w:val="clear"/>
            <w:tcMar>
              <w:bottom w:w="28" w:type="dxa"/>
            </w:tcM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714" w:type="dxa"/>
            <w:tcBorders>
              <w:bottom w:val="double" w:sz="8" w:space="0" w:color="000000"/>
            </w:tcBorders>
            <w:shd w:fill="CCEEFF"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29,631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10" w:type="dxa"/>
            <w:tcBorders>
              <w:bottom w:val="double" w:sz="8" w:space="0" w:color="000000"/>
            </w:tcBorders>
            <w:shd w:fill="CCEEFF" w:val="clear"/>
            <w:tcMar>
              <w:bottom w:w="28" w:type="dxa"/>
            </w:tcM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996" w:type="dxa"/>
            <w:tcBorders>
              <w:bottom w:val="double" w:sz="8" w:space="0" w:color="000000"/>
            </w:tcBorders>
            <w:shd w:fill="CCEEFF"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82,523</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95" w:type="dxa"/>
            <w:tcBorders>
              <w:bottom w:val="double" w:sz="8" w:space="0" w:color="000000"/>
            </w:tcBorders>
            <w:shd w:fill="CCEEFF"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315,473</w:t>
            </w:r>
          </w:p>
        </w:tc>
        <w:tc>
          <w:tcPr>
            <w:tcW w:w="84" w:type="dxa"/>
            <w:tcBorders/>
            <w:shd w:fill="CCEEFF" w:val="clear"/>
            <w:vAlign w:val="bottom"/>
          </w:tcPr>
          <w:p>
            <w:pPr>
              <w:pStyle w:val="TableContents"/>
              <w:spacing w:before="0" w:after="283"/>
              <w:jc w:val="left"/>
              <w:rPr/>
            </w:pPr>
            <w:r>
              <w:rPr/>
              <w:t> </w:t>
            </w:r>
          </w:p>
        </w:tc>
      </w:tr>
      <w:tr>
        <w:trPr/>
        <w:tc>
          <w:tcPr>
            <w:tcW w:w="2502" w:type="dxa"/>
            <w:tcBorders/>
            <w:shd w:fill="auto"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Current period gross charge-offs</w:t>
            </w:r>
          </w:p>
        </w:tc>
        <w:tc>
          <w:tcPr>
            <w:tcW w:w="60" w:type="dxa"/>
            <w:tcBorders/>
            <w:shd w:fill="auto" w:val="clear"/>
            <w:vAlign w:val="bottom"/>
          </w:tcPr>
          <w:p>
            <w:pPr>
              <w:pStyle w:val="TableContents"/>
              <w:spacing w:before="0" w:after="283"/>
              <w:jc w:val="right"/>
              <w:rPr/>
            </w:pPr>
            <w:r>
              <w:rPr/>
              <w:t> </w:t>
            </w:r>
          </w:p>
        </w:tc>
        <w:tc>
          <w:tcPr>
            <w:tcW w:w="125" w:type="dxa"/>
            <w:tcBorders>
              <w:bottom w:val="single" w:sz="12" w:space="0" w:color="000000"/>
            </w:tcBorders>
            <w:shd w:fill="auto" w:val="clear"/>
            <w:tcMar>
              <w:bottom w:w="28" w:type="dxa"/>
            </w:tcM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59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bottom w:val="single" w:sz="12" w:space="0" w:color="000000"/>
            </w:tcBorders>
            <w:shd w:fill="auto" w:val="clear"/>
            <w:tcMar>
              <w:bottom w:w="28" w:type="dxa"/>
            </w:tcM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95"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8" w:type="dxa"/>
            <w:tcBorders>
              <w:bottom w:val="single" w:sz="12" w:space="0" w:color="000000"/>
            </w:tcBorders>
            <w:shd w:fill="auto" w:val="clear"/>
            <w:tcMar>
              <w:bottom w:w="28" w:type="dxa"/>
            </w:tcM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714"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61"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jc w:val="right"/>
              <w:rPr/>
            </w:pPr>
            <w:r>
              <w:rPr/>
              <w:t> </w:t>
            </w:r>
          </w:p>
        </w:tc>
        <w:tc>
          <w:tcPr>
            <w:tcW w:w="128" w:type="dxa"/>
            <w:tcBorders>
              <w:bottom w:val="single" w:sz="12" w:space="0" w:color="000000"/>
            </w:tcBorders>
            <w:shd w:fill="auto" w:val="clear"/>
            <w:tcMar>
              <w:bottom w:w="28" w:type="dxa"/>
            </w:tcM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06"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61"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jc w:val="right"/>
              <w:rPr/>
            </w:pPr>
            <w:r>
              <w:rPr/>
              <w:t> </w:t>
            </w:r>
          </w:p>
        </w:tc>
        <w:tc>
          <w:tcPr>
            <w:tcW w:w="128" w:type="dxa"/>
            <w:tcBorders>
              <w:bottom w:val="single" w:sz="12" w:space="0" w:color="000000"/>
            </w:tcBorders>
            <w:shd w:fill="auto" w:val="clear"/>
            <w:tcMar>
              <w:bottom w:w="28" w:type="dxa"/>
            </w:tcM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06"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61"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jc w:val="right"/>
              <w:rPr/>
            </w:pPr>
            <w:r>
              <w:rPr/>
              <w:t> </w:t>
            </w:r>
          </w:p>
        </w:tc>
        <w:tc>
          <w:tcPr>
            <w:tcW w:w="128" w:type="dxa"/>
            <w:tcBorders>
              <w:bottom w:val="single" w:sz="12" w:space="0" w:color="000000"/>
            </w:tcBorders>
            <w:shd w:fill="auto" w:val="clear"/>
            <w:tcMar>
              <w:bottom w:w="28" w:type="dxa"/>
            </w:tcM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714"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10" w:type="dxa"/>
            <w:tcBorders>
              <w:bottom w:val="single" w:sz="12" w:space="0" w:color="000000"/>
            </w:tcBorders>
            <w:shd w:fill="auto" w:val="clear"/>
            <w:tcMar>
              <w:bottom w:w="28" w:type="dxa"/>
            </w:tcM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996"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bottom w:val="single" w:sz="12" w:space="0" w:color="000000"/>
            </w:tcBorders>
            <w:shd w:fill="auto" w:val="clear"/>
            <w:tcMar>
              <w:bottom w:w="28" w:type="dxa"/>
            </w:tcM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95"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84" w:type="dxa"/>
            <w:tcBorders/>
            <w:shd w:fill="auto" w:val="clear"/>
            <w:vAlign w:val="bottom"/>
          </w:tcPr>
          <w:p>
            <w:pPr>
              <w:pStyle w:val="TableContents"/>
              <w:spacing w:before="0" w:after="283"/>
              <w:jc w:val="left"/>
              <w:rPr/>
            </w:pPr>
            <w:r>
              <w:rPr/>
              <w:t> </w:t>
            </w:r>
          </w:p>
        </w:tc>
      </w:tr>
      <w:tr>
        <w:trPr/>
        <w:tc>
          <w:tcPr>
            <w:tcW w:w="2502" w:type="dxa"/>
            <w:tcBorders/>
            <w:shd w:fill="CCEEFF" w:val="clear"/>
            <w:vAlign w:val="bottom"/>
          </w:tcPr>
          <w:p>
            <w:pPr>
              <w:pStyle w:val="TableContents"/>
              <w:spacing w:before="0" w:after="0"/>
              <w:jc w:val="left"/>
              <w:rPr>
                <w:color w:val="000000"/>
              </w:rPr>
            </w:pPr>
            <w:r>
              <w:rPr>
                <w:color w:val="000000"/>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8" w:type="dxa"/>
            <w:tcBorders/>
            <w:shd w:fill="CCEEFF" w:val="clear"/>
            <w:vAlign w:val="bottom"/>
          </w:tcPr>
          <w:p>
            <w:pPr>
              <w:pStyle w:val="TableContents"/>
              <w:spacing w:before="0" w:after="283"/>
              <w:jc w:val="left"/>
              <w:rPr/>
            </w:pPr>
            <w:r>
              <w:rPr/>
              <w:t> </w:t>
            </w:r>
          </w:p>
        </w:tc>
        <w:tc>
          <w:tcPr>
            <w:tcW w:w="714" w:type="dxa"/>
            <w:tcBorders/>
            <w:shd w:fill="CCEEFF" w:val="clear"/>
            <w:vAlign w:val="bottom"/>
          </w:tcPr>
          <w:p>
            <w:pPr>
              <w:pStyle w:val="TableContents"/>
              <w:spacing w:before="0" w:after="283"/>
              <w:jc w:val="right"/>
              <w:rPr/>
            </w:pPr>
            <w:r>
              <w:rPr/>
              <w:t> </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28" w:type="dxa"/>
            <w:tcBorders/>
            <w:shd w:fill="CCEEFF" w:val="clear"/>
            <w:vAlign w:val="bottom"/>
          </w:tcPr>
          <w:p>
            <w:pPr>
              <w:pStyle w:val="TableContents"/>
              <w:spacing w:before="0" w:after="283"/>
              <w:jc w:val="left"/>
              <w:rPr/>
            </w:pPr>
            <w:r>
              <w:rPr/>
              <w:t> </w:t>
            </w:r>
          </w:p>
        </w:tc>
        <w:tc>
          <w:tcPr>
            <w:tcW w:w="606" w:type="dxa"/>
            <w:tcBorders/>
            <w:shd w:fill="CCEEFF" w:val="clear"/>
            <w:vAlign w:val="bottom"/>
          </w:tcPr>
          <w:p>
            <w:pPr>
              <w:pStyle w:val="TableContents"/>
              <w:spacing w:before="0" w:after="283"/>
              <w:jc w:val="right"/>
              <w:rPr/>
            </w:pPr>
            <w:r>
              <w:rPr/>
              <w:t> </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28" w:type="dxa"/>
            <w:tcBorders/>
            <w:shd w:fill="CCEEFF" w:val="clear"/>
            <w:vAlign w:val="bottom"/>
          </w:tcPr>
          <w:p>
            <w:pPr>
              <w:pStyle w:val="TableContents"/>
              <w:spacing w:before="0" w:after="283"/>
              <w:jc w:val="left"/>
              <w:rPr/>
            </w:pPr>
            <w:r>
              <w:rPr/>
              <w:t> </w:t>
            </w:r>
          </w:p>
        </w:tc>
        <w:tc>
          <w:tcPr>
            <w:tcW w:w="606" w:type="dxa"/>
            <w:tcBorders/>
            <w:shd w:fill="CCEEFF" w:val="clear"/>
            <w:vAlign w:val="bottom"/>
          </w:tcPr>
          <w:p>
            <w:pPr>
              <w:pStyle w:val="TableContents"/>
              <w:spacing w:before="0" w:after="283"/>
              <w:jc w:val="right"/>
              <w:rPr/>
            </w:pPr>
            <w:r>
              <w:rPr/>
              <w:t> </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28" w:type="dxa"/>
            <w:tcBorders/>
            <w:shd w:fill="CCEEFF" w:val="clear"/>
            <w:vAlign w:val="bottom"/>
          </w:tcPr>
          <w:p>
            <w:pPr>
              <w:pStyle w:val="TableContents"/>
              <w:spacing w:before="0" w:after="283"/>
              <w:jc w:val="left"/>
              <w:rPr/>
            </w:pPr>
            <w:r>
              <w:rPr/>
              <w:t> </w:t>
            </w:r>
          </w:p>
        </w:tc>
        <w:tc>
          <w:tcPr>
            <w:tcW w:w="71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10"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283"/>
              <w:jc w:val="right"/>
              <w:rPr/>
            </w:pPr>
            <w:r>
              <w:rPr/>
              <w:t> </w:t>
            </w:r>
          </w:p>
        </w:tc>
        <w:tc>
          <w:tcPr>
            <w:tcW w:w="84" w:type="dxa"/>
            <w:tcBorders/>
            <w:shd w:fill="CCEEFF" w:val="clear"/>
            <w:vAlign w:val="bottom"/>
          </w:tcPr>
          <w:p>
            <w:pPr>
              <w:pStyle w:val="TableContents"/>
              <w:spacing w:before="0" w:after="283"/>
              <w:jc w:val="left"/>
              <w:rPr/>
            </w:pPr>
            <w:r>
              <w:rPr/>
              <w:t> </w:t>
            </w:r>
          </w:p>
        </w:tc>
      </w:tr>
      <w:tr>
        <w:trPr/>
        <w:tc>
          <w:tcPr>
            <w:tcW w:w="2502" w:type="dxa"/>
            <w:tcBorders/>
            <w:shd w:fill="auto" w:val="clear"/>
            <w:vAlign w:val="bottom"/>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Commercial - general:</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59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8" w:type="dxa"/>
            <w:tcBorders/>
            <w:shd w:fill="auto" w:val="clear"/>
            <w:vAlign w:val="bottom"/>
          </w:tcPr>
          <w:p>
            <w:pPr>
              <w:pStyle w:val="TableContents"/>
              <w:spacing w:before="0" w:after="283"/>
              <w:jc w:val="left"/>
              <w:rPr/>
            </w:pPr>
            <w:r>
              <w:rPr/>
              <w:t> </w:t>
            </w:r>
          </w:p>
        </w:tc>
        <w:tc>
          <w:tcPr>
            <w:tcW w:w="714" w:type="dxa"/>
            <w:tcBorders/>
            <w:shd w:fill="auto" w:val="clear"/>
            <w:vAlign w:val="bottom"/>
          </w:tcPr>
          <w:p>
            <w:pPr>
              <w:pStyle w:val="TableContents"/>
              <w:spacing w:before="0" w:after="283"/>
              <w:jc w:val="right"/>
              <w:rPr/>
            </w:pPr>
            <w:r>
              <w:rPr/>
              <w:t> </w:t>
            </w:r>
          </w:p>
        </w:tc>
        <w:tc>
          <w:tcPr>
            <w:tcW w:w="61"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jc w:val="right"/>
              <w:rPr/>
            </w:pPr>
            <w:r>
              <w:rPr/>
              <w:t> </w:t>
            </w:r>
          </w:p>
        </w:tc>
        <w:tc>
          <w:tcPr>
            <w:tcW w:w="128" w:type="dxa"/>
            <w:tcBorders/>
            <w:shd w:fill="auto" w:val="clear"/>
            <w:vAlign w:val="bottom"/>
          </w:tcPr>
          <w:p>
            <w:pPr>
              <w:pStyle w:val="TableContents"/>
              <w:spacing w:before="0" w:after="283"/>
              <w:jc w:val="left"/>
              <w:rPr/>
            </w:pPr>
            <w:r>
              <w:rPr/>
              <w:t> </w:t>
            </w:r>
          </w:p>
        </w:tc>
        <w:tc>
          <w:tcPr>
            <w:tcW w:w="606" w:type="dxa"/>
            <w:tcBorders/>
            <w:shd w:fill="auto" w:val="clear"/>
            <w:vAlign w:val="bottom"/>
          </w:tcPr>
          <w:p>
            <w:pPr>
              <w:pStyle w:val="TableContents"/>
              <w:spacing w:before="0" w:after="283"/>
              <w:jc w:val="right"/>
              <w:rPr/>
            </w:pPr>
            <w:r>
              <w:rPr/>
              <w:t> </w:t>
            </w:r>
          </w:p>
        </w:tc>
        <w:tc>
          <w:tcPr>
            <w:tcW w:w="61"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jc w:val="right"/>
              <w:rPr/>
            </w:pPr>
            <w:r>
              <w:rPr/>
              <w:t> </w:t>
            </w:r>
          </w:p>
        </w:tc>
        <w:tc>
          <w:tcPr>
            <w:tcW w:w="128" w:type="dxa"/>
            <w:tcBorders/>
            <w:shd w:fill="auto" w:val="clear"/>
            <w:vAlign w:val="bottom"/>
          </w:tcPr>
          <w:p>
            <w:pPr>
              <w:pStyle w:val="TableContents"/>
              <w:spacing w:before="0" w:after="283"/>
              <w:jc w:val="left"/>
              <w:rPr/>
            </w:pPr>
            <w:r>
              <w:rPr/>
              <w:t> </w:t>
            </w:r>
          </w:p>
        </w:tc>
        <w:tc>
          <w:tcPr>
            <w:tcW w:w="606" w:type="dxa"/>
            <w:tcBorders/>
            <w:shd w:fill="auto" w:val="clear"/>
            <w:vAlign w:val="bottom"/>
          </w:tcPr>
          <w:p>
            <w:pPr>
              <w:pStyle w:val="TableContents"/>
              <w:spacing w:before="0" w:after="283"/>
              <w:jc w:val="right"/>
              <w:rPr/>
            </w:pPr>
            <w:r>
              <w:rPr/>
              <w:t> </w:t>
            </w:r>
          </w:p>
        </w:tc>
        <w:tc>
          <w:tcPr>
            <w:tcW w:w="61"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jc w:val="right"/>
              <w:rPr/>
            </w:pPr>
            <w:r>
              <w:rPr/>
              <w:t> </w:t>
            </w:r>
          </w:p>
        </w:tc>
        <w:tc>
          <w:tcPr>
            <w:tcW w:w="128" w:type="dxa"/>
            <w:tcBorders/>
            <w:shd w:fill="auto" w:val="clear"/>
            <w:vAlign w:val="bottom"/>
          </w:tcPr>
          <w:p>
            <w:pPr>
              <w:pStyle w:val="TableContents"/>
              <w:spacing w:before="0" w:after="283"/>
              <w:jc w:val="left"/>
              <w:rPr/>
            </w:pPr>
            <w:r>
              <w:rPr/>
              <w:t> </w:t>
            </w:r>
          </w:p>
        </w:tc>
        <w:tc>
          <w:tcPr>
            <w:tcW w:w="71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10" w:type="dxa"/>
            <w:tcBorders/>
            <w:shd w:fill="auto" w:val="clear"/>
            <w:vAlign w:val="bottom"/>
          </w:tcPr>
          <w:p>
            <w:pPr>
              <w:pStyle w:val="TableContents"/>
              <w:spacing w:before="0" w:after="283"/>
              <w:jc w:val="left"/>
              <w:rPr/>
            </w:pPr>
            <w:r>
              <w:rPr/>
              <w:t> </w:t>
            </w:r>
          </w:p>
        </w:tc>
        <w:tc>
          <w:tcPr>
            <w:tcW w:w="996"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283"/>
              <w:jc w:val="right"/>
              <w:rPr/>
            </w:pPr>
            <w:r>
              <w:rPr/>
              <w:t> </w:t>
            </w:r>
          </w:p>
        </w:tc>
        <w:tc>
          <w:tcPr>
            <w:tcW w:w="84" w:type="dxa"/>
            <w:tcBorders/>
            <w:shd w:fill="auto" w:val="clear"/>
            <w:vAlign w:val="bottom"/>
          </w:tcPr>
          <w:p>
            <w:pPr>
              <w:pStyle w:val="TableContents"/>
              <w:spacing w:before="0" w:after="283"/>
              <w:jc w:val="left"/>
              <w:rPr/>
            </w:pPr>
            <w:r>
              <w:rPr/>
              <w:t> </w:t>
            </w:r>
          </w:p>
        </w:tc>
      </w:tr>
      <w:tr>
        <w:trPr/>
        <w:tc>
          <w:tcPr>
            <w:tcW w:w="2502" w:type="dxa"/>
            <w:tcBorders/>
            <w:shd w:fill="CCEEFF"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Pass</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590" w:type="dxa"/>
            <w:tcBorders/>
            <w:shd w:fill="CCEEFF"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28,675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95" w:type="dxa"/>
            <w:tcBorders/>
            <w:shd w:fill="CCEEFF"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150,325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8" w:type="dxa"/>
            <w:tcBorders/>
            <w:shd w:fill="CCEEFF"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714" w:type="dxa"/>
            <w:tcBorders/>
            <w:shd w:fill="CCEEFF"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102,064</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28" w:type="dxa"/>
            <w:tcBorders/>
            <w:shd w:fill="CCEEFF"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06" w:type="dxa"/>
            <w:tcBorders/>
            <w:shd w:fill="CCEEFF"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41,549</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28" w:type="dxa"/>
            <w:tcBorders/>
            <w:shd w:fill="CCEEFF"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06" w:type="dxa"/>
            <w:tcBorders/>
            <w:shd w:fill="CCEEFF"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19,139</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28" w:type="dxa"/>
            <w:tcBorders/>
            <w:shd w:fill="CCEEFF"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714" w:type="dxa"/>
            <w:tcBorders/>
            <w:shd w:fill="CCEEFF"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79,283</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10" w:type="dxa"/>
            <w:tcBorders/>
            <w:shd w:fill="CCEEFF"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996" w:type="dxa"/>
            <w:tcBorders/>
            <w:shd w:fill="CCEEFF"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54,664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95" w:type="dxa"/>
            <w:tcBorders/>
            <w:shd w:fill="CCEEFF"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475,699</w:t>
            </w:r>
          </w:p>
        </w:tc>
        <w:tc>
          <w:tcPr>
            <w:tcW w:w="84" w:type="dxa"/>
            <w:tcBorders/>
            <w:shd w:fill="CCEEFF" w:val="clear"/>
            <w:vAlign w:val="bottom"/>
          </w:tcPr>
          <w:p>
            <w:pPr>
              <w:pStyle w:val="TableContents"/>
              <w:spacing w:before="0" w:after="283"/>
              <w:jc w:val="left"/>
              <w:rPr/>
            </w:pPr>
            <w:r>
              <w:rPr/>
              <w:t> </w:t>
            </w:r>
          </w:p>
        </w:tc>
      </w:tr>
      <w:tr>
        <w:trPr/>
        <w:tc>
          <w:tcPr>
            <w:tcW w:w="2502" w:type="dxa"/>
            <w:tcBorders/>
            <w:shd w:fill="auto"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Special mention</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590" w:type="dxa"/>
            <w:tcBorders/>
            <w:shd w:fill="auto" w:val="cle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8" w:type="dxa"/>
            <w:tcBorders/>
            <w:shd w:fill="auto" w:val="clear"/>
            <w:vAlign w:val="bottom"/>
          </w:tcPr>
          <w:p>
            <w:pPr>
              <w:pStyle w:val="TableContents"/>
              <w:spacing w:before="0" w:after="283"/>
              <w:jc w:val="left"/>
              <w:rPr/>
            </w:pPr>
            <w:r>
              <w:rPr/>
              <w:t> </w:t>
            </w:r>
          </w:p>
        </w:tc>
        <w:tc>
          <w:tcPr>
            <w:tcW w:w="714" w:type="dxa"/>
            <w:tcBorders/>
            <w:shd w:fill="auto" w:val="clear"/>
            <w:vAlign w:val="bottom"/>
          </w:tcPr>
          <w:p>
            <w:pPr>
              <w:pStyle w:val="TableContents"/>
              <w:spacing w:before="0" w:after="0"/>
              <w:jc w:val="right"/>
              <w:rPr>
                <w:color w:val="000000"/>
              </w:rPr>
            </w:pPr>
            <w:r>
              <w:rPr>
                <w:color w:val="000000"/>
              </w:rPr>
              <w:t>—</w:t>
            </w:r>
          </w:p>
        </w:tc>
        <w:tc>
          <w:tcPr>
            <w:tcW w:w="61"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jc w:val="right"/>
              <w:rPr/>
            </w:pPr>
            <w:r>
              <w:rPr/>
              <w:t> </w:t>
            </w:r>
          </w:p>
        </w:tc>
        <w:tc>
          <w:tcPr>
            <w:tcW w:w="128" w:type="dxa"/>
            <w:tcBorders/>
            <w:shd w:fill="auto" w:val="clear"/>
            <w:vAlign w:val="bottom"/>
          </w:tcPr>
          <w:p>
            <w:pPr>
              <w:pStyle w:val="TableContents"/>
              <w:spacing w:before="0" w:after="283"/>
              <w:jc w:val="left"/>
              <w:rPr/>
            </w:pPr>
            <w:r>
              <w:rPr/>
              <w:t> </w:t>
            </w:r>
          </w:p>
        </w:tc>
        <w:tc>
          <w:tcPr>
            <w:tcW w:w="606" w:type="dxa"/>
            <w:tcBorders/>
            <w:shd w:fill="auto" w:val="clear"/>
            <w:vAlign w:val="bottom"/>
          </w:tcPr>
          <w:p>
            <w:pPr>
              <w:pStyle w:val="TableContents"/>
              <w:spacing w:before="0" w:after="0"/>
              <w:jc w:val="right"/>
              <w:rPr>
                <w:color w:val="000000"/>
              </w:rPr>
            </w:pPr>
            <w:r>
              <w:rPr>
                <w:color w:val="000000"/>
              </w:rPr>
              <w:t>—</w:t>
            </w:r>
          </w:p>
        </w:tc>
        <w:tc>
          <w:tcPr>
            <w:tcW w:w="61"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jc w:val="right"/>
              <w:rPr/>
            </w:pPr>
            <w:r>
              <w:rPr/>
              <w:t> </w:t>
            </w:r>
          </w:p>
        </w:tc>
        <w:tc>
          <w:tcPr>
            <w:tcW w:w="128" w:type="dxa"/>
            <w:tcBorders/>
            <w:shd w:fill="auto" w:val="clear"/>
            <w:vAlign w:val="bottom"/>
          </w:tcPr>
          <w:p>
            <w:pPr>
              <w:pStyle w:val="TableContents"/>
              <w:spacing w:before="0" w:after="283"/>
              <w:jc w:val="left"/>
              <w:rPr/>
            </w:pPr>
            <w:r>
              <w:rPr/>
              <w:t> </w:t>
            </w:r>
          </w:p>
        </w:tc>
        <w:tc>
          <w:tcPr>
            <w:tcW w:w="606" w:type="dxa"/>
            <w:tcBorders/>
            <w:shd w:fill="auto" w:val="clear"/>
            <w:vAlign w:val="bottom"/>
          </w:tcPr>
          <w:p>
            <w:pPr>
              <w:pStyle w:val="TableContents"/>
              <w:spacing w:before="0" w:after="0"/>
              <w:jc w:val="right"/>
              <w:rPr>
                <w:color w:val="000000"/>
              </w:rPr>
            </w:pPr>
            <w:r>
              <w:rPr>
                <w:color w:val="000000"/>
              </w:rPr>
              <w:t>—</w:t>
            </w:r>
          </w:p>
        </w:tc>
        <w:tc>
          <w:tcPr>
            <w:tcW w:w="61"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jc w:val="right"/>
              <w:rPr/>
            </w:pPr>
            <w:r>
              <w:rPr/>
              <w:t> </w:t>
            </w:r>
          </w:p>
        </w:tc>
        <w:tc>
          <w:tcPr>
            <w:tcW w:w="128" w:type="dxa"/>
            <w:tcBorders/>
            <w:shd w:fill="auto" w:val="clear"/>
            <w:vAlign w:val="bottom"/>
          </w:tcPr>
          <w:p>
            <w:pPr>
              <w:pStyle w:val="TableContents"/>
              <w:spacing w:before="0" w:after="283"/>
              <w:jc w:val="left"/>
              <w:rPr/>
            </w:pPr>
            <w:r>
              <w:rPr/>
              <w:t> </w:t>
            </w:r>
          </w:p>
        </w:tc>
        <w:tc>
          <w:tcPr>
            <w:tcW w:w="714" w:type="dxa"/>
            <w:tcBorders/>
            <w:shd w:fill="auto" w:val="cle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10" w:type="dxa"/>
            <w:tcBorders/>
            <w:shd w:fill="auto" w:val="clear"/>
            <w:vAlign w:val="bottom"/>
          </w:tcPr>
          <w:p>
            <w:pPr>
              <w:pStyle w:val="TableContents"/>
              <w:spacing w:before="0" w:after="283"/>
              <w:jc w:val="left"/>
              <w:rPr/>
            </w:pPr>
            <w:r>
              <w:rPr/>
              <w:t> </w:t>
            </w:r>
          </w:p>
        </w:tc>
        <w:tc>
          <w:tcPr>
            <w:tcW w:w="996" w:type="dxa"/>
            <w:tcBorders/>
            <w:shd w:fill="auto" w:val="cle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0"/>
              <w:jc w:val="right"/>
              <w:rPr>
                <w:color w:val="000000"/>
              </w:rPr>
            </w:pPr>
            <w:r>
              <w:rPr>
                <w:color w:val="000000"/>
              </w:rPr>
              <w:t>—</w:t>
            </w:r>
          </w:p>
        </w:tc>
        <w:tc>
          <w:tcPr>
            <w:tcW w:w="84" w:type="dxa"/>
            <w:tcBorders/>
            <w:shd w:fill="auto" w:val="clear"/>
            <w:vAlign w:val="bottom"/>
          </w:tcPr>
          <w:p>
            <w:pPr>
              <w:pStyle w:val="TableContents"/>
              <w:spacing w:before="0" w:after="283"/>
              <w:jc w:val="left"/>
              <w:rPr/>
            </w:pPr>
            <w:r>
              <w:rPr/>
              <w:t> </w:t>
            </w:r>
          </w:p>
        </w:tc>
      </w:tr>
      <w:tr>
        <w:trPr/>
        <w:tc>
          <w:tcPr>
            <w:tcW w:w="2502" w:type="dxa"/>
            <w:tcBorders/>
            <w:shd w:fill="CCEEFF"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Classified</w:t>
            </w:r>
          </w:p>
        </w:tc>
        <w:tc>
          <w:tcPr>
            <w:tcW w:w="6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13,019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8"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14" w:type="dxa"/>
            <w:tcBorders>
              <w:bottom w:val="single" w:sz="12" w:space="0" w:color="000000"/>
            </w:tcBorders>
            <w:shd w:fill="CCEEFF"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4,724</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28"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06" w:type="dxa"/>
            <w:tcBorders>
              <w:bottom w:val="single" w:sz="12" w:space="0" w:color="000000"/>
            </w:tcBorders>
            <w:shd w:fill="CCEEFF"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540</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28"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06" w:type="dxa"/>
            <w:tcBorders>
              <w:bottom w:val="single" w:sz="12" w:space="0" w:color="000000"/>
            </w:tcBorders>
            <w:shd w:fill="CCEEFF"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6,433</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28"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14" w:type="dxa"/>
            <w:tcBorders>
              <w:bottom w:val="single" w:sz="12" w:space="0" w:color="000000"/>
            </w:tcBorders>
            <w:shd w:fill="CCEEFF"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6,079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96" w:type="dxa"/>
            <w:tcBorders>
              <w:bottom w:val="single" w:sz="12" w:space="0" w:color="000000"/>
            </w:tcBorders>
            <w:shd w:fill="CCEEFF"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4,423</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35,218</w:t>
            </w:r>
          </w:p>
        </w:tc>
        <w:tc>
          <w:tcPr>
            <w:tcW w:w="84" w:type="dxa"/>
            <w:tcBorders/>
            <w:shd w:fill="CCEEFF" w:val="clear"/>
            <w:vAlign w:val="bottom"/>
          </w:tcPr>
          <w:p>
            <w:pPr>
              <w:pStyle w:val="TableContents"/>
              <w:spacing w:before="0" w:after="283"/>
              <w:jc w:val="left"/>
              <w:rPr/>
            </w:pPr>
            <w:r>
              <w:rPr/>
              <w:t> </w:t>
            </w:r>
          </w:p>
        </w:tc>
      </w:tr>
      <w:tr>
        <w:trPr/>
        <w:tc>
          <w:tcPr>
            <w:tcW w:w="2502" w:type="dxa"/>
            <w:tcBorders/>
            <w:shd w:fill="auto" w:val="clear"/>
            <w:vAlign w:val="bottom"/>
          </w:tcPr>
          <w:p>
            <w:pPr>
              <w:pStyle w:val="TableContents"/>
              <w:spacing w:before="0" w:after="0"/>
              <w:ind w:left="360" w:right="0" w:hanging="180"/>
              <w:jc w:val="left"/>
              <w:rPr>
                <w:rFonts w:ascii="Times New Roman;Times;serif" w:hAnsi="Times New Roman;Times;serif"/>
                <w:color w:val="000000"/>
                <w:sz w:val="20"/>
              </w:rPr>
            </w:pPr>
            <w:r>
              <w:rPr>
                <w:rFonts w:ascii="Times New Roman;Times;serif" w:hAnsi="Times New Roman;Times;serif"/>
                <w:color w:val="000000"/>
                <w:sz w:val="20"/>
              </w:rPr>
              <w:t>Total commercial - general loans</w:t>
            </w:r>
          </w:p>
        </w:tc>
        <w:tc>
          <w:tcPr>
            <w:tcW w:w="60" w:type="dxa"/>
            <w:tcBorders/>
            <w:shd w:fill="auto" w:val="clear"/>
            <w:vAlign w:val="bottom"/>
          </w:tcPr>
          <w:p>
            <w:pPr>
              <w:pStyle w:val="TableContents"/>
              <w:spacing w:before="0" w:after="283"/>
              <w:jc w:val="right"/>
              <w:rPr/>
            </w:pPr>
            <w:r>
              <w:rPr/>
              <w:t> </w:t>
            </w:r>
          </w:p>
        </w:tc>
        <w:tc>
          <w:tcPr>
            <w:tcW w:w="125" w:type="dxa"/>
            <w:tcBorders>
              <w:bottom w:val="double" w:sz="8" w:space="0" w:color="000000"/>
            </w:tcBorders>
            <w:shd w:fill="auto" w:val="clear"/>
            <w:tcMar>
              <w:bottom w:w="28" w:type="dxa"/>
            </w:tcM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590" w:type="dxa"/>
            <w:tcBorders>
              <w:bottom w:val="double" w:sz="8" w:space="0" w:color="000000"/>
            </w:tcBorders>
            <w:shd w:fill="auto"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28,675</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bottom w:val="double" w:sz="8" w:space="0" w:color="000000"/>
            </w:tcBorders>
            <w:shd w:fill="auto" w:val="clear"/>
            <w:tcMar>
              <w:bottom w:w="28" w:type="dxa"/>
            </w:tcM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95" w:type="dxa"/>
            <w:tcBorders>
              <w:bottom w:val="double" w:sz="8" w:space="0" w:color="000000"/>
            </w:tcBorders>
            <w:shd w:fill="auto"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163,344</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8" w:type="dxa"/>
            <w:tcBorders>
              <w:bottom w:val="double" w:sz="8" w:space="0" w:color="000000"/>
            </w:tcBorders>
            <w:shd w:fill="auto" w:val="clear"/>
            <w:tcMar>
              <w:bottom w:w="28" w:type="dxa"/>
            </w:tcM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714" w:type="dxa"/>
            <w:tcBorders>
              <w:bottom w:val="double" w:sz="8" w:space="0" w:color="000000"/>
            </w:tcBorders>
            <w:shd w:fill="auto"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106,788</w:t>
            </w:r>
          </w:p>
        </w:tc>
        <w:tc>
          <w:tcPr>
            <w:tcW w:w="61"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jc w:val="right"/>
              <w:rPr/>
            </w:pPr>
            <w:r>
              <w:rPr/>
              <w:t> </w:t>
            </w:r>
          </w:p>
        </w:tc>
        <w:tc>
          <w:tcPr>
            <w:tcW w:w="128" w:type="dxa"/>
            <w:tcBorders>
              <w:bottom w:val="double" w:sz="8" w:space="0" w:color="000000"/>
            </w:tcBorders>
            <w:shd w:fill="auto" w:val="clear"/>
            <w:tcMar>
              <w:bottom w:w="28" w:type="dxa"/>
            </w:tcM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06" w:type="dxa"/>
            <w:tcBorders>
              <w:bottom w:val="double" w:sz="8" w:space="0" w:color="000000"/>
            </w:tcBorders>
            <w:shd w:fill="auto"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42,089</w:t>
            </w:r>
          </w:p>
        </w:tc>
        <w:tc>
          <w:tcPr>
            <w:tcW w:w="61"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jc w:val="right"/>
              <w:rPr/>
            </w:pPr>
            <w:r>
              <w:rPr/>
              <w:t> </w:t>
            </w:r>
          </w:p>
        </w:tc>
        <w:tc>
          <w:tcPr>
            <w:tcW w:w="128" w:type="dxa"/>
            <w:tcBorders>
              <w:bottom w:val="double" w:sz="8" w:space="0" w:color="000000"/>
            </w:tcBorders>
            <w:shd w:fill="auto" w:val="clear"/>
            <w:tcMar>
              <w:bottom w:w="28" w:type="dxa"/>
            </w:tcM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06" w:type="dxa"/>
            <w:tcBorders>
              <w:bottom w:val="double" w:sz="8" w:space="0" w:color="000000"/>
            </w:tcBorders>
            <w:shd w:fill="auto"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25,572</w:t>
            </w:r>
          </w:p>
        </w:tc>
        <w:tc>
          <w:tcPr>
            <w:tcW w:w="61"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jc w:val="right"/>
              <w:rPr/>
            </w:pPr>
            <w:r>
              <w:rPr/>
              <w:t> </w:t>
            </w:r>
          </w:p>
        </w:tc>
        <w:tc>
          <w:tcPr>
            <w:tcW w:w="128" w:type="dxa"/>
            <w:tcBorders>
              <w:bottom w:val="double" w:sz="8" w:space="0" w:color="000000"/>
            </w:tcBorders>
            <w:shd w:fill="auto" w:val="clear"/>
            <w:tcMar>
              <w:bottom w:w="28" w:type="dxa"/>
            </w:tcM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714" w:type="dxa"/>
            <w:tcBorders>
              <w:bottom w:val="double" w:sz="8" w:space="0" w:color="000000"/>
            </w:tcBorders>
            <w:shd w:fill="auto"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85,362</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10" w:type="dxa"/>
            <w:tcBorders>
              <w:bottom w:val="double" w:sz="8" w:space="0" w:color="000000"/>
            </w:tcBorders>
            <w:shd w:fill="auto" w:val="clear"/>
            <w:tcMar>
              <w:bottom w:w="28" w:type="dxa"/>
            </w:tcM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996" w:type="dxa"/>
            <w:tcBorders>
              <w:bottom w:val="double" w:sz="8" w:space="0" w:color="000000"/>
            </w:tcBorders>
            <w:shd w:fill="auto"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59,087</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bottom w:val="double" w:sz="8" w:space="0" w:color="000000"/>
            </w:tcBorders>
            <w:shd w:fill="auto" w:val="clear"/>
            <w:tcMar>
              <w:bottom w:w="28" w:type="dxa"/>
            </w:tcM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95" w:type="dxa"/>
            <w:tcBorders>
              <w:bottom w:val="double" w:sz="8" w:space="0" w:color="000000"/>
            </w:tcBorders>
            <w:shd w:fill="auto"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510,917</w:t>
            </w:r>
          </w:p>
        </w:tc>
        <w:tc>
          <w:tcPr>
            <w:tcW w:w="84" w:type="dxa"/>
            <w:tcBorders/>
            <w:shd w:fill="auto" w:val="clear"/>
            <w:vAlign w:val="bottom"/>
          </w:tcPr>
          <w:p>
            <w:pPr>
              <w:pStyle w:val="TableContents"/>
              <w:spacing w:before="0" w:after="283"/>
              <w:jc w:val="left"/>
              <w:rPr/>
            </w:pPr>
            <w:r>
              <w:rPr/>
              <w:t> </w:t>
            </w:r>
          </w:p>
        </w:tc>
      </w:tr>
      <w:tr>
        <w:trPr/>
        <w:tc>
          <w:tcPr>
            <w:tcW w:w="2502" w:type="dxa"/>
            <w:tcBorders/>
            <w:shd w:fill="CCEEFF" w:val="clear"/>
            <w:vAlign w:val="bottom"/>
          </w:tcPr>
          <w:p>
            <w:pPr>
              <w:pStyle w:val="TableContents"/>
              <w:spacing w:before="0" w:after="0"/>
              <w:ind w:left="180" w:right="0" w:hanging="180"/>
              <w:jc w:val="left"/>
              <w:rPr>
                <w:rFonts w:ascii="Times New Roman;Times;serif" w:hAnsi="Times New Roman;Times;serif"/>
                <w:color w:val="000000"/>
                <w:sz w:val="20"/>
              </w:rPr>
            </w:pPr>
            <w:r>
              <w:rPr>
                <w:rFonts w:ascii="Times New Roman;Times;serif" w:hAnsi="Times New Roman;Times;serif"/>
                <w:color w:val="000000"/>
                <w:sz w:val="20"/>
              </w:rPr>
              <w:t>Current period gross charge-offs</w:t>
            </w:r>
          </w:p>
        </w:tc>
        <w:tc>
          <w:tcPr>
            <w:tcW w:w="6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590"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95"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8" w:type="dxa"/>
            <w:tcBorders>
              <w:bottom w:val="single" w:sz="12" w:space="0" w:color="000000"/>
            </w:tcBorders>
            <w:shd w:fill="CCEEFF" w:val="clear"/>
            <w:tcMar>
              <w:bottom w:w="28" w:type="dxa"/>
            </w:tcM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714" w:type="dxa"/>
            <w:tcBorders>
              <w:bottom w:val="single" w:sz="12" w:space="0" w:color="000000"/>
            </w:tcBorders>
            <w:shd w:fill="CCEEFF"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25</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28" w:type="dxa"/>
            <w:tcBorders>
              <w:bottom w:val="single" w:sz="12" w:space="0" w:color="000000"/>
            </w:tcBorders>
            <w:shd w:fill="CCEEFF" w:val="clear"/>
            <w:tcMar>
              <w:bottom w:w="28" w:type="dxa"/>
            </w:tcM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06" w:type="dxa"/>
            <w:tcBorders>
              <w:bottom w:val="single" w:sz="12" w:space="0" w:color="000000"/>
            </w:tcBorders>
            <w:shd w:fill="CCEEFF"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10</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28" w:type="dxa"/>
            <w:tcBorders>
              <w:bottom w:val="single" w:sz="12" w:space="0" w:color="000000"/>
            </w:tcBorders>
            <w:shd w:fill="CCEEFF" w:val="clear"/>
            <w:tcMar>
              <w:bottom w:w="28" w:type="dxa"/>
            </w:tcM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06" w:type="dxa"/>
            <w:tcBorders>
              <w:bottom w:val="single" w:sz="12" w:space="0" w:color="000000"/>
            </w:tcBorders>
            <w:shd w:fill="CCEEFF"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18</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28" w:type="dxa"/>
            <w:tcBorders>
              <w:bottom w:val="single" w:sz="12" w:space="0" w:color="000000"/>
            </w:tcBorders>
            <w:shd w:fill="CCEEFF" w:val="clear"/>
            <w:tcMar>
              <w:bottom w:w="28" w:type="dxa"/>
            </w:tcM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714" w:type="dxa"/>
            <w:tcBorders>
              <w:bottom w:val="single" w:sz="12" w:space="0" w:color="000000"/>
            </w:tcBorders>
            <w:shd w:fill="CCEEFF"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146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10" w:type="dxa"/>
            <w:tcBorders>
              <w:bottom w:val="single" w:sz="12" w:space="0" w:color="000000"/>
            </w:tcBorders>
            <w:shd w:fill="CCEEFF" w:val="clear"/>
            <w:tcMar>
              <w:bottom w:w="28" w:type="dxa"/>
            </w:tcM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996"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95" w:type="dxa"/>
            <w:tcBorders>
              <w:bottom w:val="single" w:sz="12" w:space="0" w:color="000000"/>
            </w:tcBorders>
            <w:shd w:fill="CCEEFF"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199</w:t>
            </w:r>
          </w:p>
        </w:tc>
        <w:tc>
          <w:tcPr>
            <w:tcW w:w="84" w:type="dxa"/>
            <w:tcBorders/>
            <w:shd w:fill="CCEEFF" w:val="clear"/>
            <w:vAlign w:val="bottom"/>
          </w:tcPr>
          <w:p>
            <w:pPr>
              <w:pStyle w:val="TableContents"/>
              <w:spacing w:before="0" w:after="283"/>
              <w:jc w:val="left"/>
              <w:rPr/>
            </w:pPr>
            <w:r>
              <w:rPr/>
              <w:t> </w:t>
            </w:r>
          </w:p>
        </w:tc>
      </w:tr>
      <w:tr>
        <w:trPr/>
        <w:tc>
          <w:tcPr>
            <w:tcW w:w="2502" w:type="dxa"/>
            <w:tcBorders/>
            <w:shd w:fill="auto" w:val="clear"/>
            <w:vAlign w:val="bottom"/>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Consumer: 1-4 family residential:</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59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8" w:type="dxa"/>
            <w:tcBorders/>
            <w:shd w:fill="auto" w:val="clear"/>
            <w:vAlign w:val="bottom"/>
          </w:tcPr>
          <w:p>
            <w:pPr>
              <w:pStyle w:val="TableContents"/>
              <w:spacing w:before="0" w:after="283"/>
              <w:jc w:val="left"/>
              <w:rPr/>
            </w:pPr>
            <w:r>
              <w:rPr/>
              <w:t> </w:t>
            </w:r>
          </w:p>
        </w:tc>
        <w:tc>
          <w:tcPr>
            <w:tcW w:w="714" w:type="dxa"/>
            <w:tcBorders/>
            <w:shd w:fill="auto" w:val="clear"/>
            <w:vAlign w:val="bottom"/>
          </w:tcPr>
          <w:p>
            <w:pPr>
              <w:pStyle w:val="TableContents"/>
              <w:spacing w:before="0" w:after="283"/>
              <w:jc w:val="right"/>
              <w:rPr/>
            </w:pPr>
            <w:r>
              <w:rPr/>
              <w:t> </w:t>
            </w:r>
          </w:p>
        </w:tc>
        <w:tc>
          <w:tcPr>
            <w:tcW w:w="61"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jc w:val="right"/>
              <w:rPr/>
            </w:pPr>
            <w:r>
              <w:rPr/>
              <w:t> </w:t>
            </w:r>
          </w:p>
        </w:tc>
        <w:tc>
          <w:tcPr>
            <w:tcW w:w="128" w:type="dxa"/>
            <w:tcBorders/>
            <w:shd w:fill="auto" w:val="clear"/>
            <w:vAlign w:val="bottom"/>
          </w:tcPr>
          <w:p>
            <w:pPr>
              <w:pStyle w:val="TableContents"/>
              <w:spacing w:before="0" w:after="283"/>
              <w:jc w:val="left"/>
              <w:rPr/>
            </w:pPr>
            <w:r>
              <w:rPr/>
              <w:t> </w:t>
            </w:r>
          </w:p>
        </w:tc>
        <w:tc>
          <w:tcPr>
            <w:tcW w:w="606" w:type="dxa"/>
            <w:tcBorders/>
            <w:shd w:fill="auto" w:val="clear"/>
            <w:vAlign w:val="bottom"/>
          </w:tcPr>
          <w:p>
            <w:pPr>
              <w:pStyle w:val="TableContents"/>
              <w:spacing w:before="0" w:after="283"/>
              <w:jc w:val="right"/>
              <w:rPr/>
            </w:pPr>
            <w:r>
              <w:rPr/>
              <w:t> </w:t>
            </w:r>
          </w:p>
        </w:tc>
        <w:tc>
          <w:tcPr>
            <w:tcW w:w="61"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jc w:val="right"/>
              <w:rPr/>
            </w:pPr>
            <w:r>
              <w:rPr/>
              <w:t> </w:t>
            </w:r>
          </w:p>
        </w:tc>
        <w:tc>
          <w:tcPr>
            <w:tcW w:w="128" w:type="dxa"/>
            <w:tcBorders/>
            <w:shd w:fill="auto" w:val="clear"/>
            <w:vAlign w:val="bottom"/>
          </w:tcPr>
          <w:p>
            <w:pPr>
              <w:pStyle w:val="TableContents"/>
              <w:spacing w:before="0" w:after="283"/>
              <w:jc w:val="left"/>
              <w:rPr/>
            </w:pPr>
            <w:r>
              <w:rPr/>
              <w:t> </w:t>
            </w:r>
          </w:p>
        </w:tc>
        <w:tc>
          <w:tcPr>
            <w:tcW w:w="606" w:type="dxa"/>
            <w:tcBorders/>
            <w:shd w:fill="auto" w:val="clear"/>
            <w:vAlign w:val="bottom"/>
          </w:tcPr>
          <w:p>
            <w:pPr>
              <w:pStyle w:val="TableContents"/>
              <w:spacing w:before="0" w:after="283"/>
              <w:jc w:val="right"/>
              <w:rPr/>
            </w:pPr>
            <w:r>
              <w:rPr/>
              <w:t> </w:t>
            </w:r>
          </w:p>
        </w:tc>
        <w:tc>
          <w:tcPr>
            <w:tcW w:w="61"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jc w:val="right"/>
              <w:rPr/>
            </w:pPr>
            <w:r>
              <w:rPr/>
              <w:t> </w:t>
            </w:r>
          </w:p>
        </w:tc>
        <w:tc>
          <w:tcPr>
            <w:tcW w:w="128" w:type="dxa"/>
            <w:tcBorders/>
            <w:shd w:fill="auto" w:val="clear"/>
            <w:vAlign w:val="bottom"/>
          </w:tcPr>
          <w:p>
            <w:pPr>
              <w:pStyle w:val="TableContents"/>
              <w:spacing w:before="0" w:after="283"/>
              <w:jc w:val="left"/>
              <w:rPr/>
            </w:pPr>
            <w:r>
              <w:rPr/>
              <w:t> </w:t>
            </w:r>
          </w:p>
        </w:tc>
        <w:tc>
          <w:tcPr>
            <w:tcW w:w="71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10" w:type="dxa"/>
            <w:tcBorders/>
            <w:shd w:fill="auto" w:val="clear"/>
            <w:vAlign w:val="bottom"/>
          </w:tcPr>
          <w:p>
            <w:pPr>
              <w:pStyle w:val="TableContents"/>
              <w:spacing w:before="0" w:after="283"/>
              <w:jc w:val="left"/>
              <w:rPr/>
            </w:pPr>
            <w:r>
              <w:rPr/>
              <w:t> </w:t>
            </w:r>
          </w:p>
        </w:tc>
        <w:tc>
          <w:tcPr>
            <w:tcW w:w="996"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283"/>
              <w:jc w:val="right"/>
              <w:rPr/>
            </w:pPr>
            <w:r>
              <w:rPr/>
              <w:t> </w:t>
            </w:r>
          </w:p>
        </w:tc>
        <w:tc>
          <w:tcPr>
            <w:tcW w:w="84" w:type="dxa"/>
            <w:tcBorders/>
            <w:shd w:fill="auto" w:val="clear"/>
            <w:vAlign w:val="bottom"/>
          </w:tcPr>
          <w:p>
            <w:pPr>
              <w:pStyle w:val="TableContents"/>
              <w:spacing w:before="0" w:after="283"/>
              <w:jc w:val="left"/>
              <w:rPr/>
            </w:pPr>
            <w:r>
              <w:rPr/>
              <w:t> </w:t>
            </w:r>
          </w:p>
        </w:tc>
      </w:tr>
      <w:tr>
        <w:trPr/>
        <w:tc>
          <w:tcPr>
            <w:tcW w:w="2502" w:type="dxa"/>
            <w:tcBorders/>
            <w:shd w:fill="CCEEFF" w:val="clear"/>
            <w:vAlign w:val="bottom"/>
          </w:tcPr>
          <w:p>
            <w:pPr>
              <w:pStyle w:val="TableContents"/>
              <w:spacing w:before="0" w:after="0"/>
              <w:jc w:val="left"/>
              <w:rPr>
                <w:color w:val="000000"/>
              </w:rPr>
            </w:pPr>
            <w:r>
              <w:rPr>
                <w:color w:val="000000"/>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8" w:type="dxa"/>
            <w:tcBorders/>
            <w:shd w:fill="CCEEFF" w:val="clear"/>
            <w:vAlign w:val="bottom"/>
          </w:tcPr>
          <w:p>
            <w:pPr>
              <w:pStyle w:val="TableContents"/>
              <w:spacing w:before="0" w:after="283"/>
              <w:jc w:val="left"/>
              <w:rPr/>
            </w:pPr>
            <w:r>
              <w:rPr/>
              <w:t> </w:t>
            </w:r>
          </w:p>
        </w:tc>
        <w:tc>
          <w:tcPr>
            <w:tcW w:w="714" w:type="dxa"/>
            <w:tcBorders/>
            <w:shd w:fill="CCEEFF" w:val="clear"/>
            <w:vAlign w:val="bottom"/>
          </w:tcPr>
          <w:p>
            <w:pPr>
              <w:pStyle w:val="TableContents"/>
              <w:spacing w:before="0" w:after="283"/>
              <w:jc w:val="right"/>
              <w:rPr/>
            </w:pPr>
            <w:r>
              <w:rPr/>
              <w:t> </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28" w:type="dxa"/>
            <w:tcBorders/>
            <w:shd w:fill="CCEEFF" w:val="clear"/>
            <w:vAlign w:val="bottom"/>
          </w:tcPr>
          <w:p>
            <w:pPr>
              <w:pStyle w:val="TableContents"/>
              <w:spacing w:before="0" w:after="283"/>
              <w:jc w:val="left"/>
              <w:rPr/>
            </w:pPr>
            <w:r>
              <w:rPr/>
              <w:t> </w:t>
            </w:r>
          </w:p>
        </w:tc>
        <w:tc>
          <w:tcPr>
            <w:tcW w:w="606" w:type="dxa"/>
            <w:tcBorders/>
            <w:shd w:fill="CCEEFF" w:val="clear"/>
            <w:vAlign w:val="bottom"/>
          </w:tcPr>
          <w:p>
            <w:pPr>
              <w:pStyle w:val="TableContents"/>
              <w:spacing w:before="0" w:after="283"/>
              <w:jc w:val="right"/>
              <w:rPr/>
            </w:pPr>
            <w:r>
              <w:rPr/>
              <w:t> </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28" w:type="dxa"/>
            <w:tcBorders/>
            <w:shd w:fill="CCEEFF" w:val="clear"/>
            <w:vAlign w:val="bottom"/>
          </w:tcPr>
          <w:p>
            <w:pPr>
              <w:pStyle w:val="TableContents"/>
              <w:spacing w:before="0" w:after="283"/>
              <w:jc w:val="left"/>
              <w:rPr/>
            </w:pPr>
            <w:r>
              <w:rPr/>
              <w:t> </w:t>
            </w:r>
          </w:p>
        </w:tc>
        <w:tc>
          <w:tcPr>
            <w:tcW w:w="606" w:type="dxa"/>
            <w:tcBorders/>
            <w:shd w:fill="CCEEFF" w:val="clear"/>
            <w:vAlign w:val="bottom"/>
          </w:tcPr>
          <w:p>
            <w:pPr>
              <w:pStyle w:val="TableContents"/>
              <w:spacing w:before="0" w:after="283"/>
              <w:jc w:val="right"/>
              <w:rPr/>
            </w:pPr>
            <w:r>
              <w:rPr/>
              <w:t> </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28" w:type="dxa"/>
            <w:tcBorders/>
            <w:shd w:fill="CCEEFF" w:val="clear"/>
            <w:vAlign w:val="bottom"/>
          </w:tcPr>
          <w:p>
            <w:pPr>
              <w:pStyle w:val="TableContents"/>
              <w:spacing w:before="0" w:after="283"/>
              <w:jc w:val="left"/>
              <w:rPr/>
            </w:pPr>
            <w:r>
              <w:rPr/>
              <w:t> </w:t>
            </w:r>
          </w:p>
        </w:tc>
        <w:tc>
          <w:tcPr>
            <w:tcW w:w="71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10"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283"/>
              <w:jc w:val="right"/>
              <w:rPr/>
            </w:pPr>
            <w:r>
              <w:rPr/>
              <w:t> </w:t>
            </w:r>
          </w:p>
        </w:tc>
        <w:tc>
          <w:tcPr>
            <w:tcW w:w="84" w:type="dxa"/>
            <w:tcBorders/>
            <w:shd w:fill="CCEEFF" w:val="clear"/>
            <w:vAlign w:val="bottom"/>
          </w:tcPr>
          <w:p>
            <w:pPr>
              <w:pStyle w:val="TableContents"/>
              <w:spacing w:before="0" w:after="283"/>
              <w:jc w:val="left"/>
              <w:rPr/>
            </w:pPr>
            <w:r>
              <w:rPr/>
              <w:t> </w:t>
            </w:r>
          </w:p>
        </w:tc>
      </w:tr>
      <w:tr>
        <w:trPr/>
        <w:tc>
          <w:tcPr>
            <w:tcW w:w="2502" w:type="dxa"/>
            <w:tcBorders/>
            <w:shd w:fill="auto"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Pass</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590" w:type="dxa"/>
            <w:tcBorders/>
            <w:shd w:fill="auto"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24,089</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95" w:type="dxa"/>
            <w:tcBorders/>
            <w:shd w:fill="auto"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166,053</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8" w:type="dxa"/>
            <w:tcBorders/>
            <w:shd w:fill="auto"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714" w:type="dxa"/>
            <w:tcBorders/>
            <w:shd w:fill="auto"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116,762</w:t>
            </w:r>
          </w:p>
        </w:tc>
        <w:tc>
          <w:tcPr>
            <w:tcW w:w="61"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jc w:val="right"/>
              <w:rPr/>
            </w:pPr>
            <w:r>
              <w:rPr/>
              <w:t> </w:t>
            </w:r>
          </w:p>
        </w:tc>
        <w:tc>
          <w:tcPr>
            <w:tcW w:w="128" w:type="dxa"/>
            <w:tcBorders/>
            <w:shd w:fill="auto"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06" w:type="dxa"/>
            <w:tcBorders/>
            <w:shd w:fill="auto"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58,256</w:t>
            </w:r>
          </w:p>
        </w:tc>
        <w:tc>
          <w:tcPr>
            <w:tcW w:w="61"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jc w:val="right"/>
              <w:rPr/>
            </w:pPr>
            <w:r>
              <w:rPr/>
              <w:t> </w:t>
            </w:r>
          </w:p>
        </w:tc>
        <w:tc>
          <w:tcPr>
            <w:tcW w:w="128" w:type="dxa"/>
            <w:tcBorders/>
            <w:shd w:fill="auto"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06" w:type="dxa"/>
            <w:tcBorders/>
            <w:shd w:fill="auto"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34,702</w:t>
            </w:r>
          </w:p>
        </w:tc>
        <w:tc>
          <w:tcPr>
            <w:tcW w:w="61"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jc w:val="right"/>
              <w:rPr/>
            </w:pPr>
            <w:r>
              <w:rPr/>
              <w:t> </w:t>
            </w:r>
          </w:p>
        </w:tc>
        <w:tc>
          <w:tcPr>
            <w:tcW w:w="128" w:type="dxa"/>
            <w:tcBorders/>
            <w:shd w:fill="auto"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714" w:type="dxa"/>
            <w:tcBorders/>
            <w:shd w:fill="auto"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70,999</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10" w:type="dxa"/>
            <w:tcBorders/>
            <w:shd w:fill="auto"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996" w:type="dxa"/>
            <w:tcBorders/>
            <w:shd w:fill="auto"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3,749</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95" w:type="dxa"/>
            <w:tcBorders/>
            <w:shd w:fill="auto"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474,610</w:t>
            </w:r>
          </w:p>
        </w:tc>
        <w:tc>
          <w:tcPr>
            <w:tcW w:w="84" w:type="dxa"/>
            <w:tcBorders/>
            <w:shd w:fill="auto" w:val="clear"/>
            <w:vAlign w:val="bottom"/>
          </w:tcPr>
          <w:p>
            <w:pPr>
              <w:pStyle w:val="TableContents"/>
              <w:spacing w:before="0" w:after="283"/>
              <w:jc w:val="left"/>
              <w:rPr/>
            </w:pPr>
            <w:r>
              <w:rPr/>
              <w:t> </w:t>
            </w:r>
          </w:p>
        </w:tc>
      </w:tr>
      <w:tr>
        <w:trPr/>
        <w:tc>
          <w:tcPr>
            <w:tcW w:w="2502" w:type="dxa"/>
            <w:tcBorders/>
            <w:shd w:fill="CCEEFF"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Special mention</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8" w:type="dxa"/>
            <w:tcBorders/>
            <w:shd w:fill="CCEEFF" w:val="clear"/>
            <w:vAlign w:val="bottom"/>
          </w:tcPr>
          <w:p>
            <w:pPr>
              <w:pStyle w:val="TableContents"/>
              <w:spacing w:before="0" w:after="283"/>
              <w:jc w:val="left"/>
              <w:rPr/>
            </w:pPr>
            <w:r>
              <w:rPr/>
              <w:t> </w:t>
            </w:r>
          </w:p>
        </w:tc>
        <w:tc>
          <w:tcPr>
            <w:tcW w:w="714" w:type="dxa"/>
            <w:tcBorders/>
            <w:shd w:fill="CCEEFF" w:val="clear"/>
            <w:vAlign w:val="bottom"/>
          </w:tcPr>
          <w:p>
            <w:pPr>
              <w:pStyle w:val="TableContents"/>
              <w:spacing w:before="0" w:after="0"/>
              <w:jc w:val="right"/>
              <w:rPr>
                <w:color w:val="000000"/>
              </w:rPr>
            </w:pPr>
            <w:r>
              <w:rPr>
                <w:color w:val="000000"/>
              </w:rPr>
              <w:t>—</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28" w:type="dxa"/>
            <w:tcBorders/>
            <w:shd w:fill="CCEEFF" w:val="clear"/>
            <w:vAlign w:val="bottom"/>
          </w:tcPr>
          <w:p>
            <w:pPr>
              <w:pStyle w:val="TableContents"/>
              <w:spacing w:before="0" w:after="283"/>
              <w:jc w:val="left"/>
              <w:rPr/>
            </w:pPr>
            <w:r>
              <w:rPr/>
              <w:t> </w:t>
            </w:r>
          </w:p>
        </w:tc>
        <w:tc>
          <w:tcPr>
            <w:tcW w:w="606" w:type="dxa"/>
            <w:tcBorders/>
            <w:shd w:fill="CCEEFF" w:val="clear"/>
            <w:vAlign w:val="bottom"/>
          </w:tcPr>
          <w:p>
            <w:pPr>
              <w:pStyle w:val="TableContents"/>
              <w:spacing w:before="0" w:after="0"/>
              <w:jc w:val="right"/>
              <w:rPr>
                <w:color w:val="000000"/>
              </w:rPr>
            </w:pPr>
            <w:r>
              <w:rPr>
                <w:color w:val="000000"/>
              </w:rPr>
              <w:t>—</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28" w:type="dxa"/>
            <w:tcBorders/>
            <w:shd w:fill="CCEEFF" w:val="clear"/>
            <w:vAlign w:val="bottom"/>
          </w:tcPr>
          <w:p>
            <w:pPr>
              <w:pStyle w:val="TableContents"/>
              <w:spacing w:before="0" w:after="283"/>
              <w:jc w:val="left"/>
              <w:rPr/>
            </w:pPr>
            <w:r>
              <w:rPr/>
              <w:t> </w:t>
            </w:r>
          </w:p>
        </w:tc>
        <w:tc>
          <w:tcPr>
            <w:tcW w:w="606" w:type="dxa"/>
            <w:tcBorders/>
            <w:shd w:fill="CCEEFF" w:val="clear"/>
            <w:vAlign w:val="bottom"/>
          </w:tcPr>
          <w:p>
            <w:pPr>
              <w:pStyle w:val="TableContents"/>
              <w:spacing w:before="0" w:after="0"/>
              <w:jc w:val="right"/>
              <w:rPr>
                <w:color w:val="000000"/>
              </w:rPr>
            </w:pPr>
            <w:r>
              <w:rPr>
                <w:color w:val="000000"/>
              </w:rPr>
              <w:t>—</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28" w:type="dxa"/>
            <w:tcBorders/>
            <w:shd w:fill="CCEEFF" w:val="clear"/>
            <w:vAlign w:val="bottom"/>
          </w:tcPr>
          <w:p>
            <w:pPr>
              <w:pStyle w:val="TableContents"/>
              <w:spacing w:before="0" w:after="283"/>
              <w:jc w:val="left"/>
              <w:rPr/>
            </w:pPr>
            <w:r>
              <w:rPr/>
              <w:t> </w:t>
            </w:r>
          </w:p>
        </w:tc>
        <w:tc>
          <w:tcPr>
            <w:tcW w:w="714"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10"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0"/>
              <w:jc w:val="right"/>
              <w:rPr>
                <w:color w:val="000000"/>
              </w:rPr>
            </w:pPr>
            <w:r>
              <w:rPr>
                <w:color w:val="000000"/>
              </w:rPr>
              <w:t>—</w:t>
            </w:r>
          </w:p>
        </w:tc>
        <w:tc>
          <w:tcPr>
            <w:tcW w:w="84" w:type="dxa"/>
            <w:tcBorders/>
            <w:shd w:fill="CCEEFF" w:val="clear"/>
            <w:vAlign w:val="bottom"/>
          </w:tcPr>
          <w:p>
            <w:pPr>
              <w:pStyle w:val="TableContents"/>
              <w:spacing w:before="0" w:after="283"/>
              <w:jc w:val="left"/>
              <w:rPr/>
            </w:pPr>
            <w:r>
              <w:rPr/>
              <w:t> </w:t>
            </w:r>
          </w:p>
        </w:tc>
      </w:tr>
      <w:tr>
        <w:trPr/>
        <w:tc>
          <w:tcPr>
            <w:tcW w:w="2502" w:type="dxa"/>
            <w:tcBorders/>
            <w:shd w:fill="auto"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Classified</w:t>
            </w:r>
          </w:p>
        </w:tc>
        <w:tc>
          <w:tcPr>
            <w:tcW w:w="60" w:type="dxa"/>
            <w:tcBorders/>
            <w:shd w:fill="auto" w:val="clear"/>
            <w:vAlign w:val="bottom"/>
          </w:tcPr>
          <w:p>
            <w:pPr>
              <w:pStyle w:val="TableContents"/>
              <w:spacing w:before="0" w:after="283"/>
              <w:jc w:val="right"/>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59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95" w:type="dxa"/>
            <w:tcBorders>
              <w:bottom w:val="single" w:sz="12" w:space="0" w:color="000000"/>
            </w:tcBorders>
            <w:shd w:fill="auto"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154</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8"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714" w:type="dxa"/>
            <w:tcBorders>
              <w:bottom w:val="single" w:sz="12" w:space="0" w:color="000000"/>
            </w:tcBorders>
            <w:shd w:fill="auto"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919</w:t>
            </w:r>
          </w:p>
        </w:tc>
        <w:tc>
          <w:tcPr>
            <w:tcW w:w="61"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jc w:val="right"/>
              <w:rPr/>
            </w:pPr>
            <w:r>
              <w:rPr/>
              <w:t> </w:t>
            </w:r>
          </w:p>
        </w:tc>
        <w:tc>
          <w:tcPr>
            <w:tcW w:w="128"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06" w:type="dxa"/>
            <w:tcBorders>
              <w:bottom w:val="single" w:sz="12" w:space="0" w:color="000000"/>
            </w:tcBorders>
            <w:shd w:fill="auto"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1,831</w:t>
            </w:r>
          </w:p>
        </w:tc>
        <w:tc>
          <w:tcPr>
            <w:tcW w:w="61"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jc w:val="right"/>
              <w:rPr/>
            </w:pPr>
            <w:r>
              <w:rPr/>
              <w:t> </w:t>
            </w:r>
          </w:p>
        </w:tc>
        <w:tc>
          <w:tcPr>
            <w:tcW w:w="128"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06" w:type="dxa"/>
            <w:tcBorders>
              <w:bottom w:val="single" w:sz="12" w:space="0" w:color="000000"/>
            </w:tcBorders>
            <w:shd w:fill="auto"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4,356</w:t>
            </w:r>
          </w:p>
        </w:tc>
        <w:tc>
          <w:tcPr>
            <w:tcW w:w="61"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jc w:val="right"/>
              <w:rPr/>
            </w:pPr>
            <w:r>
              <w:rPr/>
              <w:t> </w:t>
            </w:r>
          </w:p>
        </w:tc>
        <w:tc>
          <w:tcPr>
            <w:tcW w:w="128"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714" w:type="dxa"/>
            <w:tcBorders>
              <w:bottom w:val="single" w:sz="12" w:space="0" w:color="000000"/>
            </w:tcBorders>
            <w:shd w:fill="auto"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3,526</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996"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95" w:type="dxa"/>
            <w:tcBorders>
              <w:bottom w:val="single" w:sz="12" w:space="0" w:color="000000"/>
            </w:tcBorders>
            <w:shd w:fill="auto"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10,786</w:t>
            </w:r>
          </w:p>
        </w:tc>
        <w:tc>
          <w:tcPr>
            <w:tcW w:w="84" w:type="dxa"/>
            <w:tcBorders/>
            <w:shd w:fill="auto" w:val="clear"/>
            <w:vAlign w:val="bottom"/>
          </w:tcPr>
          <w:p>
            <w:pPr>
              <w:pStyle w:val="TableContents"/>
              <w:spacing w:before="0" w:after="283"/>
              <w:jc w:val="left"/>
              <w:rPr/>
            </w:pPr>
            <w:r>
              <w:rPr/>
              <w:t> </w:t>
            </w:r>
          </w:p>
        </w:tc>
      </w:tr>
      <w:tr>
        <w:trPr/>
        <w:tc>
          <w:tcPr>
            <w:tcW w:w="2502" w:type="dxa"/>
            <w:tcBorders/>
            <w:shd w:fill="CCEEFF" w:val="clear"/>
            <w:vAlign w:val="bottom"/>
          </w:tcPr>
          <w:p>
            <w:pPr>
              <w:pStyle w:val="TableContents"/>
              <w:spacing w:before="0" w:after="0"/>
              <w:ind w:left="360" w:right="0" w:hanging="180"/>
              <w:jc w:val="left"/>
              <w:rPr>
                <w:rFonts w:ascii="Times New Roman;Times;serif" w:hAnsi="Times New Roman;Times;serif"/>
                <w:color w:val="000000"/>
                <w:sz w:val="20"/>
              </w:rPr>
            </w:pPr>
            <w:r>
              <w:rPr>
                <w:rFonts w:ascii="Times New Roman;Times;serif" w:hAnsi="Times New Roman;Times;serif"/>
                <w:color w:val="000000"/>
                <w:sz w:val="20"/>
              </w:rPr>
              <w:t>Total consumer: 1-4 family residential loans</w:t>
            </w:r>
          </w:p>
        </w:tc>
        <w:tc>
          <w:tcPr>
            <w:tcW w:w="60"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590" w:type="dxa"/>
            <w:tcBorders>
              <w:bottom w:val="double" w:sz="8" w:space="0" w:color="000000"/>
            </w:tcBorders>
            <w:shd w:fill="CCEEFF"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24,089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95" w:type="dxa"/>
            <w:tcBorders>
              <w:bottom w:val="double" w:sz="8" w:space="0" w:color="000000"/>
            </w:tcBorders>
            <w:shd w:fill="CCEEFF"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166,207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8" w:type="dxa"/>
            <w:tcBorders>
              <w:bottom w:val="double" w:sz="8" w:space="0" w:color="000000"/>
            </w:tcBorders>
            <w:shd w:fill="CCEEFF" w:val="clear"/>
            <w:tcMar>
              <w:bottom w:w="28" w:type="dxa"/>
            </w:tcM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714" w:type="dxa"/>
            <w:tcBorders>
              <w:bottom w:val="double" w:sz="8" w:space="0" w:color="000000"/>
            </w:tcBorders>
            <w:shd w:fill="CCEEFF"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117,681</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28" w:type="dxa"/>
            <w:tcBorders>
              <w:bottom w:val="double" w:sz="8" w:space="0" w:color="000000"/>
            </w:tcBorders>
            <w:shd w:fill="CCEEFF" w:val="clear"/>
            <w:tcMar>
              <w:bottom w:w="28" w:type="dxa"/>
            </w:tcM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06" w:type="dxa"/>
            <w:tcBorders>
              <w:bottom w:val="double" w:sz="8" w:space="0" w:color="000000"/>
            </w:tcBorders>
            <w:shd w:fill="CCEEFF"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60,087</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28" w:type="dxa"/>
            <w:tcBorders>
              <w:bottom w:val="double" w:sz="8" w:space="0" w:color="000000"/>
            </w:tcBorders>
            <w:shd w:fill="CCEEFF" w:val="clear"/>
            <w:tcMar>
              <w:bottom w:w="28" w:type="dxa"/>
            </w:tcM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06" w:type="dxa"/>
            <w:tcBorders>
              <w:bottom w:val="double" w:sz="8" w:space="0" w:color="000000"/>
            </w:tcBorders>
            <w:shd w:fill="CCEEFF"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39,058</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28" w:type="dxa"/>
            <w:tcBorders>
              <w:bottom w:val="double" w:sz="8" w:space="0" w:color="000000"/>
            </w:tcBorders>
            <w:shd w:fill="CCEEFF" w:val="clear"/>
            <w:tcMar>
              <w:bottom w:w="28" w:type="dxa"/>
            </w:tcM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714" w:type="dxa"/>
            <w:tcBorders>
              <w:bottom w:val="double" w:sz="8" w:space="0" w:color="000000"/>
            </w:tcBorders>
            <w:shd w:fill="CCEEFF"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74,525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10" w:type="dxa"/>
            <w:tcBorders>
              <w:bottom w:val="double" w:sz="8" w:space="0" w:color="000000"/>
            </w:tcBorders>
            <w:shd w:fill="CCEEFF" w:val="clear"/>
            <w:tcMar>
              <w:bottom w:w="28" w:type="dxa"/>
            </w:tcM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996" w:type="dxa"/>
            <w:tcBorders>
              <w:bottom w:val="double" w:sz="8" w:space="0" w:color="000000"/>
            </w:tcBorders>
            <w:shd w:fill="CCEEFF"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3,749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95" w:type="dxa"/>
            <w:tcBorders>
              <w:bottom w:val="double" w:sz="8" w:space="0" w:color="000000"/>
            </w:tcBorders>
            <w:shd w:fill="CCEEFF"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485,396</w:t>
            </w:r>
          </w:p>
        </w:tc>
        <w:tc>
          <w:tcPr>
            <w:tcW w:w="84" w:type="dxa"/>
            <w:tcBorders/>
            <w:shd w:fill="CCEEFF" w:val="clear"/>
            <w:vAlign w:val="bottom"/>
          </w:tcPr>
          <w:p>
            <w:pPr>
              <w:pStyle w:val="TableContents"/>
              <w:spacing w:before="0" w:after="283"/>
              <w:jc w:val="left"/>
              <w:rPr/>
            </w:pPr>
            <w:r>
              <w:rPr/>
              <w:t> </w:t>
            </w:r>
          </w:p>
        </w:tc>
      </w:tr>
      <w:tr>
        <w:trPr/>
        <w:tc>
          <w:tcPr>
            <w:tcW w:w="2502" w:type="dxa"/>
            <w:tcBorders/>
            <w:shd w:fill="auto" w:val="clear"/>
            <w:vAlign w:val="bottom"/>
          </w:tcPr>
          <w:p>
            <w:pPr>
              <w:pStyle w:val="TableContents"/>
              <w:spacing w:before="0" w:after="0"/>
              <w:ind w:left="180" w:right="0" w:hanging="180"/>
              <w:jc w:val="left"/>
              <w:rPr>
                <w:rFonts w:ascii="Times New Roman;Times;serif" w:hAnsi="Times New Roman;Times;serif"/>
                <w:color w:val="000000"/>
                <w:sz w:val="20"/>
              </w:rPr>
            </w:pPr>
            <w:r>
              <w:rPr>
                <w:rFonts w:ascii="Times New Roman;Times;serif" w:hAnsi="Times New Roman;Times;serif"/>
                <w:color w:val="000000"/>
                <w:sz w:val="20"/>
              </w:rPr>
              <w:t>Current period gross charge-offs</w:t>
            </w:r>
          </w:p>
        </w:tc>
        <w:tc>
          <w:tcPr>
            <w:tcW w:w="60" w:type="dxa"/>
            <w:tcBorders/>
            <w:shd w:fill="auto" w:val="clear"/>
            <w:vAlign w:val="bottom"/>
          </w:tcPr>
          <w:p>
            <w:pPr>
              <w:pStyle w:val="TableContents"/>
              <w:spacing w:before="0" w:after="283"/>
              <w:jc w:val="right"/>
              <w:rPr/>
            </w:pPr>
            <w:r>
              <w:rPr/>
              <w:t> </w:t>
            </w:r>
          </w:p>
        </w:tc>
        <w:tc>
          <w:tcPr>
            <w:tcW w:w="125" w:type="dxa"/>
            <w:tcBorders>
              <w:bottom w:val="single" w:sz="12" w:space="0" w:color="000000"/>
            </w:tcBorders>
            <w:shd w:fill="auto" w:val="clear"/>
            <w:tcMar>
              <w:bottom w:w="28" w:type="dxa"/>
            </w:tcM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59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bottom w:val="single" w:sz="12" w:space="0" w:color="000000"/>
            </w:tcBorders>
            <w:shd w:fill="auto" w:val="clear"/>
            <w:tcMar>
              <w:bottom w:w="28" w:type="dxa"/>
            </w:tcM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95"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8" w:type="dxa"/>
            <w:tcBorders>
              <w:bottom w:val="single" w:sz="12" w:space="0" w:color="000000"/>
            </w:tcBorders>
            <w:shd w:fill="auto" w:val="clear"/>
            <w:tcMar>
              <w:bottom w:w="28" w:type="dxa"/>
            </w:tcM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714"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61"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jc w:val="right"/>
              <w:rPr/>
            </w:pPr>
            <w:r>
              <w:rPr/>
              <w:t> </w:t>
            </w:r>
          </w:p>
        </w:tc>
        <w:tc>
          <w:tcPr>
            <w:tcW w:w="128" w:type="dxa"/>
            <w:tcBorders>
              <w:bottom w:val="single" w:sz="12" w:space="0" w:color="000000"/>
            </w:tcBorders>
            <w:shd w:fill="auto" w:val="clear"/>
            <w:tcMar>
              <w:bottom w:w="28" w:type="dxa"/>
            </w:tcM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06"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61"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jc w:val="right"/>
              <w:rPr/>
            </w:pPr>
            <w:r>
              <w:rPr/>
              <w:t> </w:t>
            </w:r>
          </w:p>
        </w:tc>
        <w:tc>
          <w:tcPr>
            <w:tcW w:w="128" w:type="dxa"/>
            <w:tcBorders>
              <w:bottom w:val="single" w:sz="12" w:space="0" w:color="000000"/>
            </w:tcBorders>
            <w:shd w:fill="auto" w:val="clear"/>
            <w:tcMar>
              <w:bottom w:w="28" w:type="dxa"/>
            </w:tcM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06"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61"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jc w:val="right"/>
              <w:rPr/>
            </w:pPr>
            <w:r>
              <w:rPr/>
              <w:t> </w:t>
            </w:r>
          </w:p>
        </w:tc>
        <w:tc>
          <w:tcPr>
            <w:tcW w:w="128" w:type="dxa"/>
            <w:tcBorders>
              <w:bottom w:val="single" w:sz="12" w:space="0" w:color="000000"/>
            </w:tcBorders>
            <w:shd w:fill="auto" w:val="clear"/>
            <w:tcMar>
              <w:bottom w:w="28" w:type="dxa"/>
            </w:tcM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714"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10" w:type="dxa"/>
            <w:tcBorders>
              <w:bottom w:val="single" w:sz="12" w:space="0" w:color="000000"/>
            </w:tcBorders>
            <w:shd w:fill="auto" w:val="clear"/>
            <w:tcMar>
              <w:bottom w:w="28" w:type="dxa"/>
            </w:tcM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996"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bottom w:val="single" w:sz="12" w:space="0" w:color="000000"/>
            </w:tcBorders>
            <w:shd w:fill="auto" w:val="clear"/>
            <w:tcMar>
              <w:bottom w:w="28" w:type="dxa"/>
            </w:tcM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95"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84" w:type="dxa"/>
            <w:tcBorders/>
            <w:shd w:fill="auto" w:val="clear"/>
            <w:vAlign w:val="bottom"/>
          </w:tcPr>
          <w:p>
            <w:pPr>
              <w:pStyle w:val="TableContents"/>
              <w:spacing w:before="0" w:after="283"/>
              <w:jc w:val="left"/>
              <w:rPr/>
            </w:pPr>
            <w:r>
              <w:rPr/>
              <w:t> </w:t>
            </w:r>
          </w:p>
        </w:tc>
      </w:tr>
      <w:tr>
        <w:trPr/>
        <w:tc>
          <w:tcPr>
            <w:tcW w:w="2502" w:type="dxa"/>
            <w:tcBorders/>
            <w:shd w:fill="CCEEFF" w:val="clear"/>
            <w:vAlign w:val="bottom"/>
          </w:tcPr>
          <w:p>
            <w:pPr>
              <w:pStyle w:val="TableContents"/>
              <w:spacing w:before="0" w:after="0"/>
              <w:jc w:val="left"/>
              <w:rPr>
                <w:color w:val="000000"/>
              </w:rPr>
            </w:pPr>
            <w:r>
              <w:rPr>
                <w:color w:val="000000"/>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8" w:type="dxa"/>
            <w:tcBorders/>
            <w:shd w:fill="CCEEFF" w:val="clear"/>
            <w:vAlign w:val="bottom"/>
          </w:tcPr>
          <w:p>
            <w:pPr>
              <w:pStyle w:val="TableContents"/>
              <w:spacing w:before="0" w:after="283"/>
              <w:jc w:val="left"/>
              <w:rPr/>
            </w:pPr>
            <w:r>
              <w:rPr/>
              <w:t> </w:t>
            </w:r>
          </w:p>
        </w:tc>
        <w:tc>
          <w:tcPr>
            <w:tcW w:w="714" w:type="dxa"/>
            <w:tcBorders/>
            <w:shd w:fill="CCEEFF" w:val="clear"/>
            <w:vAlign w:val="bottom"/>
          </w:tcPr>
          <w:p>
            <w:pPr>
              <w:pStyle w:val="TableContents"/>
              <w:spacing w:before="0" w:after="283"/>
              <w:jc w:val="right"/>
              <w:rPr/>
            </w:pPr>
            <w:r>
              <w:rPr/>
              <w:t> </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28" w:type="dxa"/>
            <w:tcBorders/>
            <w:shd w:fill="CCEEFF" w:val="clear"/>
            <w:vAlign w:val="bottom"/>
          </w:tcPr>
          <w:p>
            <w:pPr>
              <w:pStyle w:val="TableContents"/>
              <w:spacing w:before="0" w:after="283"/>
              <w:jc w:val="left"/>
              <w:rPr/>
            </w:pPr>
            <w:r>
              <w:rPr/>
              <w:t> </w:t>
            </w:r>
          </w:p>
        </w:tc>
        <w:tc>
          <w:tcPr>
            <w:tcW w:w="606" w:type="dxa"/>
            <w:tcBorders/>
            <w:shd w:fill="CCEEFF" w:val="clear"/>
            <w:vAlign w:val="bottom"/>
          </w:tcPr>
          <w:p>
            <w:pPr>
              <w:pStyle w:val="TableContents"/>
              <w:spacing w:before="0" w:after="283"/>
              <w:jc w:val="right"/>
              <w:rPr/>
            </w:pPr>
            <w:r>
              <w:rPr/>
              <w:t> </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28" w:type="dxa"/>
            <w:tcBorders/>
            <w:shd w:fill="CCEEFF" w:val="clear"/>
            <w:vAlign w:val="bottom"/>
          </w:tcPr>
          <w:p>
            <w:pPr>
              <w:pStyle w:val="TableContents"/>
              <w:spacing w:before="0" w:after="283"/>
              <w:jc w:val="left"/>
              <w:rPr/>
            </w:pPr>
            <w:r>
              <w:rPr/>
              <w:t> </w:t>
            </w:r>
          </w:p>
        </w:tc>
        <w:tc>
          <w:tcPr>
            <w:tcW w:w="606" w:type="dxa"/>
            <w:tcBorders/>
            <w:shd w:fill="CCEEFF" w:val="clear"/>
            <w:vAlign w:val="bottom"/>
          </w:tcPr>
          <w:p>
            <w:pPr>
              <w:pStyle w:val="TableContents"/>
              <w:spacing w:before="0" w:after="283"/>
              <w:jc w:val="right"/>
              <w:rPr/>
            </w:pPr>
            <w:r>
              <w:rPr/>
              <w:t> </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28" w:type="dxa"/>
            <w:tcBorders/>
            <w:shd w:fill="CCEEFF" w:val="clear"/>
            <w:vAlign w:val="bottom"/>
          </w:tcPr>
          <w:p>
            <w:pPr>
              <w:pStyle w:val="TableContents"/>
              <w:spacing w:before="0" w:after="283"/>
              <w:jc w:val="left"/>
              <w:rPr/>
            </w:pPr>
            <w:r>
              <w:rPr/>
              <w:t> </w:t>
            </w:r>
          </w:p>
        </w:tc>
        <w:tc>
          <w:tcPr>
            <w:tcW w:w="71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10"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283"/>
              <w:jc w:val="right"/>
              <w:rPr/>
            </w:pPr>
            <w:r>
              <w:rPr/>
              <w:t> </w:t>
            </w:r>
          </w:p>
        </w:tc>
        <w:tc>
          <w:tcPr>
            <w:tcW w:w="84" w:type="dxa"/>
            <w:tcBorders/>
            <w:shd w:fill="CCEEFF" w:val="clear"/>
            <w:vAlign w:val="bottom"/>
          </w:tcPr>
          <w:p>
            <w:pPr>
              <w:pStyle w:val="TableContents"/>
              <w:spacing w:before="0" w:after="283"/>
              <w:jc w:val="left"/>
              <w:rPr/>
            </w:pPr>
            <w:r>
              <w:rPr/>
              <w:t> </w:t>
            </w:r>
          </w:p>
        </w:tc>
      </w:tr>
      <w:tr>
        <w:trPr/>
        <w:tc>
          <w:tcPr>
            <w:tcW w:w="2502" w:type="dxa"/>
            <w:tcBorders/>
            <w:shd w:fill="auto" w:val="clear"/>
            <w:vAlign w:val="bottom"/>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Consumer: auto loans:</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59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8" w:type="dxa"/>
            <w:tcBorders/>
            <w:shd w:fill="auto" w:val="clear"/>
            <w:vAlign w:val="bottom"/>
          </w:tcPr>
          <w:p>
            <w:pPr>
              <w:pStyle w:val="TableContents"/>
              <w:spacing w:before="0" w:after="283"/>
              <w:jc w:val="left"/>
              <w:rPr/>
            </w:pPr>
            <w:r>
              <w:rPr/>
              <w:t> </w:t>
            </w:r>
          </w:p>
        </w:tc>
        <w:tc>
          <w:tcPr>
            <w:tcW w:w="714" w:type="dxa"/>
            <w:tcBorders/>
            <w:shd w:fill="auto" w:val="clear"/>
            <w:vAlign w:val="bottom"/>
          </w:tcPr>
          <w:p>
            <w:pPr>
              <w:pStyle w:val="TableContents"/>
              <w:spacing w:before="0" w:after="283"/>
              <w:jc w:val="right"/>
              <w:rPr/>
            </w:pPr>
            <w:r>
              <w:rPr/>
              <w:t> </w:t>
            </w:r>
          </w:p>
        </w:tc>
        <w:tc>
          <w:tcPr>
            <w:tcW w:w="61"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jc w:val="right"/>
              <w:rPr/>
            </w:pPr>
            <w:r>
              <w:rPr/>
              <w:t> </w:t>
            </w:r>
          </w:p>
        </w:tc>
        <w:tc>
          <w:tcPr>
            <w:tcW w:w="128" w:type="dxa"/>
            <w:tcBorders/>
            <w:shd w:fill="auto" w:val="clear"/>
            <w:vAlign w:val="bottom"/>
          </w:tcPr>
          <w:p>
            <w:pPr>
              <w:pStyle w:val="TableContents"/>
              <w:spacing w:before="0" w:after="283"/>
              <w:jc w:val="left"/>
              <w:rPr/>
            </w:pPr>
            <w:r>
              <w:rPr/>
              <w:t> </w:t>
            </w:r>
          </w:p>
        </w:tc>
        <w:tc>
          <w:tcPr>
            <w:tcW w:w="606" w:type="dxa"/>
            <w:tcBorders/>
            <w:shd w:fill="auto" w:val="clear"/>
            <w:vAlign w:val="bottom"/>
          </w:tcPr>
          <w:p>
            <w:pPr>
              <w:pStyle w:val="TableContents"/>
              <w:spacing w:before="0" w:after="283"/>
              <w:jc w:val="right"/>
              <w:rPr/>
            </w:pPr>
            <w:r>
              <w:rPr/>
              <w:t> </w:t>
            </w:r>
          </w:p>
        </w:tc>
        <w:tc>
          <w:tcPr>
            <w:tcW w:w="61"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jc w:val="right"/>
              <w:rPr/>
            </w:pPr>
            <w:r>
              <w:rPr/>
              <w:t> </w:t>
            </w:r>
          </w:p>
        </w:tc>
        <w:tc>
          <w:tcPr>
            <w:tcW w:w="128" w:type="dxa"/>
            <w:tcBorders/>
            <w:shd w:fill="auto" w:val="clear"/>
            <w:vAlign w:val="bottom"/>
          </w:tcPr>
          <w:p>
            <w:pPr>
              <w:pStyle w:val="TableContents"/>
              <w:spacing w:before="0" w:after="283"/>
              <w:jc w:val="left"/>
              <w:rPr/>
            </w:pPr>
            <w:r>
              <w:rPr/>
              <w:t> </w:t>
            </w:r>
          </w:p>
        </w:tc>
        <w:tc>
          <w:tcPr>
            <w:tcW w:w="606" w:type="dxa"/>
            <w:tcBorders/>
            <w:shd w:fill="auto" w:val="clear"/>
            <w:vAlign w:val="bottom"/>
          </w:tcPr>
          <w:p>
            <w:pPr>
              <w:pStyle w:val="TableContents"/>
              <w:spacing w:before="0" w:after="283"/>
              <w:jc w:val="right"/>
              <w:rPr/>
            </w:pPr>
            <w:r>
              <w:rPr/>
              <w:t> </w:t>
            </w:r>
          </w:p>
        </w:tc>
        <w:tc>
          <w:tcPr>
            <w:tcW w:w="61"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jc w:val="right"/>
              <w:rPr/>
            </w:pPr>
            <w:r>
              <w:rPr/>
              <w:t> </w:t>
            </w:r>
          </w:p>
        </w:tc>
        <w:tc>
          <w:tcPr>
            <w:tcW w:w="128" w:type="dxa"/>
            <w:tcBorders/>
            <w:shd w:fill="auto" w:val="clear"/>
            <w:vAlign w:val="bottom"/>
          </w:tcPr>
          <w:p>
            <w:pPr>
              <w:pStyle w:val="TableContents"/>
              <w:spacing w:before="0" w:after="283"/>
              <w:jc w:val="left"/>
              <w:rPr/>
            </w:pPr>
            <w:r>
              <w:rPr/>
              <w:t> </w:t>
            </w:r>
          </w:p>
        </w:tc>
        <w:tc>
          <w:tcPr>
            <w:tcW w:w="71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10" w:type="dxa"/>
            <w:tcBorders/>
            <w:shd w:fill="auto" w:val="clear"/>
            <w:vAlign w:val="bottom"/>
          </w:tcPr>
          <w:p>
            <w:pPr>
              <w:pStyle w:val="TableContents"/>
              <w:spacing w:before="0" w:after="283"/>
              <w:jc w:val="left"/>
              <w:rPr/>
            </w:pPr>
            <w:r>
              <w:rPr/>
              <w:t> </w:t>
            </w:r>
          </w:p>
        </w:tc>
        <w:tc>
          <w:tcPr>
            <w:tcW w:w="996"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283"/>
              <w:jc w:val="right"/>
              <w:rPr/>
            </w:pPr>
            <w:r>
              <w:rPr/>
              <w:t> </w:t>
            </w:r>
          </w:p>
        </w:tc>
        <w:tc>
          <w:tcPr>
            <w:tcW w:w="84" w:type="dxa"/>
            <w:tcBorders/>
            <w:shd w:fill="auto" w:val="clear"/>
            <w:vAlign w:val="bottom"/>
          </w:tcPr>
          <w:p>
            <w:pPr>
              <w:pStyle w:val="TableContents"/>
              <w:spacing w:before="0" w:after="283"/>
              <w:jc w:val="left"/>
              <w:rPr/>
            </w:pPr>
            <w:r>
              <w:rPr/>
              <w:t> </w:t>
            </w:r>
          </w:p>
        </w:tc>
      </w:tr>
      <w:tr>
        <w:trPr/>
        <w:tc>
          <w:tcPr>
            <w:tcW w:w="2502" w:type="dxa"/>
            <w:tcBorders/>
            <w:shd w:fill="CCEEFF"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Pass</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590" w:type="dxa"/>
            <w:tcBorders/>
            <w:shd w:fill="CCEEFF"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32,574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170,405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8" w:type="dxa"/>
            <w:tcBorders/>
            <w:shd w:fill="CCEEFF" w:val="clear"/>
            <w:vAlign w:val="bottom"/>
          </w:tcPr>
          <w:p>
            <w:pPr>
              <w:pStyle w:val="TableContents"/>
              <w:spacing w:before="0" w:after="283"/>
              <w:jc w:val="left"/>
              <w:rPr/>
            </w:pPr>
            <w:r>
              <w:rPr/>
              <w:t> </w:t>
            </w:r>
          </w:p>
        </w:tc>
        <w:tc>
          <w:tcPr>
            <w:tcW w:w="714" w:type="dxa"/>
            <w:tcBorders/>
            <w:shd w:fill="CCEEFF"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71,132</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28" w:type="dxa"/>
            <w:tcBorders/>
            <w:shd w:fill="CCEEFF" w:val="clear"/>
            <w:vAlign w:val="bottom"/>
          </w:tcPr>
          <w:p>
            <w:pPr>
              <w:pStyle w:val="TableContents"/>
              <w:spacing w:before="0" w:after="283"/>
              <w:jc w:val="left"/>
              <w:rPr/>
            </w:pPr>
            <w:r>
              <w:rPr/>
              <w:t> </w:t>
            </w:r>
          </w:p>
        </w:tc>
        <w:tc>
          <w:tcPr>
            <w:tcW w:w="606" w:type="dxa"/>
            <w:tcBorders/>
            <w:shd w:fill="CCEEFF"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26,400</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28" w:type="dxa"/>
            <w:tcBorders/>
            <w:shd w:fill="CCEEFF" w:val="clear"/>
            <w:vAlign w:val="bottom"/>
          </w:tcPr>
          <w:p>
            <w:pPr>
              <w:pStyle w:val="TableContents"/>
              <w:spacing w:before="0" w:after="283"/>
              <w:jc w:val="left"/>
              <w:rPr/>
            </w:pPr>
            <w:r>
              <w:rPr/>
              <w:t> </w:t>
            </w:r>
          </w:p>
        </w:tc>
        <w:tc>
          <w:tcPr>
            <w:tcW w:w="606" w:type="dxa"/>
            <w:tcBorders/>
            <w:shd w:fill="CCEEFF"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13,730</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28" w:type="dxa"/>
            <w:tcBorders/>
            <w:shd w:fill="CCEEFF" w:val="clear"/>
            <w:vAlign w:val="bottom"/>
          </w:tcPr>
          <w:p>
            <w:pPr>
              <w:pStyle w:val="TableContents"/>
              <w:spacing w:before="0" w:after="283"/>
              <w:jc w:val="left"/>
              <w:rPr/>
            </w:pPr>
            <w:r>
              <w:rPr/>
              <w:t> </w:t>
            </w:r>
          </w:p>
        </w:tc>
        <w:tc>
          <w:tcPr>
            <w:tcW w:w="714" w:type="dxa"/>
            <w:tcBorders/>
            <w:shd w:fill="CCEEFF"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6,741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10"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320,982</w:t>
            </w:r>
          </w:p>
        </w:tc>
        <w:tc>
          <w:tcPr>
            <w:tcW w:w="84" w:type="dxa"/>
            <w:tcBorders/>
            <w:shd w:fill="CCEEFF" w:val="clear"/>
            <w:vAlign w:val="bottom"/>
          </w:tcPr>
          <w:p>
            <w:pPr>
              <w:pStyle w:val="TableContents"/>
              <w:spacing w:before="0" w:after="283"/>
              <w:jc w:val="left"/>
              <w:rPr/>
            </w:pPr>
            <w:r>
              <w:rPr/>
              <w:t> </w:t>
            </w:r>
          </w:p>
        </w:tc>
      </w:tr>
      <w:tr>
        <w:trPr/>
        <w:tc>
          <w:tcPr>
            <w:tcW w:w="2502" w:type="dxa"/>
            <w:tcBorders/>
            <w:shd w:fill="auto"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Special mention</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590" w:type="dxa"/>
            <w:tcBorders/>
            <w:shd w:fill="auto" w:val="cle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8" w:type="dxa"/>
            <w:tcBorders/>
            <w:shd w:fill="auto" w:val="clear"/>
            <w:vAlign w:val="bottom"/>
          </w:tcPr>
          <w:p>
            <w:pPr>
              <w:pStyle w:val="TableContents"/>
              <w:spacing w:before="0" w:after="283"/>
              <w:jc w:val="left"/>
              <w:rPr/>
            </w:pPr>
            <w:r>
              <w:rPr/>
              <w:t> </w:t>
            </w:r>
          </w:p>
        </w:tc>
        <w:tc>
          <w:tcPr>
            <w:tcW w:w="714" w:type="dxa"/>
            <w:tcBorders/>
            <w:shd w:fill="auto" w:val="clear"/>
            <w:vAlign w:val="bottom"/>
          </w:tcPr>
          <w:p>
            <w:pPr>
              <w:pStyle w:val="TableContents"/>
              <w:spacing w:before="0" w:after="0"/>
              <w:jc w:val="right"/>
              <w:rPr>
                <w:color w:val="000000"/>
              </w:rPr>
            </w:pPr>
            <w:r>
              <w:rPr>
                <w:color w:val="000000"/>
              </w:rPr>
              <w:t>—</w:t>
            </w:r>
          </w:p>
        </w:tc>
        <w:tc>
          <w:tcPr>
            <w:tcW w:w="61"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jc w:val="right"/>
              <w:rPr/>
            </w:pPr>
            <w:r>
              <w:rPr/>
              <w:t> </w:t>
            </w:r>
          </w:p>
        </w:tc>
        <w:tc>
          <w:tcPr>
            <w:tcW w:w="128" w:type="dxa"/>
            <w:tcBorders/>
            <w:shd w:fill="auto" w:val="clear"/>
            <w:vAlign w:val="bottom"/>
          </w:tcPr>
          <w:p>
            <w:pPr>
              <w:pStyle w:val="TableContents"/>
              <w:spacing w:before="0" w:after="283"/>
              <w:jc w:val="left"/>
              <w:rPr/>
            </w:pPr>
            <w:r>
              <w:rPr/>
              <w:t> </w:t>
            </w:r>
          </w:p>
        </w:tc>
        <w:tc>
          <w:tcPr>
            <w:tcW w:w="606" w:type="dxa"/>
            <w:tcBorders/>
            <w:shd w:fill="auto" w:val="clear"/>
            <w:vAlign w:val="bottom"/>
          </w:tcPr>
          <w:p>
            <w:pPr>
              <w:pStyle w:val="TableContents"/>
              <w:spacing w:before="0" w:after="0"/>
              <w:jc w:val="right"/>
              <w:rPr>
                <w:color w:val="000000"/>
              </w:rPr>
            </w:pPr>
            <w:r>
              <w:rPr>
                <w:color w:val="000000"/>
              </w:rPr>
              <w:t>—</w:t>
            </w:r>
          </w:p>
        </w:tc>
        <w:tc>
          <w:tcPr>
            <w:tcW w:w="61"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jc w:val="right"/>
              <w:rPr/>
            </w:pPr>
            <w:r>
              <w:rPr/>
              <w:t> </w:t>
            </w:r>
          </w:p>
        </w:tc>
        <w:tc>
          <w:tcPr>
            <w:tcW w:w="128" w:type="dxa"/>
            <w:tcBorders/>
            <w:shd w:fill="auto" w:val="clear"/>
            <w:vAlign w:val="bottom"/>
          </w:tcPr>
          <w:p>
            <w:pPr>
              <w:pStyle w:val="TableContents"/>
              <w:spacing w:before="0" w:after="283"/>
              <w:jc w:val="left"/>
              <w:rPr/>
            </w:pPr>
            <w:r>
              <w:rPr/>
              <w:t> </w:t>
            </w:r>
          </w:p>
        </w:tc>
        <w:tc>
          <w:tcPr>
            <w:tcW w:w="606" w:type="dxa"/>
            <w:tcBorders/>
            <w:shd w:fill="auto" w:val="clear"/>
            <w:vAlign w:val="bottom"/>
          </w:tcPr>
          <w:p>
            <w:pPr>
              <w:pStyle w:val="TableContents"/>
              <w:spacing w:before="0" w:after="0"/>
              <w:jc w:val="right"/>
              <w:rPr>
                <w:color w:val="000000"/>
              </w:rPr>
            </w:pPr>
            <w:r>
              <w:rPr>
                <w:color w:val="000000"/>
              </w:rPr>
              <w:t>—</w:t>
            </w:r>
          </w:p>
        </w:tc>
        <w:tc>
          <w:tcPr>
            <w:tcW w:w="61"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jc w:val="right"/>
              <w:rPr/>
            </w:pPr>
            <w:r>
              <w:rPr/>
              <w:t> </w:t>
            </w:r>
          </w:p>
        </w:tc>
        <w:tc>
          <w:tcPr>
            <w:tcW w:w="128" w:type="dxa"/>
            <w:tcBorders/>
            <w:shd w:fill="auto" w:val="clear"/>
            <w:vAlign w:val="bottom"/>
          </w:tcPr>
          <w:p>
            <w:pPr>
              <w:pStyle w:val="TableContents"/>
              <w:spacing w:before="0" w:after="283"/>
              <w:jc w:val="left"/>
              <w:rPr/>
            </w:pPr>
            <w:r>
              <w:rPr/>
              <w:t> </w:t>
            </w:r>
          </w:p>
        </w:tc>
        <w:tc>
          <w:tcPr>
            <w:tcW w:w="714" w:type="dxa"/>
            <w:tcBorders/>
            <w:shd w:fill="auto" w:val="cle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10" w:type="dxa"/>
            <w:tcBorders/>
            <w:shd w:fill="auto" w:val="clear"/>
            <w:vAlign w:val="bottom"/>
          </w:tcPr>
          <w:p>
            <w:pPr>
              <w:pStyle w:val="TableContents"/>
              <w:spacing w:before="0" w:after="283"/>
              <w:jc w:val="left"/>
              <w:rPr/>
            </w:pPr>
            <w:r>
              <w:rPr/>
              <w:t> </w:t>
            </w:r>
          </w:p>
        </w:tc>
        <w:tc>
          <w:tcPr>
            <w:tcW w:w="996" w:type="dxa"/>
            <w:tcBorders/>
            <w:shd w:fill="auto" w:val="cle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0"/>
              <w:jc w:val="right"/>
              <w:rPr>
                <w:color w:val="000000"/>
              </w:rPr>
            </w:pPr>
            <w:r>
              <w:rPr>
                <w:color w:val="000000"/>
              </w:rPr>
              <w:t>—</w:t>
            </w:r>
          </w:p>
        </w:tc>
        <w:tc>
          <w:tcPr>
            <w:tcW w:w="84" w:type="dxa"/>
            <w:tcBorders/>
            <w:shd w:fill="auto" w:val="clear"/>
            <w:vAlign w:val="bottom"/>
          </w:tcPr>
          <w:p>
            <w:pPr>
              <w:pStyle w:val="TableContents"/>
              <w:spacing w:before="0" w:after="283"/>
              <w:jc w:val="left"/>
              <w:rPr/>
            </w:pPr>
            <w:r>
              <w:rPr/>
              <w:t> </w:t>
            </w:r>
          </w:p>
        </w:tc>
      </w:tr>
      <w:tr>
        <w:trPr/>
        <w:tc>
          <w:tcPr>
            <w:tcW w:w="2502" w:type="dxa"/>
            <w:tcBorders/>
            <w:shd w:fill="CCEEFF"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Classified</w:t>
            </w:r>
          </w:p>
        </w:tc>
        <w:tc>
          <w:tcPr>
            <w:tcW w:w="6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8"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14" w:type="dxa"/>
            <w:tcBorders>
              <w:bottom w:val="single" w:sz="12" w:space="0" w:color="000000"/>
            </w:tcBorders>
            <w:shd w:fill="CCEEFF"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133</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28"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06" w:type="dxa"/>
            <w:tcBorders>
              <w:bottom w:val="single" w:sz="12" w:space="0" w:color="000000"/>
            </w:tcBorders>
            <w:shd w:fill="CCEEFF"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50</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28"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06" w:type="dxa"/>
            <w:tcBorders>
              <w:bottom w:val="single" w:sz="12" w:space="0" w:color="000000"/>
            </w:tcBorders>
            <w:shd w:fill="CCEEFF"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79</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28"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14" w:type="dxa"/>
            <w:tcBorders>
              <w:bottom w:val="single" w:sz="12" w:space="0" w:color="000000"/>
            </w:tcBorders>
            <w:shd w:fill="CCEEFF"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65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96"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327</w:t>
            </w:r>
          </w:p>
        </w:tc>
        <w:tc>
          <w:tcPr>
            <w:tcW w:w="84" w:type="dxa"/>
            <w:tcBorders/>
            <w:shd w:fill="CCEEFF" w:val="clear"/>
            <w:vAlign w:val="bottom"/>
          </w:tcPr>
          <w:p>
            <w:pPr>
              <w:pStyle w:val="TableContents"/>
              <w:spacing w:before="0" w:after="283"/>
              <w:jc w:val="left"/>
              <w:rPr/>
            </w:pPr>
            <w:r>
              <w:rPr/>
              <w:t> </w:t>
            </w:r>
          </w:p>
        </w:tc>
      </w:tr>
      <w:tr>
        <w:trPr/>
        <w:tc>
          <w:tcPr>
            <w:tcW w:w="2502" w:type="dxa"/>
            <w:tcBorders/>
            <w:shd w:fill="auto" w:val="clear"/>
            <w:vAlign w:val="bottom"/>
          </w:tcPr>
          <w:p>
            <w:pPr>
              <w:pStyle w:val="TableContents"/>
              <w:spacing w:before="0" w:after="0"/>
              <w:ind w:left="360" w:right="0" w:hanging="180"/>
              <w:jc w:val="left"/>
              <w:rPr>
                <w:rFonts w:ascii="Times New Roman;Times;serif" w:hAnsi="Times New Roman;Times;serif"/>
                <w:color w:val="000000"/>
                <w:sz w:val="20"/>
              </w:rPr>
            </w:pPr>
            <w:r>
              <w:rPr>
                <w:rFonts w:ascii="Times New Roman;Times;serif" w:hAnsi="Times New Roman;Times;serif"/>
                <w:color w:val="000000"/>
                <w:sz w:val="20"/>
              </w:rPr>
              <w:t>Total consumer: auto loans</w:t>
            </w:r>
          </w:p>
        </w:tc>
        <w:tc>
          <w:tcPr>
            <w:tcW w:w="60" w:type="dxa"/>
            <w:tcBorders/>
            <w:shd w:fill="auto" w:val="clear"/>
            <w:vAlign w:val="bottom"/>
          </w:tcPr>
          <w:p>
            <w:pPr>
              <w:pStyle w:val="TableContents"/>
              <w:spacing w:before="0" w:after="283"/>
              <w:jc w:val="right"/>
              <w:rPr/>
            </w:pPr>
            <w:r>
              <w:rPr/>
              <w:t> </w:t>
            </w:r>
          </w:p>
        </w:tc>
        <w:tc>
          <w:tcPr>
            <w:tcW w:w="125" w:type="dxa"/>
            <w:tcBorders>
              <w:bottom w:val="double" w:sz="8" w:space="0" w:color="000000"/>
            </w:tcBorders>
            <w:shd w:fill="auto" w:val="clear"/>
            <w:tcMar>
              <w:bottom w:w="28" w:type="dxa"/>
            </w:tcM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590" w:type="dxa"/>
            <w:tcBorders>
              <w:bottom w:val="double" w:sz="8" w:space="0" w:color="000000"/>
            </w:tcBorders>
            <w:shd w:fill="auto"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32,574</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bottom w:val="double" w:sz="8" w:space="0" w:color="000000"/>
            </w:tcBorders>
            <w:shd w:fill="auto" w:val="clear"/>
            <w:tcMar>
              <w:bottom w:w="28" w:type="dxa"/>
            </w:tcM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95" w:type="dxa"/>
            <w:tcBorders>
              <w:bottom w:val="double" w:sz="8" w:space="0" w:color="000000"/>
            </w:tcBorders>
            <w:shd w:fill="auto"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170,405</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8" w:type="dxa"/>
            <w:tcBorders>
              <w:bottom w:val="double" w:sz="8" w:space="0" w:color="000000"/>
            </w:tcBorders>
            <w:shd w:fill="auto" w:val="clear"/>
            <w:tcMar>
              <w:bottom w:w="28" w:type="dxa"/>
            </w:tcM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714" w:type="dxa"/>
            <w:tcBorders>
              <w:bottom w:val="double" w:sz="8" w:space="0" w:color="000000"/>
            </w:tcBorders>
            <w:shd w:fill="auto"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71,265</w:t>
            </w:r>
          </w:p>
        </w:tc>
        <w:tc>
          <w:tcPr>
            <w:tcW w:w="61"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jc w:val="right"/>
              <w:rPr/>
            </w:pPr>
            <w:r>
              <w:rPr/>
              <w:t> </w:t>
            </w:r>
          </w:p>
        </w:tc>
        <w:tc>
          <w:tcPr>
            <w:tcW w:w="128" w:type="dxa"/>
            <w:tcBorders>
              <w:bottom w:val="double" w:sz="8" w:space="0" w:color="000000"/>
            </w:tcBorders>
            <w:shd w:fill="auto" w:val="clear"/>
            <w:tcMar>
              <w:bottom w:w="28" w:type="dxa"/>
            </w:tcM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06" w:type="dxa"/>
            <w:tcBorders>
              <w:bottom w:val="double" w:sz="8" w:space="0" w:color="000000"/>
            </w:tcBorders>
            <w:shd w:fill="auto"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26,450</w:t>
            </w:r>
          </w:p>
        </w:tc>
        <w:tc>
          <w:tcPr>
            <w:tcW w:w="61"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jc w:val="right"/>
              <w:rPr/>
            </w:pPr>
            <w:r>
              <w:rPr/>
              <w:t> </w:t>
            </w:r>
          </w:p>
        </w:tc>
        <w:tc>
          <w:tcPr>
            <w:tcW w:w="128" w:type="dxa"/>
            <w:tcBorders>
              <w:bottom w:val="double" w:sz="8" w:space="0" w:color="000000"/>
            </w:tcBorders>
            <w:shd w:fill="auto" w:val="clear"/>
            <w:tcMar>
              <w:bottom w:w="28" w:type="dxa"/>
            </w:tcM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06" w:type="dxa"/>
            <w:tcBorders>
              <w:bottom w:val="double" w:sz="8" w:space="0" w:color="000000"/>
            </w:tcBorders>
            <w:shd w:fill="auto"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13,809</w:t>
            </w:r>
          </w:p>
        </w:tc>
        <w:tc>
          <w:tcPr>
            <w:tcW w:w="61"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jc w:val="right"/>
              <w:rPr/>
            </w:pPr>
            <w:r>
              <w:rPr/>
              <w:t> </w:t>
            </w:r>
          </w:p>
        </w:tc>
        <w:tc>
          <w:tcPr>
            <w:tcW w:w="128" w:type="dxa"/>
            <w:tcBorders>
              <w:bottom w:val="double" w:sz="8" w:space="0" w:color="000000"/>
            </w:tcBorders>
            <w:shd w:fill="auto" w:val="clear"/>
            <w:tcMar>
              <w:bottom w:w="28" w:type="dxa"/>
            </w:tcM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714" w:type="dxa"/>
            <w:tcBorders>
              <w:bottom w:val="double" w:sz="8" w:space="0" w:color="000000"/>
            </w:tcBorders>
            <w:shd w:fill="auto"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6,806</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10" w:type="dxa"/>
            <w:tcBorders>
              <w:bottom w:val="double" w:sz="8" w:space="0" w:color="000000"/>
            </w:tcBorders>
            <w:shd w:fill="auto" w:val="clear"/>
            <w:tcMar>
              <w:bottom w:w="28" w:type="dxa"/>
            </w:tcM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996" w:type="dxa"/>
            <w:tcBorders>
              <w:bottom w:val="double" w:sz="8"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bottom w:val="double" w:sz="8" w:space="0" w:color="000000"/>
            </w:tcBorders>
            <w:shd w:fill="auto" w:val="clear"/>
            <w:tcMar>
              <w:bottom w:w="28" w:type="dxa"/>
            </w:tcM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95" w:type="dxa"/>
            <w:tcBorders>
              <w:bottom w:val="double" w:sz="8" w:space="0" w:color="000000"/>
            </w:tcBorders>
            <w:shd w:fill="auto"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321,309</w:t>
            </w:r>
          </w:p>
        </w:tc>
        <w:tc>
          <w:tcPr>
            <w:tcW w:w="84" w:type="dxa"/>
            <w:tcBorders/>
            <w:shd w:fill="auto" w:val="clear"/>
            <w:vAlign w:val="bottom"/>
          </w:tcPr>
          <w:p>
            <w:pPr>
              <w:pStyle w:val="TableContents"/>
              <w:spacing w:before="0" w:after="283"/>
              <w:jc w:val="left"/>
              <w:rPr/>
            </w:pPr>
            <w:r>
              <w:rPr/>
              <w:t> </w:t>
            </w:r>
          </w:p>
        </w:tc>
      </w:tr>
      <w:tr>
        <w:trPr/>
        <w:tc>
          <w:tcPr>
            <w:tcW w:w="2502" w:type="dxa"/>
            <w:tcBorders/>
            <w:shd w:fill="CCEEFF"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Current period gross charge-offs</w:t>
            </w:r>
          </w:p>
        </w:tc>
        <w:tc>
          <w:tcPr>
            <w:tcW w:w="6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590"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95" w:type="dxa"/>
            <w:tcBorders>
              <w:bottom w:val="single" w:sz="12" w:space="0" w:color="000000"/>
            </w:tcBorders>
            <w:shd w:fill="CCEEFF"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106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8" w:type="dxa"/>
            <w:tcBorders>
              <w:bottom w:val="single" w:sz="12" w:space="0" w:color="000000"/>
            </w:tcBorders>
            <w:shd w:fill="CCEEFF" w:val="clear"/>
            <w:tcMar>
              <w:bottom w:w="28" w:type="dxa"/>
            </w:tcM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714" w:type="dxa"/>
            <w:tcBorders>
              <w:bottom w:val="single" w:sz="12" w:space="0" w:color="000000"/>
            </w:tcBorders>
            <w:shd w:fill="CCEEFF"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102</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28" w:type="dxa"/>
            <w:tcBorders>
              <w:bottom w:val="single" w:sz="12" w:space="0" w:color="000000"/>
            </w:tcBorders>
            <w:shd w:fill="CCEEFF" w:val="clear"/>
            <w:tcMar>
              <w:bottom w:w="28" w:type="dxa"/>
            </w:tcM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06"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28" w:type="dxa"/>
            <w:tcBorders>
              <w:bottom w:val="single" w:sz="12" w:space="0" w:color="000000"/>
            </w:tcBorders>
            <w:shd w:fill="CCEEFF" w:val="clear"/>
            <w:tcMar>
              <w:bottom w:w="28" w:type="dxa"/>
            </w:tcM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06" w:type="dxa"/>
            <w:tcBorders>
              <w:bottom w:val="single" w:sz="12" w:space="0" w:color="000000"/>
            </w:tcBorders>
            <w:shd w:fill="CCEEFF"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16</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28" w:type="dxa"/>
            <w:tcBorders>
              <w:bottom w:val="single" w:sz="12" w:space="0" w:color="000000"/>
            </w:tcBorders>
            <w:shd w:fill="CCEEFF" w:val="clear"/>
            <w:tcMar>
              <w:bottom w:w="28" w:type="dxa"/>
            </w:tcM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714" w:type="dxa"/>
            <w:tcBorders>
              <w:bottom w:val="single" w:sz="12" w:space="0" w:color="000000"/>
            </w:tcBorders>
            <w:shd w:fill="CCEEFF"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30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10" w:type="dxa"/>
            <w:tcBorders>
              <w:bottom w:val="single" w:sz="12" w:space="0" w:color="000000"/>
            </w:tcBorders>
            <w:shd w:fill="CCEEFF" w:val="clear"/>
            <w:tcMar>
              <w:bottom w:w="28" w:type="dxa"/>
            </w:tcM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996"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95" w:type="dxa"/>
            <w:tcBorders>
              <w:bottom w:val="single" w:sz="12" w:space="0" w:color="000000"/>
            </w:tcBorders>
            <w:shd w:fill="CCEEFF"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254</w:t>
            </w:r>
          </w:p>
        </w:tc>
        <w:tc>
          <w:tcPr>
            <w:tcW w:w="84" w:type="dxa"/>
            <w:tcBorders/>
            <w:shd w:fill="CCEEFF" w:val="clear"/>
            <w:vAlign w:val="bottom"/>
          </w:tcPr>
          <w:p>
            <w:pPr>
              <w:pStyle w:val="TableContents"/>
              <w:spacing w:before="0" w:after="283"/>
              <w:jc w:val="left"/>
              <w:rPr/>
            </w:pPr>
            <w:r>
              <w:rPr/>
              <w:t> </w:t>
            </w:r>
          </w:p>
        </w:tc>
      </w:tr>
      <w:tr>
        <w:trPr/>
        <w:tc>
          <w:tcPr>
            <w:tcW w:w="2502" w:type="dxa"/>
            <w:tcBorders/>
            <w:shd w:fill="auto" w:val="clear"/>
            <w:vAlign w:val="bottom"/>
          </w:tcPr>
          <w:p>
            <w:pPr>
              <w:pStyle w:val="TableContents"/>
              <w:spacing w:before="0" w:after="0"/>
              <w:jc w:val="left"/>
              <w:rPr>
                <w:color w:val="000000"/>
              </w:rPr>
            </w:pPr>
            <w:r>
              <w:rPr>
                <w:color w:val="000000"/>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59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8" w:type="dxa"/>
            <w:tcBorders/>
            <w:shd w:fill="auto" w:val="clear"/>
            <w:vAlign w:val="bottom"/>
          </w:tcPr>
          <w:p>
            <w:pPr>
              <w:pStyle w:val="TableContents"/>
              <w:spacing w:before="0" w:after="283"/>
              <w:jc w:val="left"/>
              <w:rPr/>
            </w:pPr>
            <w:r>
              <w:rPr/>
              <w:t> </w:t>
            </w:r>
          </w:p>
        </w:tc>
        <w:tc>
          <w:tcPr>
            <w:tcW w:w="714" w:type="dxa"/>
            <w:tcBorders/>
            <w:shd w:fill="auto" w:val="clear"/>
            <w:vAlign w:val="bottom"/>
          </w:tcPr>
          <w:p>
            <w:pPr>
              <w:pStyle w:val="TableContents"/>
              <w:spacing w:before="0" w:after="283"/>
              <w:jc w:val="right"/>
              <w:rPr/>
            </w:pPr>
            <w:r>
              <w:rPr/>
              <w:t> </w:t>
            </w:r>
          </w:p>
        </w:tc>
        <w:tc>
          <w:tcPr>
            <w:tcW w:w="61"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jc w:val="right"/>
              <w:rPr/>
            </w:pPr>
            <w:r>
              <w:rPr/>
              <w:t> </w:t>
            </w:r>
          </w:p>
        </w:tc>
        <w:tc>
          <w:tcPr>
            <w:tcW w:w="128" w:type="dxa"/>
            <w:tcBorders/>
            <w:shd w:fill="auto" w:val="clear"/>
            <w:vAlign w:val="bottom"/>
          </w:tcPr>
          <w:p>
            <w:pPr>
              <w:pStyle w:val="TableContents"/>
              <w:spacing w:before="0" w:after="283"/>
              <w:jc w:val="left"/>
              <w:rPr/>
            </w:pPr>
            <w:r>
              <w:rPr/>
              <w:t> </w:t>
            </w:r>
          </w:p>
        </w:tc>
        <w:tc>
          <w:tcPr>
            <w:tcW w:w="606" w:type="dxa"/>
            <w:tcBorders/>
            <w:shd w:fill="auto" w:val="clear"/>
            <w:vAlign w:val="bottom"/>
          </w:tcPr>
          <w:p>
            <w:pPr>
              <w:pStyle w:val="TableContents"/>
              <w:spacing w:before="0" w:after="283"/>
              <w:jc w:val="right"/>
              <w:rPr/>
            </w:pPr>
            <w:r>
              <w:rPr/>
              <w:t> </w:t>
            </w:r>
          </w:p>
        </w:tc>
        <w:tc>
          <w:tcPr>
            <w:tcW w:w="61"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jc w:val="right"/>
              <w:rPr/>
            </w:pPr>
            <w:r>
              <w:rPr/>
              <w:t> </w:t>
            </w:r>
          </w:p>
        </w:tc>
        <w:tc>
          <w:tcPr>
            <w:tcW w:w="128" w:type="dxa"/>
            <w:tcBorders/>
            <w:shd w:fill="auto" w:val="clear"/>
            <w:vAlign w:val="bottom"/>
          </w:tcPr>
          <w:p>
            <w:pPr>
              <w:pStyle w:val="TableContents"/>
              <w:spacing w:before="0" w:after="283"/>
              <w:jc w:val="left"/>
              <w:rPr/>
            </w:pPr>
            <w:r>
              <w:rPr/>
              <w:t> </w:t>
            </w:r>
          </w:p>
        </w:tc>
        <w:tc>
          <w:tcPr>
            <w:tcW w:w="606" w:type="dxa"/>
            <w:tcBorders/>
            <w:shd w:fill="auto" w:val="clear"/>
            <w:vAlign w:val="bottom"/>
          </w:tcPr>
          <w:p>
            <w:pPr>
              <w:pStyle w:val="TableContents"/>
              <w:spacing w:before="0" w:after="283"/>
              <w:jc w:val="right"/>
              <w:rPr/>
            </w:pPr>
            <w:r>
              <w:rPr/>
              <w:t> </w:t>
            </w:r>
          </w:p>
        </w:tc>
        <w:tc>
          <w:tcPr>
            <w:tcW w:w="61"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jc w:val="right"/>
              <w:rPr/>
            </w:pPr>
            <w:r>
              <w:rPr/>
              <w:t> </w:t>
            </w:r>
          </w:p>
        </w:tc>
        <w:tc>
          <w:tcPr>
            <w:tcW w:w="128" w:type="dxa"/>
            <w:tcBorders/>
            <w:shd w:fill="auto" w:val="clear"/>
            <w:vAlign w:val="bottom"/>
          </w:tcPr>
          <w:p>
            <w:pPr>
              <w:pStyle w:val="TableContents"/>
              <w:spacing w:before="0" w:after="283"/>
              <w:jc w:val="left"/>
              <w:rPr/>
            </w:pPr>
            <w:r>
              <w:rPr/>
              <w:t> </w:t>
            </w:r>
          </w:p>
        </w:tc>
        <w:tc>
          <w:tcPr>
            <w:tcW w:w="71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10" w:type="dxa"/>
            <w:tcBorders/>
            <w:shd w:fill="auto" w:val="clear"/>
            <w:vAlign w:val="bottom"/>
          </w:tcPr>
          <w:p>
            <w:pPr>
              <w:pStyle w:val="TableContents"/>
              <w:spacing w:before="0" w:after="283"/>
              <w:jc w:val="left"/>
              <w:rPr/>
            </w:pPr>
            <w:r>
              <w:rPr/>
              <w:t> </w:t>
            </w:r>
          </w:p>
        </w:tc>
        <w:tc>
          <w:tcPr>
            <w:tcW w:w="996"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283"/>
              <w:jc w:val="right"/>
              <w:rPr/>
            </w:pPr>
            <w:r>
              <w:rPr/>
              <w:t> </w:t>
            </w:r>
          </w:p>
        </w:tc>
        <w:tc>
          <w:tcPr>
            <w:tcW w:w="84" w:type="dxa"/>
            <w:tcBorders/>
            <w:shd w:fill="auto" w:val="clear"/>
            <w:vAlign w:val="bottom"/>
          </w:tcPr>
          <w:p>
            <w:pPr>
              <w:pStyle w:val="TableContents"/>
              <w:spacing w:before="0" w:after="283"/>
              <w:jc w:val="left"/>
              <w:rPr/>
            </w:pPr>
            <w:r>
              <w:rPr/>
              <w:t> </w:t>
            </w:r>
          </w:p>
        </w:tc>
      </w:tr>
      <w:tr>
        <w:trPr/>
        <w:tc>
          <w:tcPr>
            <w:tcW w:w="2502" w:type="dxa"/>
            <w:tcBorders/>
            <w:shd w:fill="CCEEFF" w:val="clear"/>
            <w:vAlign w:val="bottom"/>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Consumer: other consumer:</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8" w:type="dxa"/>
            <w:tcBorders/>
            <w:shd w:fill="CCEEFF" w:val="clear"/>
            <w:vAlign w:val="bottom"/>
          </w:tcPr>
          <w:p>
            <w:pPr>
              <w:pStyle w:val="TableContents"/>
              <w:spacing w:before="0" w:after="283"/>
              <w:jc w:val="left"/>
              <w:rPr/>
            </w:pPr>
            <w:r>
              <w:rPr/>
              <w:t> </w:t>
            </w:r>
          </w:p>
        </w:tc>
        <w:tc>
          <w:tcPr>
            <w:tcW w:w="714" w:type="dxa"/>
            <w:tcBorders/>
            <w:shd w:fill="CCEEFF" w:val="clear"/>
            <w:vAlign w:val="bottom"/>
          </w:tcPr>
          <w:p>
            <w:pPr>
              <w:pStyle w:val="TableContents"/>
              <w:spacing w:before="0" w:after="283"/>
              <w:jc w:val="right"/>
              <w:rPr/>
            </w:pPr>
            <w:r>
              <w:rPr/>
              <w:t> </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28" w:type="dxa"/>
            <w:tcBorders/>
            <w:shd w:fill="CCEEFF" w:val="clear"/>
            <w:vAlign w:val="bottom"/>
          </w:tcPr>
          <w:p>
            <w:pPr>
              <w:pStyle w:val="TableContents"/>
              <w:spacing w:before="0" w:after="283"/>
              <w:jc w:val="left"/>
              <w:rPr/>
            </w:pPr>
            <w:r>
              <w:rPr/>
              <w:t> </w:t>
            </w:r>
          </w:p>
        </w:tc>
        <w:tc>
          <w:tcPr>
            <w:tcW w:w="606" w:type="dxa"/>
            <w:tcBorders/>
            <w:shd w:fill="CCEEFF" w:val="clear"/>
            <w:vAlign w:val="bottom"/>
          </w:tcPr>
          <w:p>
            <w:pPr>
              <w:pStyle w:val="TableContents"/>
              <w:spacing w:before="0" w:after="283"/>
              <w:jc w:val="right"/>
              <w:rPr/>
            </w:pPr>
            <w:r>
              <w:rPr/>
              <w:t> </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28" w:type="dxa"/>
            <w:tcBorders/>
            <w:shd w:fill="CCEEFF" w:val="clear"/>
            <w:vAlign w:val="bottom"/>
          </w:tcPr>
          <w:p>
            <w:pPr>
              <w:pStyle w:val="TableContents"/>
              <w:spacing w:before="0" w:after="283"/>
              <w:jc w:val="left"/>
              <w:rPr/>
            </w:pPr>
            <w:r>
              <w:rPr/>
              <w:t> </w:t>
            </w:r>
          </w:p>
        </w:tc>
        <w:tc>
          <w:tcPr>
            <w:tcW w:w="606" w:type="dxa"/>
            <w:tcBorders/>
            <w:shd w:fill="CCEEFF" w:val="clear"/>
            <w:vAlign w:val="bottom"/>
          </w:tcPr>
          <w:p>
            <w:pPr>
              <w:pStyle w:val="TableContents"/>
              <w:spacing w:before="0" w:after="283"/>
              <w:jc w:val="right"/>
              <w:rPr/>
            </w:pPr>
            <w:r>
              <w:rPr/>
              <w:t> </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28" w:type="dxa"/>
            <w:tcBorders/>
            <w:shd w:fill="CCEEFF" w:val="clear"/>
            <w:vAlign w:val="bottom"/>
          </w:tcPr>
          <w:p>
            <w:pPr>
              <w:pStyle w:val="TableContents"/>
              <w:spacing w:before="0" w:after="283"/>
              <w:jc w:val="left"/>
              <w:rPr/>
            </w:pPr>
            <w:r>
              <w:rPr/>
              <w:t> </w:t>
            </w:r>
          </w:p>
        </w:tc>
        <w:tc>
          <w:tcPr>
            <w:tcW w:w="71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10"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283"/>
              <w:jc w:val="right"/>
              <w:rPr/>
            </w:pPr>
            <w:r>
              <w:rPr/>
              <w:t> </w:t>
            </w:r>
          </w:p>
        </w:tc>
        <w:tc>
          <w:tcPr>
            <w:tcW w:w="84" w:type="dxa"/>
            <w:tcBorders/>
            <w:shd w:fill="CCEEFF" w:val="clear"/>
            <w:vAlign w:val="bottom"/>
          </w:tcPr>
          <w:p>
            <w:pPr>
              <w:pStyle w:val="TableContents"/>
              <w:spacing w:before="0" w:after="283"/>
              <w:jc w:val="left"/>
              <w:rPr/>
            </w:pPr>
            <w:r>
              <w:rPr/>
              <w:t> </w:t>
            </w:r>
          </w:p>
        </w:tc>
      </w:tr>
      <w:tr>
        <w:trPr/>
        <w:tc>
          <w:tcPr>
            <w:tcW w:w="2502" w:type="dxa"/>
            <w:tcBorders/>
            <w:shd w:fill="auto"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Pass</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590" w:type="dxa"/>
            <w:tcBorders/>
            <w:shd w:fill="auto"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7,117</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95" w:type="dxa"/>
            <w:tcBorders/>
            <w:shd w:fill="auto"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38,896</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8" w:type="dxa"/>
            <w:tcBorders/>
            <w:shd w:fill="auto"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714" w:type="dxa"/>
            <w:tcBorders/>
            <w:shd w:fill="auto"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16,431</w:t>
            </w:r>
          </w:p>
        </w:tc>
        <w:tc>
          <w:tcPr>
            <w:tcW w:w="61"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jc w:val="right"/>
              <w:rPr/>
            </w:pPr>
            <w:r>
              <w:rPr/>
              <w:t> </w:t>
            </w:r>
          </w:p>
        </w:tc>
        <w:tc>
          <w:tcPr>
            <w:tcW w:w="128" w:type="dxa"/>
            <w:tcBorders/>
            <w:shd w:fill="auto"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06" w:type="dxa"/>
            <w:tcBorders/>
            <w:shd w:fill="auto"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5,320</w:t>
            </w:r>
          </w:p>
        </w:tc>
        <w:tc>
          <w:tcPr>
            <w:tcW w:w="61"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jc w:val="right"/>
              <w:rPr/>
            </w:pPr>
            <w:r>
              <w:rPr/>
              <w:t> </w:t>
            </w:r>
          </w:p>
        </w:tc>
        <w:tc>
          <w:tcPr>
            <w:tcW w:w="128" w:type="dxa"/>
            <w:tcBorders/>
            <w:shd w:fill="auto"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06" w:type="dxa"/>
            <w:tcBorders/>
            <w:shd w:fill="auto"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4,009</w:t>
            </w:r>
          </w:p>
        </w:tc>
        <w:tc>
          <w:tcPr>
            <w:tcW w:w="61"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jc w:val="right"/>
              <w:rPr/>
            </w:pPr>
            <w:r>
              <w:rPr/>
              <w:t> </w:t>
            </w:r>
          </w:p>
        </w:tc>
        <w:tc>
          <w:tcPr>
            <w:tcW w:w="128" w:type="dxa"/>
            <w:tcBorders/>
            <w:shd w:fill="auto"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714" w:type="dxa"/>
            <w:tcBorders/>
            <w:shd w:fill="auto"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7,866</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10" w:type="dxa"/>
            <w:tcBorders/>
            <w:shd w:fill="auto"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996" w:type="dxa"/>
            <w:tcBorders/>
            <w:shd w:fill="auto"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1,574</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95" w:type="dxa"/>
            <w:tcBorders/>
            <w:shd w:fill="auto"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81,213</w:t>
            </w:r>
          </w:p>
        </w:tc>
        <w:tc>
          <w:tcPr>
            <w:tcW w:w="84" w:type="dxa"/>
            <w:tcBorders/>
            <w:shd w:fill="auto" w:val="clear"/>
            <w:vAlign w:val="bottom"/>
          </w:tcPr>
          <w:p>
            <w:pPr>
              <w:pStyle w:val="TableContents"/>
              <w:spacing w:before="0" w:after="283"/>
              <w:jc w:val="left"/>
              <w:rPr/>
            </w:pPr>
            <w:r>
              <w:rPr/>
              <w:t> </w:t>
            </w:r>
          </w:p>
        </w:tc>
      </w:tr>
      <w:tr>
        <w:trPr/>
        <w:tc>
          <w:tcPr>
            <w:tcW w:w="2502" w:type="dxa"/>
            <w:tcBorders/>
            <w:shd w:fill="CCEEFF"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Special mention</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8" w:type="dxa"/>
            <w:tcBorders/>
            <w:shd w:fill="CCEEFF" w:val="clear"/>
            <w:vAlign w:val="bottom"/>
          </w:tcPr>
          <w:p>
            <w:pPr>
              <w:pStyle w:val="TableContents"/>
              <w:spacing w:before="0" w:after="283"/>
              <w:jc w:val="left"/>
              <w:rPr/>
            </w:pPr>
            <w:r>
              <w:rPr/>
              <w:t> </w:t>
            </w:r>
          </w:p>
        </w:tc>
        <w:tc>
          <w:tcPr>
            <w:tcW w:w="714" w:type="dxa"/>
            <w:tcBorders/>
            <w:shd w:fill="CCEEFF" w:val="clear"/>
            <w:vAlign w:val="bottom"/>
          </w:tcPr>
          <w:p>
            <w:pPr>
              <w:pStyle w:val="TableContents"/>
              <w:spacing w:before="0" w:after="0"/>
              <w:jc w:val="right"/>
              <w:rPr>
                <w:color w:val="000000"/>
              </w:rPr>
            </w:pPr>
            <w:r>
              <w:rPr>
                <w:color w:val="000000"/>
              </w:rPr>
              <w:t>—</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28" w:type="dxa"/>
            <w:tcBorders/>
            <w:shd w:fill="CCEEFF" w:val="clear"/>
            <w:vAlign w:val="bottom"/>
          </w:tcPr>
          <w:p>
            <w:pPr>
              <w:pStyle w:val="TableContents"/>
              <w:spacing w:before="0" w:after="283"/>
              <w:jc w:val="left"/>
              <w:rPr/>
            </w:pPr>
            <w:r>
              <w:rPr/>
              <w:t> </w:t>
            </w:r>
          </w:p>
        </w:tc>
        <w:tc>
          <w:tcPr>
            <w:tcW w:w="606" w:type="dxa"/>
            <w:tcBorders/>
            <w:shd w:fill="CCEEFF" w:val="clear"/>
            <w:vAlign w:val="bottom"/>
          </w:tcPr>
          <w:p>
            <w:pPr>
              <w:pStyle w:val="TableContents"/>
              <w:spacing w:before="0" w:after="0"/>
              <w:jc w:val="right"/>
              <w:rPr>
                <w:color w:val="000000"/>
              </w:rPr>
            </w:pPr>
            <w:r>
              <w:rPr>
                <w:color w:val="000000"/>
              </w:rPr>
              <w:t>—</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28" w:type="dxa"/>
            <w:tcBorders/>
            <w:shd w:fill="CCEEFF" w:val="clear"/>
            <w:vAlign w:val="bottom"/>
          </w:tcPr>
          <w:p>
            <w:pPr>
              <w:pStyle w:val="TableContents"/>
              <w:spacing w:before="0" w:after="283"/>
              <w:jc w:val="left"/>
              <w:rPr/>
            </w:pPr>
            <w:r>
              <w:rPr/>
              <w:t> </w:t>
            </w:r>
          </w:p>
        </w:tc>
        <w:tc>
          <w:tcPr>
            <w:tcW w:w="606" w:type="dxa"/>
            <w:tcBorders/>
            <w:shd w:fill="CCEEFF" w:val="clear"/>
            <w:vAlign w:val="bottom"/>
          </w:tcPr>
          <w:p>
            <w:pPr>
              <w:pStyle w:val="TableContents"/>
              <w:spacing w:before="0" w:after="0"/>
              <w:jc w:val="right"/>
              <w:rPr>
                <w:color w:val="000000"/>
              </w:rPr>
            </w:pPr>
            <w:r>
              <w:rPr>
                <w:color w:val="000000"/>
              </w:rPr>
              <w:t>—</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28" w:type="dxa"/>
            <w:tcBorders/>
            <w:shd w:fill="CCEEFF" w:val="clear"/>
            <w:vAlign w:val="bottom"/>
          </w:tcPr>
          <w:p>
            <w:pPr>
              <w:pStyle w:val="TableContents"/>
              <w:spacing w:before="0" w:after="283"/>
              <w:jc w:val="left"/>
              <w:rPr/>
            </w:pPr>
            <w:r>
              <w:rPr/>
              <w:t> </w:t>
            </w:r>
          </w:p>
        </w:tc>
        <w:tc>
          <w:tcPr>
            <w:tcW w:w="714"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10"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0"/>
              <w:jc w:val="right"/>
              <w:rPr>
                <w:color w:val="000000"/>
              </w:rPr>
            </w:pPr>
            <w:r>
              <w:rPr>
                <w:color w:val="000000"/>
              </w:rPr>
              <w:t>—</w:t>
            </w:r>
          </w:p>
        </w:tc>
        <w:tc>
          <w:tcPr>
            <w:tcW w:w="84" w:type="dxa"/>
            <w:tcBorders/>
            <w:shd w:fill="CCEEFF" w:val="clear"/>
            <w:vAlign w:val="bottom"/>
          </w:tcPr>
          <w:p>
            <w:pPr>
              <w:pStyle w:val="TableContents"/>
              <w:spacing w:before="0" w:after="283"/>
              <w:jc w:val="left"/>
              <w:rPr/>
            </w:pPr>
            <w:r>
              <w:rPr/>
              <w:t> </w:t>
            </w:r>
          </w:p>
        </w:tc>
      </w:tr>
      <w:tr>
        <w:trPr/>
        <w:tc>
          <w:tcPr>
            <w:tcW w:w="2502" w:type="dxa"/>
            <w:tcBorders/>
            <w:shd w:fill="auto"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Classified</w:t>
            </w:r>
          </w:p>
        </w:tc>
        <w:tc>
          <w:tcPr>
            <w:tcW w:w="60" w:type="dxa"/>
            <w:tcBorders/>
            <w:shd w:fill="auto" w:val="clear"/>
            <w:vAlign w:val="bottom"/>
          </w:tcPr>
          <w:p>
            <w:pPr>
              <w:pStyle w:val="TableContents"/>
              <w:spacing w:before="0" w:after="283"/>
              <w:jc w:val="right"/>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59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95" w:type="dxa"/>
            <w:tcBorders>
              <w:bottom w:val="single" w:sz="12" w:space="0" w:color="000000"/>
            </w:tcBorders>
            <w:shd w:fill="auto"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12</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8"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714" w:type="dxa"/>
            <w:tcBorders>
              <w:bottom w:val="single" w:sz="12" w:space="0" w:color="000000"/>
            </w:tcBorders>
            <w:shd w:fill="auto"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50</w:t>
            </w:r>
          </w:p>
        </w:tc>
        <w:tc>
          <w:tcPr>
            <w:tcW w:w="61"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jc w:val="right"/>
              <w:rPr/>
            </w:pPr>
            <w:r>
              <w:rPr/>
              <w:t> </w:t>
            </w:r>
          </w:p>
        </w:tc>
        <w:tc>
          <w:tcPr>
            <w:tcW w:w="128"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06" w:type="dxa"/>
            <w:tcBorders>
              <w:bottom w:val="single" w:sz="12" w:space="0" w:color="000000"/>
            </w:tcBorders>
            <w:shd w:fill="auto"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36</w:t>
            </w:r>
          </w:p>
        </w:tc>
        <w:tc>
          <w:tcPr>
            <w:tcW w:w="61"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jc w:val="right"/>
              <w:rPr/>
            </w:pPr>
            <w:r>
              <w:rPr/>
              <w:t> </w:t>
            </w:r>
          </w:p>
        </w:tc>
        <w:tc>
          <w:tcPr>
            <w:tcW w:w="128"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06" w:type="dxa"/>
            <w:tcBorders>
              <w:bottom w:val="single" w:sz="12" w:space="0" w:color="000000"/>
            </w:tcBorders>
            <w:shd w:fill="auto"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3</w:t>
            </w:r>
          </w:p>
        </w:tc>
        <w:tc>
          <w:tcPr>
            <w:tcW w:w="61"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jc w:val="right"/>
              <w:rPr/>
            </w:pPr>
            <w:r>
              <w:rPr/>
              <w:t> </w:t>
            </w:r>
          </w:p>
        </w:tc>
        <w:tc>
          <w:tcPr>
            <w:tcW w:w="128"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714" w:type="dxa"/>
            <w:tcBorders>
              <w:bottom w:val="single" w:sz="12" w:space="0" w:color="000000"/>
            </w:tcBorders>
            <w:shd w:fill="auto"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99</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10"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996"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95" w:type="dxa"/>
            <w:tcBorders>
              <w:bottom w:val="single" w:sz="12" w:space="0" w:color="000000"/>
            </w:tcBorders>
            <w:shd w:fill="auto"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200</w:t>
            </w:r>
          </w:p>
        </w:tc>
        <w:tc>
          <w:tcPr>
            <w:tcW w:w="84" w:type="dxa"/>
            <w:tcBorders/>
            <w:shd w:fill="auto" w:val="clear"/>
            <w:vAlign w:val="bottom"/>
          </w:tcPr>
          <w:p>
            <w:pPr>
              <w:pStyle w:val="TableContents"/>
              <w:spacing w:before="0" w:after="283"/>
              <w:jc w:val="left"/>
              <w:rPr/>
            </w:pPr>
            <w:r>
              <w:rPr/>
              <w:t> </w:t>
            </w:r>
          </w:p>
        </w:tc>
      </w:tr>
      <w:tr>
        <w:trPr/>
        <w:tc>
          <w:tcPr>
            <w:tcW w:w="2502" w:type="dxa"/>
            <w:tcBorders/>
            <w:shd w:fill="CCEEFF" w:val="clear"/>
            <w:vAlign w:val="bottom"/>
          </w:tcPr>
          <w:p>
            <w:pPr>
              <w:pStyle w:val="TableContents"/>
              <w:spacing w:before="0" w:after="0"/>
              <w:ind w:left="360" w:right="0" w:hanging="180"/>
              <w:jc w:val="left"/>
              <w:rPr>
                <w:rFonts w:ascii="Times New Roman;Times;serif" w:hAnsi="Times New Roman;Times;serif"/>
                <w:color w:val="000000"/>
                <w:sz w:val="20"/>
              </w:rPr>
            </w:pPr>
            <w:r>
              <w:rPr>
                <w:rFonts w:ascii="Times New Roman;Times;serif" w:hAnsi="Times New Roman;Times;serif"/>
                <w:color w:val="000000"/>
                <w:sz w:val="20"/>
              </w:rPr>
              <w:t>Total consumer: other consumer loans</w:t>
            </w:r>
          </w:p>
        </w:tc>
        <w:tc>
          <w:tcPr>
            <w:tcW w:w="60"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590" w:type="dxa"/>
            <w:tcBorders>
              <w:bottom w:val="double" w:sz="8" w:space="0" w:color="000000"/>
            </w:tcBorders>
            <w:shd w:fill="CCEEFF"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7,117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95" w:type="dxa"/>
            <w:tcBorders>
              <w:bottom w:val="double" w:sz="8" w:space="0" w:color="000000"/>
            </w:tcBorders>
            <w:shd w:fill="CCEEFF"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38,908</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8" w:type="dxa"/>
            <w:tcBorders>
              <w:bottom w:val="double" w:sz="8" w:space="0" w:color="000000"/>
            </w:tcBorders>
            <w:shd w:fill="CCEEFF" w:val="clear"/>
            <w:tcMar>
              <w:bottom w:w="28" w:type="dxa"/>
            </w:tcM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714" w:type="dxa"/>
            <w:tcBorders>
              <w:bottom w:val="double" w:sz="8" w:space="0" w:color="000000"/>
            </w:tcBorders>
            <w:shd w:fill="CCEEFF"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16,481</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28" w:type="dxa"/>
            <w:tcBorders>
              <w:bottom w:val="double" w:sz="8" w:space="0" w:color="000000"/>
            </w:tcBorders>
            <w:shd w:fill="CCEEFF" w:val="clear"/>
            <w:tcMar>
              <w:bottom w:w="28" w:type="dxa"/>
            </w:tcM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06" w:type="dxa"/>
            <w:tcBorders>
              <w:bottom w:val="double" w:sz="8" w:space="0" w:color="000000"/>
            </w:tcBorders>
            <w:shd w:fill="CCEEFF"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5,356</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28" w:type="dxa"/>
            <w:tcBorders>
              <w:bottom w:val="double" w:sz="8" w:space="0" w:color="000000"/>
            </w:tcBorders>
            <w:shd w:fill="CCEEFF" w:val="clear"/>
            <w:tcMar>
              <w:bottom w:w="28" w:type="dxa"/>
            </w:tcM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06" w:type="dxa"/>
            <w:tcBorders>
              <w:bottom w:val="double" w:sz="8" w:space="0" w:color="000000"/>
            </w:tcBorders>
            <w:shd w:fill="CCEEFF"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4,012</w:t>
            </w:r>
          </w:p>
        </w:tc>
        <w:tc>
          <w:tcPr>
            <w:tcW w:w="61" w:type="dxa"/>
            <w:tcBorders/>
            <w:shd w:fill="CCEEFF" w:val="clear"/>
            <w:vAlign w:val="bottom"/>
          </w:tcPr>
          <w:p>
            <w:pPr>
              <w:pStyle w:val="TableContents"/>
              <w:spacing w:before="0" w:after="283"/>
              <w:jc w:val="left"/>
              <w:rPr/>
            </w:pPr>
            <w:r>
              <w:rPr/>
              <w:t> </w:t>
            </w:r>
          </w:p>
        </w:tc>
        <w:tc>
          <w:tcPr>
            <w:tcW w:w="61" w:type="dxa"/>
            <w:tcBorders/>
            <w:shd w:fill="CCEEFF" w:val="clear"/>
            <w:vAlign w:val="bottom"/>
          </w:tcPr>
          <w:p>
            <w:pPr>
              <w:pStyle w:val="TableContents"/>
              <w:spacing w:before="0" w:after="283"/>
              <w:jc w:val="right"/>
              <w:rPr/>
            </w:pPr>
            <w:r>
              <w:rPr/>
              <w:t> </w:t>
            </w:r>
          </w:p>
        </w:tc>
        <w:tc>
          <w:tcPr>
            <w:tcW w:w="128" w:type="dxa"/>
            <w:tcBorders>
              <w:bottom w:val="double" w:sz="8" w:space="0" w:color="000000"/>
            </w:tcBorders>
            <w:shd w:fill="CCEEFF" w:val="clear"/>
            <w:tcMar>
              <w:bottom w:w="28" w:type="dxa"/>
            </w:tcM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714" w:type="dxa"/>
            <w:tcBorders>
              <w:bottom w:val="double" w:sz="8" w:space="0" w:color="000000"/>
            </w:tcBorders>
            <w:shd w:fill="CCEEFF"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7,965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10" w:type="dxa"/>
            <w:tcBorders>
              <w:bottom w:val="double" w:sz="8" w:space="0" w:color="000000"/>
            </w:tcBorders>
            <w:shd w:fill="CCEEFF" w:val="clear"/>
            <w:tcMar>
              <w:bottom w:w="28" w:type="dxa"/>
            </w:tcM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996" w:type="dxa"/>
            <w:tcBorders>
              <w:bottom w:val="double" w:sz="8" w:space="0" w:color="000000"/>
            </w:tcBorders>
            <w:shd w:fill="CCEEFF"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1,574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95" w:type="dxa"/>
            <w:tcBorders>
              <w:bottom w:val="double" w:sz="8" w:space="0" w:color="000000"/>
            </w:tcBorders>
            <w:shd w:fill="CCEEFF"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81,413</w:t>
            </w:r>
          </w:p>
        </w:tc>
        <w:tc>
          <w:tcPr>
            <w:tcW w:w="84" w:type="dxa"/>
            <w:tcBorders/>
            <w:shd w:fill="CCEEFF" w:val="clear"/>
            <w:vAlign w:val="bottom"/>
          </w:tcPr>
          <w:p>
            <w:pPr>
              <w:pStyle w:val="TableContents"/>
              <w:spacing w:before="0" w:after="283"/>
              <w:jc w:val="left"/>
              <w:rPr/>
            </w:pPr>
            <w:r>
              <w:rPr/>
              <w:t> </w:t>
            </w:r>
          </w:p>
        </w:tc>
      </w:tr>
      <w:tr>
        <w:trPr/>
        <w:tc>
          <w:tcPr>
            <w:tcW w:w="2502" w:type="dxa"/>
            <w:tcBorders/>
            <w:shd w:fill="auto" w:val="clear"/>
            <w:vAlign w:val="bottom"/>
          </w:tcPr>
          <w:p>
            <w:pPr>
              <w:pStyle w:val="TableContents"/>
              <w:spacing w:before="0" w:after="0"/>
              <w:ind w:left="180" w:right="0" w:hanging="180"/>
              <w:jc w:val="left"/>
              <w:rPr>
                <w:rFonts w:ascii="Times New Roman;Times;serif" w:hAnsi="Times New Roman;Times;serif"/>
                <w:color w:val="000000"/>
                <w:sz w:val="20"/>
              </w:rPr>
            </w:pPr>
            <w:r>
              <w:rPr>
                <w:rFonts w:ascii="Times New Roman;Times;serif" w:hAnsi="Times New Roman;Times;serif"/>
                <w:color w:val="000000"/>
                <w:sz w:val="20"/>
              </w:rPr>
              <w:t>Current period gross charge-offs</w:t>
            </w:r>
          </w:p>
        </w:tc>
        <w:tc>
          <w:tcPr>
            <w:tcW w:w="60" w:type="dxa"/>
            <w:tcBorders/>
            <w:shd w:fill="auto" w:val="clear"/>
            <w:vAlign w:val="bottom"/>
          </w:tcPr>
          <w:p>
            <w:pPr>
              <w:pStyle w:val="TableContents"/>
              <w:spacing w:before="0" w:after="283"/>
              <w:jc w:val="right"/>
              <w:rPr/>
            </w:pPr>
            <w:r>
              <w:rPr/>
              <w:t> </w:t>
            </w:r>
          </w:p>
        </w:tc>
        <w:tc>
          <w:tcPr>
            <w:tcW w:w="125" w:type="dxa"/>
            <w:tcBorders>
              <w:bottom w:val="single" w:sz="12" w:space="0" w:color="000000"/>
            </w:tcBorders>
            <w:shd w:fill="auto" w:val="clear"/>
            <w:tcMar>
              <w:bottom w:w="28" w:type="dxa"/>
            </w:tcM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590" w:type="dxa"/>
            <w:tcBorders>
              <w:bottom w:val="single" w:sz="12" w:space="0" w:color="000000"/>
            </w:tcBorders>
            <w:shd w:fill="auto"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53</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bottom w:val="single" w:sz="12" w:space="0" w:color="000000"/>
            </w:tcBorders>
            <w:shd w:fill="auto" w:val="clear"/>
            <w:tcMar>
              <w:bottom w:w="28" w:type="dxa"/>
            </w:tcM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95" w:type="dxa"/>
            <w:tcBorders>
              <w:bottom w:val="single" w:sz="12" w:space="0" w:color="000000"/>
            </w:tcBorders>
            <w:shd w:fill="auto"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91</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8" w:type="dxa"/>
            <w:tcBorders>
              <w:bottom w:val="single" w:sz="12" w:space="0" w:color="000000"/>
            </w:tcBorders>
            <w:shd w:fill="auto" w:val="clear"/>
            <w:tcMar>
              <w:bottom w:w="28" w:type="dxa"/>
            </w:tcM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714" w:type="dxa"/>
            <w:tcBorders>
              <w:bottom w:val="single" w:sz="12" w:space="0" w:color="000000"/>
            </w:tcBorders>
            <w:shd w:fill="auto"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19</w:t>
            </w:r>
          </w:p>
        </w:tc>
        <w:tc>
          <w:tcPr>
            <w:tcW w:w="61"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jc w:val="right"/>
              <w:rPr/>
            </w:pPr>
            <w:r>
              <w:rPr/>
              <w:t> </w:t>
            </w:r>
          </w:p>
        </w:tc>
        <w:tc>
          <w:tcPr>
            <w:tcW w:w="128" w:type="dxa"/>
            <w:tcBorders>
              <w:bottom w:val="single" w:sz="12" w:space="0" w:color="000000"/>
            </w:tcBorders>
            <w:shd w:fill="auto" w:val="clear"/>
            <w:tcMar>
              <w:bottom w:w="28" w:type="dxa"/>
            </w:tcM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06" w:type="dxa"/>
            <w:tcBorders>
              <w:bottom w:val="single" w:sz="12" w:space="0" w:color="000000"/>
            </w:tcBorders>
            <w:shd w:fill="auto"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6</w:t>
            </w:r>
          </w:p>
        </w:tc>
        <w:tc>
          <w:tcPr>
            <w:tcW w:w="61"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jc w:val="right"/>
              <w:rPr/>
            </w:pPr>
            <w:r>
              <w:rPr/>
              <w:t> </w:t>
            </w:r>
          </w:p>
        </w:tc>
        <w:tc>
          <w:tcPr>
            <w:tcW w:w="128" w:type="dxa"/>
            <w:tcBorders>
              <w:bottom w:val="single" w:sz="12" w:space="0" w:color="000000"/>
            </w:tcBorders>
            <w:shd w:fill="auto" w:val="clear"/>
            <w:tcMar>
              <w:bottom w:w="28" w:type="dxa"/>
            </w:tcM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06" w:type="dxa"/>
            <w:tcBorders>
              <w:bottom w:val="single" w:sz="12" w:space="0" w:color="000000"/>
            </w:tcBorders>
            <w:shd w:fill="auto"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34</w:t>
            </w:r>
          </w:p>
        </w:tc>
        <w:tc>
          <w:tcPr>
            <w:tcW w:w="61" w:type="dxa"/>
            <w:tcBorders/>
            <w:shd w:fill="auto" w:val="clear"/>
            <w:vAlign w:val="bottom"/>
          </w:tcPr>
          <w:p>
            <w:pPr>
              <w:pStyle w:val="TableContents"/>
              <w:spacing w:before="0" w:after="283"/>
              <w:jc w:val="left"/>
              <w:rPr/>
            </w:pPr>
            <w:r>
              <w:rPr/>
              <w:t> </w:t>
            </w:r>
          </w:p>
        </w:tc>
        <w:tc>
          <w:tcPr>
            <w:tcW w:w="61" w:type="dxa"/>
            <w:tcBorders/>
            <w:shd w:fill="auto" w:val="clear"/>
            <w:vAlign w:val="bottom"/>
          </w:tcPr>
          <w:p>
            <w:pPr>
              <w:pStyle w:val="TableContents"/>
              <w:spacing w:before="0" w:after="283"/>
              <w:jc w:val="right"/>
              <w:rPr/>
            </w:pPr>
            <w:r>
              <w:rPr/>
              <w:t> </w:t>
            </w:r>
          </w:p>
        </w:tc>
        <w:tc>
          <w:tcPr>
            <w:tcW w:w="128" w:type="dxa"/>
            <w:tcBorders>
              <w:bottom w:val="single" w:sz="12" w:space="0" w:color="000000"/>
            </w:tcBorders>
            <w:shd w:fill="auto" w:val="clear"/>
            <w:tcMar>
              <w:bottom w:w="28" w:type="dxa"/>
            </w:tcM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714" w:type="dxa"/>
            <w:tcBorders>
              <w:bottom w:val="single" w:sz="12" w:space="0" w:color="000000"/>
            </w:tcBorders>
            <w:shd w:fill="auto"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11</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10" w:type="dxa"/>
            <w:tcBorders>
              <w:bottom w:val="single" w:sz="12" w:space="0" w:color="000000"/>
            </w:tcBorders>
            <w:shd w:fill="auto" w:val="clear"/>
            <w:tcMar>
              <w:bottom w:w="28" w:type="dxa"/>
            </w:tcM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996"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bottom w:val="single" w:sz="12" w:space="0" w:color="000000"/>
            </w:tcBorders>
            <w:shd w:fill="auto" w:val="clear"/>
            <w:tcMar>
              <w:bottom w:w="28" w:type="dxa"/>
            </w:tcM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95" w:type="dxa"/>
            <w:tcBorders>
              <w:bottom w:val="single" w:sz="12" w:space="0" w:color="000000"/>
            </w:tcBorders>
            <w:shd w:fill="auto"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214</w:t>
            </w:r>
          </w:p>
        </w:tc>
        <w:tc>
          <w:tcPr>
            <w:tcW w:w="84" w:type="dxa"/>
            <w:tcBorders/>
            <w:shd w:fill="auto" w:val="clear"/>
            <w:vAlign w:val="bottom"/>
          </w:tcPr>
          <w:p>
            <w:pPr>
              <w:pStyle w:val="TableContents"/>
              <w:spacing w:before="0" w:after="283"/>
              <w:jc w:val="left"/>
              <w:rPr/>
            </w:pPr>
            <w:r>
              <w:rPr/>
              <w:t> </w:t>
            </w:r>
          </w:p>
        </w:tc>
      </w:tr>
    </w:tbl>
    <w:p>
      <w:pPr>
        <w:pStyle w:val="TextBody"/>
        <w:spacing w:before="0" w:after="0"/>
        <w:rPr/>
      </w:pPr>
      <w:r>
        <w:rPr/>
      </w:r>
    </w:p>
    <w:tbl>
      <w:tblPr>
        <w:tblW w:w="9115" w:type="dxa"/>
        <w:jc w:val="left"/>
        <w:tblInd w:w="0" w:type="dxa"/>
        <w:tblCellMar>
          <w:top w:w="0" w:type="dxa"/>
          <w:left w:w="0" w:type="dxa"/>
          <w:bottom w:w="0" w:type="dxa"/>
          <w:right w:w="0" w:type="dxa"/>
        </w:tblCellMar>
      </w:tblPr>
      <w:tblGrid>
        <w:gridCol w:w="2630"/>
        <w:gridCol w:w="60"/>
        <w:gridCol w:w="200"/>
        <w:gridCol w:w="485"/>
        <w:gridCol w:w="60"/>
        <w:gridCol w:w="60"/>
        <w:gridCol w:w="200"/>
        <w:gridCol w:w="695"/>
        <w:gridCol w:w="60"/>
        <w:gridCol w:w="60"/>
        <w:gridCol w:w="200"/>
        <w:gridCol w:w="590"/>
        <w:gridCol w:w="60"/>
        <w:gridCol w:w="60"/>
        <w:gridCol w:w="200"/>
        <w:gridCol w:w="335"/>
        <w:gridCol w:w="60"/>
        <w:gridCol w:w="60"/>
        <w:gridCol w:w="200"/>
        <w:gridCol w:w="260"/>
        <w:gridCol w:w="60"/>
        <w:gridCol w:w="60"/>
        <w:gridCol w:w="200"/>
        <w:gridCol w:w="260"/>
        <w:gridCol w:w="60"/>
        <w:gridCol w:w="60"/>
        <w:gridCol w:w="200"/>
        <w:gridCol w:w="590"/>
        <w:gridCol w:w="60"/>
        <w:gridCol w:w="60"/>
        <w:gridCol w:w="200"/>
        <w:gridCol w:w="695"/>
        <w:gridCol w:w="75"/>
      </w:tblGrid>
      <w:tr>
        <w:trPr/>
        <w:tc>
          <w:tcPr>
            <w:tcW w:w="2630" w:type="dxa"/>
            <w:tcBorders/>
            <w:shd w:fill="auto" w:val="clear"/>
            <w:vAlign w:val="bottom"/>
          </w:tcPr>
          <w:p>
            <w:pPr>
              <w:pStyle w:val="TableContents"/>
              <w:spacing w:before="0" w:after="0"/>
              <w:jc w:val="left"/>
              <w:rPr>
                <w:rFonts w:ascii="Times New Roman;Times;serif" w:hAnsi="Times New Roman;Times;serif"/>
                <w:b/>
                <w:color w:val="000000"/>
                <w:sz w:val="20"/>
              </w:rPr>
            </w:pPr>
            <w:r>
              <w:rPr>
                <w:rFonts w:ascii="Times New Roman;Times;serif" w:hAnsi="Times New Roman;Times;serif"/>
                <w:b/>
                <w:color w:val="000000"/>
                <w:sz w:val="20"/>
              </w:rPr>
              <w:t>Construction:</w:t>
            </w:r>
          </w:p>
        </w:tc>
        <w:tc>
          <w:tcPr>
            <w:tcW w:w="60" w:type="dxa"/>
            <w:tcBorders/>
            <w:shd w:fill="auto" w:val="clear"/>
            <w:vAlign w:val="bottom"/>
          </w:tcPr>
          <w:p>
            <w:pPr>
              <w:pStyle w:val="TableContents"/>
              <w:spacing w:before="0" w:after="283"/>
              <w:rPr/>
            </w:pPr>
            <w:r>
              <w:rPr/>
              <w:t> </w:t>
            </w:r>
          </w:p>
        </w:tc>
        <w:tc>
          <w:tcPr>
            <w:tcW w:w="68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9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9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53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46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46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9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95"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jc w:val="left"/>
              <w:rPr/>
            </w:pPr>
            <w:r>
              <w:rPr/>
              <w:t> </w:t>
            </w:r>
          </w:p>
        </w:tc>
      </w:tr>
      <w:tr>
        <w:trPr/>
        <w:tc>
          <w:tcPr>
            <w:tcW w:w="2630" w:type="dxa"/>
            <w:tcBorders/>
            <w:shd w:fill="CCEEFF"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Pass</w:t>
            </w:r>
          </w:p>
        </w:tc>
        <w:tc>
          <w:tcPr>
            <w:tcW w:w="60" w:type="dxa"/>
            <w:tcBorders/>
            <w:shd w:fill="CCEEFF" w:val="clear"/>
            <w:vAlign w:val="bottom"/>
          </w:tcPr>
          <w:p>
            <w:pPr>
              <w:pStyle w:val="TableContents"/>
              <w:spacing w:before="0" w:after="283"/>
              <w:jc w:val="right"/>
              <w:rPr/>
            </w:pPr>
            <w:r>
              <w:rPr/>
              <w:t> </w:t>
            </w:r>
          </w:p>
        </w:tc>
        <w:tc>
          <w:tcPr>
            <w:tcW w:w="200" w:type="dxa"/>
            <w:tcBorders/>
            <w:shd w:fill="CCEEFF"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485" w:type="dxa"/>
            <w:tcBorders/>
            <w:shd w:fill="CCEEFF"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6,565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00" w:type="dxa"/>
            <w:tcBorders/>
            <w:shd w:fill="CCEEFF"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95" w:type="dxa"/>
            <w:tcBorders/>
            <w:shd w:fill="CCEEFF"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102,556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00" w:type="dxa"/>
            <w:tcBorders/>
            <w:shd w:fill="CCEEFF"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590" w:type="dxa"/>
            <w:tcBorders/>
            <w:shd w:fill="CCEEFF"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26,638</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00" w:type="dxa"/>
            <w:tcBorders/>
            <w:shd w:fill="CCEEFF"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335" w:type="dxa"/>
            <w:tcBorders/>
            <w:shd w:fill="CCEEFF"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270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00" w:type="dxa"/>
            <w:tcBorders/>
            <w:shd w:fill="CCEEFF"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260"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00" w:type="dxa"/>
            <w:tcBorders/>
            <w:shd w:fill="CCEEFF"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260"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00" w:type="dxa"/>
            <w:tcBorders/>
            <w:shd w:fill="CCEEFF"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590" w:type="dxa"/>
            <w:tcBorders/>
            <w:shd w:fill="CCEEFF"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12,085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00" w:type="dxa"/>
            <w:tcBorders/>
            <w:shd w:fill="CCEEFF"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95" w:type="dxa"/>
            <w:tcBorders/>
            <w:shd w:fill="CCEEFF" w:val="cle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148,114</w:t>
            </w:r>
          </w:p>
        </w:tc>
        <w:tc>
          <w:tcPr>
            <w:tcW w:w="75" w:type="dxa"/>
            <w:tcBorders/>
            <w:shd w:fill="CCEEFF" w:val="clear"/>
            <w:vAlign w:val="bottom"/>
          </w:tcPr>
          <w:p>
            <w:pPr>
              <w:pStyle w:val="TableContents"/>
              <w:spacing w:before="0" w:after="283"/>
              <w:jc w:val="left"/>
              <w:rPr/>
            </w:pPr>
            <w:r>
              <w:rPr/>
              <w:t> </w:t>
            </w:r>
          </w:p>
        </w:tc>
      </w:tr>
      <w:tr>
        <w:trPr/>
        <w:tc>
          <w:tcPr>
            <w:tcW w:w="2630" w:type="dxa"/>
            <w:tcBorders/>
            <w:shd w:fill="auto"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Special mention</w:t>
            </w:r>
          </w:p>
        </w:tc>
        <w:tc>
          <w:tcPr>
            <w:tcW w:w="60" w:type="dxa"/>
            <w:tcBorders/>
            <w:shd w:fill="auto" w:val="clear"/>
            <w:vAlign w:val="bottom"/>
          </w:tcPr>
          <w:p>
            <w:pPr>
              <w:pStyle w:val="TableContents"/>
              <w:spacing w:before="0" w:after="283"/>
              <w:jc w:val="right"/>
              <w:rPr/>
            </w:pPr>
            <w:r>
              <w:rPr/>
              <w:t> </w:t>
            </w:r>
          </w:p>
        </w:tc>
        <w:tc>
          <w:tcPr>
            <w:tcW w:w="200" w:type="dxa"/>
            <w:tcBorders/>
            <w:shd w:fill="auto" w:val="clear"/>
            <w:vAlign w:val="bottom"/>
          </w:tcPr>
          <w:p>
            <w:pPr>
              <w:pStyle w:val="TableContents"/>
              <w:spacing w:before="0" w:after="283"/>
              <w:jc w:val="left"/>
              <w:rPr/>
            </w:pPr>
            <w:r>
              <w:rPr/>
              <w:t> </w:t>
            </w:r>
          </w:p>
        </w:tc>
        <w:tc>
          <w:tcPr>
            <w:tcW w:w="485" w:type="dxa"/>
            <w:tcBorders/>
            <w:shd w:fill="auto" w:val="cle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00"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00" w:type="dxa"/>
            <w:tcBorders/>
            <w:shd w:fill="auto" w:val="clear"/>
            <w:vAlign w:val="bottom"/>
          </w:tcPr>
          <w:p>
            <w:pPr>
              <w:pStyle w:val="TableContents"/>
              <w:spacing w:before="0" w:after="283"/>
              <w:jc w:val="left"/>
              <w:rPr/>
            </w:pPr>
            <w:r>
              <w:rPr/>
              <w:t> </w:t>
            </w:r>
          </w:p>
        </w:tc>
        <w:tc>
          <w:tcPr>
            <w:tcW w:w="590" w:type="dxa"/>
            <w:tcBorders/>
            <w:shd w:fill="auto" w:val="cle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00" w:type="dxa"/>
            <w:tcBorders/>
            <w:shd w:fill="auto" w:val="clear"/>
            <w:vAlign w:val="bottom"/>
          </w:tcPr>
          <w:p>
            <w:pPr>
              <w:pStyle w:val="TableContents"/>
              <w:spacing w:before="0" w:after="283"/>
              <w:jc w:val="left"/>
              <w:rPr/>
            </w:pPr>
            <w:r>
              <w:rPr/>
              <w:t> </w:t>
            </w:r>
          </w:p>
        </w:tc>
        <w:tc>
          <w:tcPr>
            <w:tcW w:w="335" w:type="dxa"/>
            <w:tcBorders/>
            <w:shd w:fill="auto" w:val="cle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00" w:type="dxa"/>
            <w:tcBorders/>
            <w:shd w:fill="auto" w:val="clear"/>
            <w:vAlign w:val="bottom"/>
          </w:tcPr>
          <w:p>
            <w:pPr>
              <w:pStyle w:val="TableContents"/>
              <w:spacing w:before="0" w:after="283"/>
              <w:jc w:val="left"/>
              <w:rPr/>
            </w:pPr>
            <w:r>
              <w:rPr/>
              <w:t> </w:t>
            </w:r>
          </w:p>
        </w:tc>
        <w:tc>
          <w:tcPr>
            <w:tcW w:w="260" w:type="dxa"/>
            <w:tcBorders/>
            <w:shd w:fill="auto" w:val="cle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00" w:type="dxa"/>
            <w:tcBorders/>
            <w:shd w:fill="auto" w:val="clear"/>
            <w:vAlign w:val="bottom"/>
          </w:tcPr>
          <w:p>
            <w:pPr>
              <w:pStyle w:val="TableContents"/>
              <w:spacing w:before="0" w:after="283"/>
              <w:jc w:val="left"/>
              <w:rPr/>
            </w:pPr>
            <w:r>
              <w:rPr/>
              <w:t> </w:t>
            </w:r>
          </w:p>
        </w:tc>
        <w:tc>
          <w:tcPr>
            <w:tcW w:w="260" w:type="dxa"/>
            <w:tcBorders/>
            <w:shd w:fill="auto" w:val="cle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00" w:type="dxa"/>
            <w:tcBorders/>
            <w:shd w:fill="auto" w:val="clear"/>
            <w:vAlign w:val="bottom"/>
          </w:tcPr>
          <w:p>
            <w:pPr>
              <w:pStyle w:val="TableContents"/>
              <w:spacing w:before="0" w:after="283"/>
              <w:jc w:val="left"/>
              <w:rPr/>
            </w:pPr>
            <w:r>
              <w:rPr/>
              <w:t> </w:t>
            </w:r>
          </w:p>
        </w:tc>
        <w:tc>
          <w:tcPr>
            <w:tcW w:w="590" w:type="dxa"/>
            <w:tcBorders/>
            <w:shd w:fill="auto" w:val="cle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00"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0"/>
              <w:jc w:val="right"/>
              <w:rPr>
                <w:color w:val="000000"/>
              </w:rPr>
            </w:pPr>
            <w:r>
              <w:rPr>
                <w:color w:val="000000"/>
              </w:rPr>
              <w:t>—</w:t>
            </w:r>
          </w:p>
        </w:tc>
        <w:tc>
          <w:tcPr>
            <w:tcW w:w="75" w:type="dxa"/>
            <w:tcBorders/>
            <w:shd w:fill="auto" w:val="clear"/>
            <w:vAlign w:val="bottom"/>
          </w:tcPr>
          <w:p>
            <w:pPr>
              <w:pStyle w:val="TableContents"/>
              <w:spacing w:before="0" w:after="283"/>
              <w:jc w:val="left"/>
              <w:rPr/>
            </w:pPr>
            <w:r>
              <w:rPr/>
              <w:t> </w:t>
            </w:r>
          </w:p>
        </w:tc>
      </w:tr>
      <w:tr>
        <w:trPr/>
        <w:tc>
          <w:tcPr>
            <w:tcW w:w="2630" w:type="dxa"/>
            <w:tcBorders/>
            <w:shd w:fill="CCEEFF" w:val="cle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Classified</w:t>
            </w:r>
          </w:p>
        </w:tc>
        <w:tc>
          <w:tcPr>
            <w:tcW w:w="60" w:type="dxa"/>
            <w:tcBorders/>
            <w:shd w:fill="CCEEFF" w:val="clear"/>
            <w:vAlign w:val="bottom"/>
          </w:tcPr>
          <w:p>
            <w:pPr>
              <w:pStyle w:val="TableContents"/>
              <w:spacing w:before="0" w:after="283"/>
              <w:jc w:val="right"/>
              <w:rPr/>
            </w:pPr>
            <w:r>
              <w:rPr/>
              <w:t> </w:t>
            </w:r>
          </w:p>
        </w:tc>
        <w:tc>
          <w:tcPr>
            <w:tcW w:w="20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485"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0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0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0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335"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0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260"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0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260"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0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0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w:t>
            </w:r>
          </w:p>
        </w:tc>
        <w:tc>
          <w:tcPr>
            <w:tcW w:w="75" w:type="dxa"/>
            <w:tcBorders/>
            <w:shd w:fill="CCEEFF" w:val="clear"/>
            <w:vAlign w:val="bottom"/>
          </w:tcPr>
          <w:p>
            <w:pPr>
              <w:pStyle w:val="TableContents"/>
              <w:spacing w:before="0" w:after="283"/>
              <w:jc w:val="left"/>
              <w:rPr/>
            </w:pPr>
            <w:r>
              <w:rPr/>
              <w:t> </w:t>
            </w:r>
          </w:p>
        </w:tc>
      </w:tr>
      <w:tr>
        <w:trPr/>
        <w:tc>
          <w:tcPr>
            <w:tcW w:w="2630" w:type="dxa"/>
            <w:tcBorders/>
            <w:shd w:fill="auto" w:val="clear"/>
            <w:vAlign w:val="bottom"/>
          </w:tcPr>
          <w:p>
            <w:pPr>
              <w:pStyle w:val="TableContents"/>
              <w:spacing w:before="0" w:after="0"/>
              <w:ind w:left="360" w:right="0" w:hanging="180"/>
              <w:jc w:val="left"/>
              <w:rPr>
                <w:rFonts w:ascii="Times New Roman;Times;serif" w:hAnsi="Times New Roman;Times;serif"/>
                <w:color w:val="000000"/>
                <w:sz w:val="20"/>
              </w:rPr>
            </w:pPr>
            <w:r>
              <w:rPr>
                <w:rFonts w:ascii="Times New Roman;Times;serif" w:hAnsi="Times New Roman;Times;serif"/>
                <w:color w:val="000000"/>
                <w:sz w:val="20"/>
              </w:rPr>
              <w:t>Total construction loans</w:t>
            </w:r>
          </w:p>
        </w:tc>
        <w:tc>
          <w:tcPr>
            <w:tcW w:w="60" w:type="dxa"/>
            <w:tcBorders/>
            <w:shd w:fill="auto" w:val="clear"/>
            <w:vAlign w:val="bottom"/>
          </w:tcPr>
          <w:p>
            <w:pPr>
              <w:pStyle w:val="TableContents"/>
              <w:spacing w:before="0" w:after="283"/>
              <w:jc w:val="right"/>
              <w:rPr/>
            </w:pPr>
            <w:r>
              <w:rPr/>
              <w:t> </w:t>
            </w:r>
          </w:p>
        </w:tc>
        <w:tc>
          <w:tcPr>
            <w:tcW w:w="200" w:type="dxa"/>
            <w:tcBorders>
              <w:bottom w:val="double" w:sz="8" w:space="0" w:color="000000"/>
            </w:tcBorders>
            <w:shd w:fill="auto" w:val="clear"/>
            <w:tcMar>
              <w:bottom w:w="28" w:type="dxa"/>
            </w:tcM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485" w:type="dxa"/>
            <w:tcBorders>
              <w:bottom w:val="double" w:sz="8" w:space="0" w:color="000000"/>
            </w:tcBorders>
            <w:shd w:fill="auto"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6,565</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00" w:type="dxa"/>
            <w:tcBorders>
              <w:bottom w:val="double" w:sz="8" w:space="0" w:color="000000"/>
            </w:tcBorders>
            <w:shd w:fill="auto" w:val="clear"/>
            <w:tcMar>
              <w:bottom w:w="28" w:type="dxa"/>
            </w:tcM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95" w:type="dxa"/>
            <w:tcBorders>
              <w:bottom w:val="double" w:sz="8" w:space="0" w:color="000000"/>
            </w:tcBorders>
            <w:shd w:fill="auto"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102,556</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00" w:type="dxa"/>
            <w:tcBorders>
              <w:bottom w:val="double" w:sz="8" w:space="0" w:color="000000"/>
            </w:tcBorders>
            <w:shd w:fill="auto" w:val="clear"/>
            <w:tcMar>
              <w:bottom w:w="28" w:type="dxa"/>
            </w:tcM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590" w:type="dxa"/>
            <w:tcBorders>
              <w:bottom w:val="double" w:sz="8" w:space="0" w:color="000000"/>
            </w:tcBorders>
            <w:shd w:fill="auto"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26,638</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00" w:type="dxa"/>
            <w:tcBorders>
              <w:bottom w:val="double" w:sz="8" w:space="0" w:color="000000"/>
            </w:tcBorders>
            <w:shd w:fill="auto" w:val="clear"/>
            <w:tcMar>
              <w:bottom w:w="28" w:type="dxa"/>
            </w:tcM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335" w:type="dxa"/>
            <w:tcBorders>
              <w:bottom w:val="double" w:sz="8" w:space="0" w:color="000000"/>
            </w:tcBorders>
            <w:shd w:fill="auto"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270</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00" w:type="dxa"/>
            <w:tcBorders>
              <w:bottom w:val="double" w:sz="8" w:space="0" w:color="000000"/>
            </w:tcBorders>
            <w:shd w:fill="auto" w:val="clear"/>
            <w:tcMar>
              <w:bottom w:w="28" w:type="dxa"/>
            </w:tcM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260" w:type="dxa"/>
            <w:tcBorders>
              <w:bottom w:val="double" w:sz="8"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00" w:type="dxa"/>
            <w:tcBorders>
              <w:bottom w:val="double" w:sz="8" w:space="0" w:color="000000"/>
            </w:tcBorders>
            <w:shd w:fill="auto" w:val="clear"/>
            <w:tcMar>
              <w:bottom w:w="28" w:type="dxa"/>
            </w:tcM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260" w:type="dxa"/>
            <w:tcBorders>
              <w:bottom w:val="double" w:sz="8"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00" w:type="dxa"/>
            <w:tcBorders>
              <w:bottom w:val="double" w:sz="8" w:space="0" w:color="000000"/>
            </w:tcBorders>
            <w:shd w:fill="auto" w:val="clear"/>
            <w:tcMar>
              <w:bottom w:w="28" w:type="dxa"/>
            </w:tcM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590" w:type="dxa"/>
            <w:tcBorders>
              <w:bottom w:val="double" w:sz="8" w:space="0" w:color="000000"/>
            </w:tcBorders>
            <w:shd w:fill="auto"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12,085</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00" w:type="dxa"/>
            <w:tcBorders>
              <w:bottom w:val="double" w:sz="8" w:space="0" w:color="000000"/>
            </w:tcBorders>
            <w:shd w:fill="auto" w:val="clear"/>
            <w:tcMar>
              <w:bottom w:w="28" w:type="dxa"/>
            </w:tcMar>
            <w:vAlign w:val="bottom"/>
          </w:tcPr>
          <w:p>
            <w:pPr>
              <w:pStyle w:val="TableContents"/>
              <w:spacing w:before="0" w:after="0"/>
              <w:jc w:val="left"/>
              <w:rPr>
                <w:rFonts w:ascii="Times New Roman;Times;serif" w:hAnsi="Times New Roman;Times;serif"/>
                <w:color w:val="000000"/>
                <w:sz w:val="20"/>
              </w:rPr>
            </w:pPr>
            <w:r>
              <w:rPr>
                <w:rFonts w:ascii="Times New Roman;Times;serif" w:hAnsi="Times New Roman;Times;serif"/>
                <w:color w:val="000000"/>
                <w:sz w:val="20"/>
              </w:rPr>
              <w:t>$</w:t>
            </w:r>
          </w:p>
        </w:tc>
        <w:tc>
          <w:tcPr>
            <w:tcW w:w="695" w:type="dxa"/>
            <w:tcBorders>
              <w:bottom w:val="double" w:sz="8" w:space="0" w:color="000000"/>
            </w:tcBorders>
            <w:shd w:fill="auto" w:val="clear"/>
            <w:tcMar>
              <w:bottom w:w="28" w:type="dxa"/>
            </w:tcMar>
            <w:vAlign w:val="bottom"/>
          </w:tcPr>
          <w:p>
            <w:pPr>
              <w:pStyle w:val="TableContents"/>
              <w:spacing w:before="0" w:after="0"/>
              <w:jc w:val="right"/>
              <w:rPr>
                <w:rFonts w:ascii="Times New Roman;Times;serif" w:hAnsi="Times New Roman;Times;serif"/>
                <w:color w:val="000000"/>
                <w:sz w:val="20"/>
              </w:rPr>
            </w:pPr>
            <w:r>
              <w:rPr>
                <w:rFonts w:ascii="Times New Roman;Times;serif" w:hAnsi="Times New Roman;Times;serif"/>
                <w:color w:val="000000"/>
                <w:sz w:val="20"/>
              </w:rPr>
              <w:t>148,114</w:t>
            </w:r>
          </w:p>
        </w:tc>
        <w:tc>
          <w:tcPr>
            <w:tcW w:w="75" w:type="dxa"/>
            <w:tcBorders/>
            <w:shd w:fill="auto" w:val="clear"/>
            <w:vAlign w:val="bottom"/>
          </w:tcPr>
          <w:p>
            <w:pPr>
              <w:pStyle w:val="TableContents"/>
              <w:spacing w:before="0" w:after="283"/>
              <w:jc w:val="left"/>
              <w:rPr/>
            </w:pPr>
            <w:r>
              <w:rPr/>
              <w:t> </w:t>
            </w:r>
          </w:p>
        </w:tc>
      </w:tr>
      <w:tr>
        <w:trPr/>
        <w:tc>
          <w:tcPr>
            <w:tcW w:w="2630" w:type="dxa"/>
            <w:tcBorders/>
            <w:shd w:fill="CCEEFF" w:val="clear"/>
            <w:vAlign w:val="bottom"/>
          </w:tcPr>
          <w:p>
            <w:pPr>
              <w:pStyle w:val="TableContents"/>
              <w:spacing w:before="0" w:after="0"/>
              <w:ind w:left="180" w:right="0" w:hanging="180"/>
              <w:jc w:val="left"/>
              <w:rPr>
                <w:rFonts w:ascii="Times New Roman;Times;serif" w:hAnsi="Times New Roman;Times;serif"/>
                <w:color w:val="000000"/>
                <w:sz w:val="20"/>
              </w:rPr>
            </w:pPr>
            <w:r>
              <w:rPr>
                <w:rFonts w:ascii="Times New Roman;Times;serif" w:hAnsi="Times New Roman;Times;serif"/>
                <w:color w:val="000000"/>
                <w:sz w:val="20"/>
              </w:rPr>
              <w:t>Current period gross charge-offs</w:t>
            </w:r>
          </w:p>
        </w:tc>
        <w:tc>
          <w:tcPr>
            <w:tcW w:w="60" w:type="dxa"/>
            <w:tcBorders/>
            <w:shd w:fill="CCEEFF" w:val="clear"/>
            <w:vAlign w:val="bottom"/>
          </w:tcPr>
          <w:p>
            <w:pPr>
              <w:pStyle w:val="TableContents"/>
              <w:spacing w:before="0" w:after="283"/>
              <w:jc w:val="right"/>
              <w:rPr/>
            </w:pPr>
            <w:r>
              <w:rPr/>
              <w:t> </w:t>
            </w:r>
          </w:p>
        </w:tc>
        <w:tc>
          <w:tcPr>
            <w:tcW w:w="200" w:type="dxa"/>
            <w:tcBorders>
              <w:bottom w:val="single" w:sz="12" w:space="0" w:color="000000"/>
            </w:tcBorders>
            <w:shd w:fill="CCEEFF" w:val="clear"/>
            <w:tcMar>
              <w:bottom w:w="28" w:type="dxa"/>
            </w:tcMar>
            <w:vAlign w:val="bottom"/>
          </w:tcPr>
          <w:p>
            <w:pPr>
              <w:pStyle w:val="TableContents"/>
              <w:spacing w:before="0" w:after="283"/>
              <w:jc w:val="left"/>
              <w:rPr/>
            </w:pPr>
            <w:r>
              <w:rPr/>
              <w:t xml:space="preserve">$ </w:t>
            </w:r>
          </w:p>
        </w:tc>
        <w:tc>
          <w:tcPr>
            <w:tcW w:w="485" w:type="dxa"/>
            <w:tcBorders>
              <w:bottom w:val="single" w:sz="12" w:space="0" w:color="000000"/>
            </w:tcBorders>
            <w:shd w:fill="CCEEFF" w:val="clear"/>
            <w:tcMar>
              <w:bottom w:w="28" w:type="dxa"/>
            </w:tcM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00" w:type="dxa"/>
            <w:tcBorders>
              <w:bottom w:val="single" w:sz="12" w:space="0" w:color="000000"/>
            </w:tcBorders>
            <w:shd w:fill="CCEEFF" w:val="clear"/>
            <w:tcMar>
              <w:bottom w:w="28" w:type="dxa"/>
            </w:tcMar>
            <w:vAlign w:val="bottom"/>
          </w:tcPr>
          <w:p>
            <w:pPr>
              <w:pStyle w:val="TableContents"/>
              <w:spacing w:before="0" w:after="283"/>
              <w:jc w:val="left"/>
              <w:rPr/>
            </w:pPr>
            <w:r>
              <w:rPr/>
              <w:t xml:space="preserve">$ </w:t>
            </w:r>
          </w:p>
        </w:tc>
        <w:tc>
          <w:tcPr>
            <w:tcW w:w="695" w:type="dxa"/>
            <w:tcBorders>
              <w:bottom w:val="single" w:sz="12" w:space="0" w:color="000000"/>
            </w:tcBorders>
            <w:shd w:fill="CCEEFF" w:val="clear"/>
            <w:tcMar>
              <w:bottom w:w="28" w:type="dxa"/>
            </w:tcM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00" w:type="dxa"/>
            <w:tcBorders>
              <w:bottom w:val="single" w:sz="12" w:space="0" w:color="000000"/>
            </w:tcBorders>
            <w:shd w:fill="CCEEFF" w:val="clear"/>
            <w:tcMar>
              <w:bottom w:w="28" w:type="dxa"/>
            </w:tcMar>
            <w:vAlign w:val="bottom"/>
          </w:tcPr>
          <w:p>
            <w:pPr>
              <w:pStyle w:val="TableContents"/>
              <w:spacing w:before="0" w:after="283"/>
              <w:jc w:val="left"/>
              <w:rPr/>
            </w:pPr>
            <w:r>
              <w:rPr/>
              <w:t xml:space="preserve">$ </w:t>
            </w:r>
          </w:p>
        </w:tc>
        <w:tc>
          <w:tcPr>
            <w:tcW w:w="590" w:type="dxa"/>
            <w:tcBorders>
              <w:bottom w:val="single" w:sz="12" w:space="0" w:color="000000"/>
            </w:tcBorders>
            <w:shd w:fill="CCEEFF" w:val="clear"/>
            <w:tcMar>
              <w:bottom w:w="28" w:type="dxa"/>
            </w:tcMar>
            <w:vAlign w:val="bottom"/>
          </w:tcPr>
          <w:p>
            <w:pPr>
              <w:pStyle w:val="TableContents"/>
              <w:spacing w:before="0" w:after="283"/>
              <w:jc w:val="right"/>
              <w:rPr/>
            </w:pPr>
            <w:r>
              <w:rPr/>
              <w:t>272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00" w:type="dxa"/>
            <w:tcBorders>
              <w:bottom w:val="single" w:sz="12" w:space="0" w:color="000000"/>
            </w:tcBorders>
            <w:shd w:fill="CCEEFF" w:val="clear"/>
            <w:tcMar>
              <w:bottom w:w="28" w:type="dxa"/>
            </w:tcMar>
            <w:vAlign w:val="bottom"/>
          </w:tcPr>
          <w:p>
            <w:pPr>
              <w:pStyle w:val="TableContents"/>
              <w:spacing w:before="0" w:after="283"/>
              <w:jc w:val="left"/>
              <w:rPr/>
            </w:pPr>
            <w:r>
              <w:rPr/>
              <w:t xml:space="preserve">$ </w:t>
            </w:r>
          </w:p>
        </w:tc>
        <w:tc>
          <w:tcPr>
            <w:tcW w:w="335" w:type="dxa"/>
            <w:tcBorders>
              <w:bottom w:val="single" w:sz="12" w:space="0" w:color="000000"/>
            </w:tcBorders>
            <w:shd w:fill="CCEEFF" w:val="clear"/>
            <w:tcMar>
              <w:bottom w:w="28" w:type="dxa"/>
            </w:tcM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00" w:type="dxa"/>
            <w:tcBorders>
              <w:bottom w:val="single" w:sz="12" w:space="0" w:color="000000"/>
            </w:tcBorders>
            <w:shd w:fill="CCEEFF" w:val="clear"/>
            <w:tcMar>
              <w:bottom w:w="28" w:type="dxa"/>
            </w:tcMar>
            <w:vAlign w:val="bottom"/>
          </w:tcPr>
          <w:p>
            <w:pPr>
              <w:pStyle w:val="TableContents"/>
              <w:spacing w:before="0" w:after="283"/>
              <w:jc w:val="left"/>
              <w:rPr/>
            </w:pPr>
            <w:r>
              <w:rPr/>
              <w:t xml:space="preserve">$ </w:t>
            </w:r>
          </w:p>
        </w:tc>
        <w:tc>
          <w:tcPr>
            <w:tcW w:w="260" w:type="dxa"/>
            <w:tcBorders>
              <w:bottom w:val="single" w:sz="12" w:space="0" w:color="000000"/>
            </w:tcBorders>
            <w:shd w:fill="CCEEFF" w:val="clear"/>
            <w:tcMar>
              <w:bottom w:w="28" w:type="dxa"/>
            </w:tcM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00" w:type="dxa"/>
            <w:tcBorders>
              <w:bottom w:val="single" w:sz="12" w:space="0" w:color="000000"/>
            </w:tcBorders>
            <w:shd w:fill="CCEEFF" w:val="clear"/>
            <w:tcMar>
              <w:bottom w:w="28" w:type="dxa"/>
            </w:tcMar>
            <w:vAlign w:val="bottom"/>
          </w:tcPr>
          <w:p>
            <w:pPr>
              <w:pStyle w:val="TableContents"/>
              <w:spacing w:before="0" w:after="283"/>
              <w:jc w:val="left"/>
              <w:rPr/>
            </w:pPr>
            <w:r>
              <w:rPr/>
              <w:t xml:space="preserve">$ </w:t>
            </w:r>
          </w:p>
        </w:tc>
        <w:tc>
          <w:tcPr>
            <w:tcW w:w="260" w:type="dxa"/>
            <w:tcBorders>
              <w:bottom w:val="single" w:sz="12" w:space="0" w:color="000000"/>
            </w:tcBorders>
            <w:shd w:fill="CCEEFF" w:val="clear"/>
            <w:tcMar>
              <w:bottom w:w="28" w:type="dxa"/>
            </w:tcM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00" w:type="dxa"/>
            <w:tcBorders>
              <w:bottom w:val="single" w:sz="12" w:space="0" w:color="000000"/>
            </w:tcBorders>
            <w:shd w:fill="CCEEFF" w:val="clear"/>
            <w:tcMar>
              <w:bottom w:w="28" w:type="dxa"/>
            </w:tcMar>
            <w:vAlign w:val="bottom"/>
          </w:tcPr>
          <w:p>
            <w:pPr>
              <w:pStyle w:val="TableContents"/>
              <w:spacing w:before="0" w:after="283"/>
              <w:jc w:val="left"/>
              <w:rPr/>
            </w:pPr>
            <w:r>
              <w:rPr/>
              <w:t xml:space="preserve">$ </w:t>
            </w:r>
          </w:p>
        </w:tc>
        <w:tc>
          <w:tcPr>
            <w:tcW w:w="590" w:type="dxa"/>
            <w:tcBorders>
              <w:bottom w:val="single" w:sz="12" w:space="0" w:color="000000"/>
            </w:tcBorders>
            <w:shd w:fill="CCEEFF" w:val="clear"/>
            <w:tcMar>
              <w:bottom w:w="28" w:type="dxa"/>
            </w:tcM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00" w:type="dxa"/>
            <w:tcBorders>
              <w:bottom w:val="single" w:sz="12" w:space="0" w:color="000000"/>
            </w:tcBorders>
            <w:shd w:fill="CCEEFF" w:val="clear"/>
            <w:tcMar>
              <w:bottom w:w="28" w:type="dxa"/>
            </w:tcMar>
            <w:vAlign w:val="bottom"/>
          </w:tcPr>
          <w:p>
            <w:pPr>
              <w:pStyle w:val="TableContents"/>
              <w:spacing w:before="0" w:after="283"/>
              <w:jc w:val="left"/>
              <w:rPr/>
            </w:pPr>
            <w:r>
              <w:rPr/>
              <w:t xml:space="preserve">$ </w:t>
            </w:r>
          </w:p>
        </w:tc>
        <w:tc>
          <w:tcPr>
            <w:tcW w:w="695" w:type="dxa"/>
            <w:tcBorders>
              <w:bottom w:val="single" w:sz="12" w:space="0" w:color="000000"/>
            </w:tcBorders>
            <w:shd w:fill="CCEEFF" w:val="clear"/>
            <w:tcMar>
              <w:bottom w:w="28" w:type="dxa"/>
            </w:tcMar>
            <w:vAlign w:val="bottom"/>
          </w:tcPr>
          <w:p>
            <w:pPr>
              <w:pStyle w:val="TableContents"/>
              <w:spacing w:before="0" w:after="283"/>
              <w:jc w:val="right"/>
              <w:rPr/>
            </w:pPr>
            <w:r>
              <w:rPr/>
              <w:t>272</w:t>
            </w:r>
          </w:p>
        </w:tc>
        <w:tc>
          <w:tcPr>
            <w:tcW w:w="75" w:type="dxa"/>
            <w:tcBorders/>
            <w:shd w:fill="CCEEFF" w:val="clear"/>
            <w:vAlign w:val="bottom"/>
          </w:tcPr>
          <w:p>
            <w:pPr>
              <w:pStyle w:val="TableContents"/>
              <w:spacing w:before="0" w:after="283"/>
              <w:jc w:val="left"/>
              <w:rPr/>
            </w:pPr>
            <w:r>
              <w:rPr/>
              <w:t> </w:t>
            </w:r>
          </w:p>
        </w:tc>
      </w:tr>
    </w:tbl>
    <w:p>
      <w:pPr>
        <w:pStyle w:val="TextBody"/>
        <w:spacing w:before="0" w:after="0"/>
        <w:ind w:left="0" w:right="0" w:hanging="0"/>
        <w:jc w:val="both"/>
        <w:rPr>
          <w:rFonts w:ascii="Times New Roman;Times;serif" w:hAnsi="Times New Roman;Times;serif"/>
          <w:color w:val="000000"/>
          <w:sz w:val="20"/>
        </w:rPr>
      </w:pPr>
      <w:r>
        <w:rPr>
          <w:rFonts w:ascii="Times New Roman;Times;serif" w:hAnsi="Times New Roman;Times;serif"/>
          <w:color w:val="000000"/>
          <w:sz w:val="20"/>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17</w:t>
      </w:r>
    </w:p>
    <w:p>
      <w:pPr>
        <w:pStyle w:val="HorizontalLine"/>
        <w:spacing w:before="200" w:after="200"/>
        <w:jc w:val="both"/>
        <w:rPr/>
      </w:pPr>
      <w:r>
        <w:rPr/>
      </w:r>
    </w:p>
    <w:p>
      <w:pPr>
        <w:pStyle w:val="TextBody"/>
        <w:spacing w:before="200" w:after="200"/>
        <w:jc w:val="both"/>
        <w:rPr/>
      </w:pPr>
      <w:hyperlink w:anchor="TABLEOFCONTENTS">
        <w:r>
          <w:rPr>
            <w:rStyle w:val="InternetLink"/>
            <w:rFonts w:ascii="Times New Roman" w:hAnsi="Times New Roman"/>
            <w:b w:val="false"/>
            <w:i/>
            <w:color w:val="000000"/>
            <w:sz w:val="16"/>
          </w:rPr>
          <w:t>Table of Contents</w:t>
        </w:r>
      </w:hyperlink>
    </w:p>
    <w:p>
      <w:pPr>
        <w:pStyle w:val="TextBody"/>
        <w:spacing w:before="0" w:after="0"/>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following table summarizes loans by credit quality indicator at December 31, 2022 (dollars in thousands):</w:t>
      </w:r>
    </w:p>
    <w:p>
      <w:pPr>
        <w:pStyle w:val="TextBody"/>
        <w:spacing w:before="0" w:after="0"/>
        <w:jc w:val="both"/>
        <w:rPr/>
      </w:pPr>
      <w:r>
        <w:rPr/>
      </w:r>
    </w:p>
    <w:tbl>
      <w:tblPr>
        <w:tblW w:w="7480" w:type="dxa"/>
        <w:jc w:val="left"/>
        <w:tblInd w:w="0" w:type="dxa"/>
        <w:tblCellMar>
          <w:top w:w="0" w:type="dxa"/>
          <w:left w:w="0" w:type="dxa"/>
          <w:bottom w:w="0" w:type="dxa"/>
          <w:right w:w="0" w:type="dxa"/>
        </w:tblCellMar>
      </w:tblPr>
      <w:tblGrid>
        <w:gridCol w:w="2090"/>
        <w:gridCol w:w="60"/>
        <w:gridCol w:w="125"/>
        <w:gridCol w:w="980"/>
        <w:gridCol w:w="60"/>
        <w:gridCol w:w="60"/>
        <w:gridCol w:w="235"/>
        <w:gridCol w:w="490"/>
        <w:gridCol w:w="60"/>
        <w:gridCol w:w="60"/>
        <w:gridCol w:w="168"/>
        <w:gridCol w:w="917"/>
        <w:gridCol w:w="60"/>
        <w:gridCol w:w="60"/>
        <w:gridCol w:w="245"/>
        <w:gridCol w:w="510"/>
        <w:gridCol w:w="60"/>
        <w:gridCol w:w="60"/>
        <w:gridCol w:w="125"/>
        <w:gridCol w:w="980"/>
        <w:gridCol w:w="75"/>
      </w:tblGrid>
      <w:tr>
        <w:trPr/>
        <w:tc>
          <w:tcPr>
            <w:tcW w:w="209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10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Pass</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2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Special</w:t>
            </w:r>
          </w:p>
          <w:p>
            <w:pPr>
              <w:pStyle w:val="TableContents"/>
              <w:spacing w:before="0" w:after="0"/>
              <w:jc w:val="center"/>
              <w:rPr>
                <w:rFonts w:ascii="Times New Roman" w:hAnsi="Times New Roman"/>
                <w:b/>
                <w:sz w:val="20"/>
              </w:rPr>
            </w:pPr>
            <w:r>
              <w:rPr>
                <w:rFonts w:ascii="Times New Roman" w:hAnsi="Times New Roman"/>
                <w:b/>
                <w:sz w:val="20"/>
              </w:rPr>
              <w:t>Mention</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08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Substandard</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5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Doubtful</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0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Total</w:t>
            </w:r>
          </w:p>
        </w:tc>
        <w:tc>
          <w:tcPr>
            <w:tcW w:w="75" w:type="dxa"/>
            <w:tcBorders/>
            <w:shd w:fill="auto" w:val="clear"/>
            <w:vAlign w:val="bottom"/>
          </w:tcPr>
          <w:p>
            <w:pPr>
              <w:pStyle w:val="TableContents"/>
              <w:spacing w:before="0" w:after="283"/>
              <w:jc w:val="left"/>
              <w:rPr/>
            </w:pPr>
            <w:r>
              <w:rPr/>
              <w:t> </w:t>
            </w:r>
          </w:p>
        </w:tc>
      </w:tr>
      <w:tr>
        <w:trPr/>
        <w:tc>
          <w:tcPr>
            <w:tcW w:w="2090" w:type="dxa"/>
            <w:tcBorders/>
            <w:shd w:fill="CCEE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Commercial real estate</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980" w:type="dxa"/>
            <w:tcBorders/>
            <w:shd w:fill="CCEEFF" w:val="clear"/>
            <w:vAlign w:val="bottom"/>
          </w:tcPr>
          <w:p>
            <w:pPr>
              <w:pStyle w:val="TableContents"/>
              <w:spacing w:before="0" w:after="283"/>
              <w:jc w:val="right"/>
              <w:rPr/>
            </w:pPr>
            <w:r>
              <w:rPr/>
              <w:t>893,312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3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490"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68"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917" w:type="dxa"/>
            <w:tcBorders/>
            <w:shd w:fill="CCEEFF" w:val="clear"/>
            <w:vAlign w:val="bottom"/>
          </w:tcPr>
          <w:p>
            <w:pPr>
              <w:pStyle w:val="TableContents"/>
              <w:spacing w:before="0" w:after="283"/>
              <w:jc w:val="right"/>
              <w:rPr/>
            </w:pPr>
            <w:r>
              <w:rPr/>
              <w:t>26,046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4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510"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980" w:type="dxa"/>
            <w:tcBorders/>
            <w:shd w:fill="CCEEFF" w:val="clear"/>
            <w:vAlign w:val="bottom"/>
          </w:tcPr>
          <w:p>
            <w:pPr>
              <w:pStyle w:val="TableContents"/>
              <w:spacing w:before="0" w:after="283"/>
              <w:jc w:val="right"/>
              <w:rPr/>
            </w:pPr>
            <w:r>
              <w:rPr/>
              <w:t>919,358</w:t>
            </w:r>
          </w:p>
        </w:tc>
        <w:tc>
          <w:tcPr>
            <w:tcW w:w="75" w:type="dxa"/>
            <w:tcBorders/>
            <w:shd w:fill="CCEEFF" w:val="clear"/>
            <w:vAlign w:val="bottom"/>
          </w:tcPr>
          <w:p>
            <w:pPr>
              <w:pStyle w:val="TableContents"/>
              <w:spacing w:before="0" w:after="283"/>
              <w:jc w:val="left"/>
              <w:rPr/>
            </w:pPr>
            <w:r>
              <w:rPr/>
              <w:t> </w:t>
            </w:r>
          </w:p>
        </w:tc>
      </w:tr>
      <w:tr>
        <w:trPr/>
        <w:tc>
          <w:tcPr>
            <w:tcW w:w="2090" w:type="dxa"/>
            <w:tcBorders/>
            <w:shd w:fill="auto"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Commercial - specialized</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980" w:type="dxa"/>
            <w:tcBorders/>
            <w:shd w:fill="auto" w:val="clear"/>
            <w:vAlign w:val="bottom"/>
          </w:tcPr>
          <w:p>
            <w:pPr>
              <w:pStyle w:val="TableContents"/>
              <w:spacing w:before="0" w:after="283"/>
              <w:jc w:val="right"/>
              <w:rPr/>
            </w:pPr>
            <w:r>
              <w:rPr/>
              <w:t>326,987</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35" w:type="dxa"/>
            <w:tcBorders/>
            <w:shd w:fill="auto" w:val="clear"/>
            <w:vAlign w:val="bottom"/>
          </w:tcPr>
          <w:p>
            <w:pPr>
              <w:pStyle w:val="TableContents"/>
              <w:spacing w:before="0" w:after="283"/>
              <w:jc w:val="left"/>
              <w:rPr/>
            </w:pPr>
            <w:r>
              <w:rPr/>
              <w:t> </w:t>
            </w:r>
          </w:p>
        </w:tc>
        <w:tc>
          <w:tcPr>
            <w:tcW w:w="490"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68" w:type="dxa"/>
            <w:tcBorders/>
            <w:shd w:fill="auto" w:val="clear"/>
            <w:vAlign w:val="bottom"/>
          </w:tcPr>
          <w:p>
            <w:pPr>
              <w:pStyle w:val="TableContents"/>
              <w:spacing w:before="0" w:after="283"/>
              <w:jc w:val="left"/>
              <w:rPr/>
            </w:pPr>
            <w:r>
              <w:rPr/>
              <w:t> </w:t>
            </w:r>
          </w:p>
        </w:tc>
        <w:tc>
          <w:tcPr>
            <w:tcW w:w="917" w:type="dxa"/>
            <w:tcBorders/>
            <w:shd w:fill="auto" w:val="clear"/>
            <w:vAlign w:val="bottom"/>
          </w:tcPr>
          <w:p>
            <w:pPr>
              <w:pStyle w:val="TableContents"/>
              <w:spacing w:before="0" w:after="283"/>
              <w:jc w:val="right"/>
              <w:rPr/>
            </w:pPr>
            <w:r>
              <w:rPr/>
              <w:t>526</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45" w:type="dxa"/>
            <w:tcBorders/>
            <w:shd w:fill="auto" w:val="clear"/>
            <w:vAlign w:val="bottom"/>
          </w:tcPr>
          <w:p>
            <w:pPr>
              <w:pStyle w:val="TableContents"/>
              <w:spacing w:before="0" w:after="283"/>
              <w:jc w:val="left"/>
              <w:rPr/>
            </w:pPr>
            <w:r>
              <w:rPr/>
              <w:t> </w:t>
            </w:r>
          </w:p>
        </w:tc>
        <w:tc>
          <w:tcPr>
            <w:tcW w:w="510"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980" w:type="dxa"/>
            <w:tcBorders/>
            <w:shd w:fill="auto" w:val="clear"/>
            <w:vAlign w:val="bottom"/>
          </w:tcPr>
          <w:p>
            <w:pPr>
              <w:pStyle w:val="TableContents"/>
              <w:spacing w:before="0" w:after="283"/>
              <w:jc w:val="right"/>
              <w:rPr/>
            </w:pPr>
            <w:r>
              <w:rPr/>
              <w:t>327,513</w:t>
            </w:r>
          </w:p>
        </w:tc>
        <w:tc>
          <w:tcPr>
            <w:tcW w:w="75" w:type="dxa"/>
            <w:tcBorders/>
            <w:shd w:fill="auto" w:val="clear"/>
            <w:vAlign w:val="bottom"/>
          </w:tcPr>
          <w:p>
            <w:pPr>
              <w:pStyle w:val="TableContents"/>
              <w:spacing w:before="0" w:after="283"/>
              <w:jc w:val="left"/>
              <w:rPr/>
            </w:pPr>
            <w:r>
              <w:rPr/>
              <w:t> </w:t>
            </w:r>
          </w:p>
        </w:tc>
      </w:tr>
      <w:tr>
        <w:trPr/>
        <w:tc>
          <w:tcPr>
            <w:tcW w:w="2090" w:type="dxa"/>
            <w:tcBorders/>
            <w:shd w:fill="CCEE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Commercial - general</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80" w:type="dxa"/>
            <w:tcBorders/>
            <w:shd w:fill="CCEEFF" w:val="clear"/>
            <w:vAlign w:val="bottom"/>
          </w:tcPr>
          <w:p>
            <w:pPr>
              <w:pStyle w:val="TableContents"/>
              <w:spacing w:before="0" w:after="283"/>
              <w:jc w:val="right"/>
              <w:rPr/>
            </w:pPr>
            <w:r>
              <w:rPr/>
              <w:t>451,639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35" w:type="dxa"/>
            <w:tcBorders/>
            <w:shd w:fill="CCEEFF" w:val="clear"/>
            <w:vAlign w:val="bottom"/>
          </w:tcPr>
          <w:p>
            <w:pPr>
              <w:pStyle w:val="TableContents"/>
              <w:spacing w:before="0" w:after="283"/>
              <w:jc w:val="left"/>
              <w:rPr/>
            </w:pPr>
            <w:r>
              <w:rPr/>
              <w:t> </w:t>
            </w:r>
          </w:p>
        </w:tc>
        <w:tc>
          <w:tcPr>
            <w:tcW w:w="490"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68" w:type="dxa"/>
            <w:tcBorders/>
            <w:shd w:fill="CCEEFF" w:val="clear"/>
            <w:vAlign w:val="bottom"/>
          </w:tcPr>
          <w:p>
            <w:pPr>
              <w:pStyle w:val="TableContents"/>
              <w:spacing w:before="0" w:after="283"/>
              <w:jc w:val="left"/>
              <w:rPr/>
            </w:pPr>
            <w:r>
              <w:rPr/>
              <w:t> </w:t>
            </w:r>
          </w:p>
        </w:tc>
        <w:tc>
          <w:tcPr>
            <w:tcW w:w="917" w:type="dxa"/>
            <w:tcBorders/>
            <w:shd w:fill="CCEEFF" w:val="clear"/>
            <w:vAlign w:val="bottom"/>
          </w:tcPr>
          <w:p>
            <w:pPr>
              <w:pStyle w:val="TableContents"/>
              <w:spacing w:before="0" w:after="283"/>
              <w:jc w:val="right"/>
              <w:rPr/>
            </w:pPr>
            <w:r>
              <w:rPr/>
              <w:t>33,144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45" w:type="dxa"/>
            <w:tcBorders/>
            <w:shd w:fill="CCEEFF" w:val="clear"/>
            <w:vAlign w:val="bottom"/>
          </w:tcPr>
          <w:p>
            <w:pPr>
              <w:pStyle w:val="TableContents"/>
              <w:spacing w:before="0" w:after="283"/>
              <w:jc w:val="left"/>
              <w:rPr/>
            </w:pPr>
            <w:r>
              <w:rPr/>
              <w:t> </w:t>
            </w:r>
          </w:p>
        </w:tc>
        <w:tc>
          <w:tcPr>
            <w:tcW w:w="510"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80" w:type="dxa"/>
            <w:tcBorders/>
            <w:shd w:fill="CCEEFF" w:val="clear"/>
            <w:vAlign w:val="bottom"/>
          </w:tcPr>
          <w:p>
            <w:pPr>
              <w:pStyle w:val="TableContents"/>
              <w:spacing w:before="0" w:after="283"/>
              <w:jc w:val="right"/>
              <w:rPr/>
            </w:pPr>
            <w:r>
              <w:rPr/>
              <w:t>484,783</w:t>
            </w:r>
          </w:p>
        </w:tc>
        <w:tc>
          <w:tcPr>
            <w:tcW w:w="75" w:type="dxa"/>
            <w:tcBorders/>
            <w:shd w:fill="CCEEFF" w:val="clear"/>
            <w:vAlign w:val="bottom"/>
          </w:tcPr>
          <w:p>
            <w:pPr>
              <w:pStyle w:val="TableContents"/>
              <w:spacing w:before="0" w:after="283"/>
              <w:jc w:val="left"/>
              <w:rPr/>
            </w:pPr>
            <w:r>
              <w:rPr/>
              <w:t> </w:t>
            </w:r>
          </w:p>
        </w:tc>
      </w:tr>
      <w:tr>
        <w:trPr/>
        <w:tc>
          <w:tcPr>
            <w:tcW w:w="2090" w:type="dxa"/>
            <w:tcBorders/>
            <w:shd w:fill="auto"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Consumer:</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980" w:type="dxa"/>
            <w:tcBorders/>
            <w:shd w:fill="auto" w:val="clear"/>
            <w:vAlign w:val="bottom"/>
          </w:tcPr>
          <w:p>
            <w:pPr>
              <w:pStyle w:val="TableContents"/>
              <w:spacing w:before="0" w:after="283"/>
              <w:rPr/>
            </w:pPr>
            <w:r>
              <w:rPr/>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35" w:type="dxa"/>
            <w:tcBorders/>
            <w:shd w:fill="auto" w:val="clear"/>
            <w:vAlign w:val="bottom"/>
          </w:tcPr>
          <w:p>
            <w:pPr>
              <w:pStyle w:val="TableContents"/>
              <w:spacing w:before="0" w:after="283"/>
              <w:jc w:val="left"/>
              <w:rPr/>
            </w:pPr>
            <w:r>
              <w:rPr/>
              <w:t> </w:t>
            </w:r>
          </w:p>
        </w:tc>
        <w:tc>
          <w:tcPr>
            <w:tcW w:w="490" w:type="dxa"/>
            <w:tcBorders/>
            <w:shd w:fill="auto" w:val="clear"/>
            <w:vAlign w:val="bottom"/>
          </w:tcPr>
          <w:p>
            <w:pPr>
              <w:pStyle w:val="TableContents"/>
              <w:spacing w:before="0" w:after="283"/>
              <w:rPr/>
            </w:pPr>
            <w:r>
              <w:rPr/>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68" w:type="dxa"/>
            <w:tcBorders/>
            <w:shd w:fill="auto" w:val="clear"/>
            <w:vAlign w:val="bottom"/>
          </w:tcPr>
          <w:p>
            <w:pPr>
              <w:pStyle w:val="TableContents"/>
              <w:spacing w:before="0" w:after="283"/>
              <w:jc w:val="left"/>
              <w:rPr/>
            </w:pPr>
            <w:r>
              <w:rPr/>
              <w:t> </w:t>
            </w:r>
          </w:p>
        </w:tc>
        <w:tc>
          <w:tcPr>
            <w:tcW w:w="917" w:type="dxa"/>
            <w:tcBorders/>
            <w:shd w:fill="auto" w:val="clear"/>
            <w:vAlign w:val="bottom"/>
          </w:tcPr>
          <w:p>
            <w:pPr>
              <w:pStyle w:val="TableContents"/>
              <w:spacing w:before="0" w:after="283"/>
              <w:rPr/>
            </w:pPr>
            <w:r>
              <w:rPr/>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45" w:type="dxa"/>
            <w:tcBorders/>
            <w:shd w:fill="auto" w:val="clear"/>
            <w:vAlign w:val="bottom"/>
          </w:tcPr>
          <w:p>
            <w:pPr>
              <w:pStyle w:val="TableContents"/>
              <w:spacing w:before="0" w:after="283"/>
              <w:jc w:val="left"/>
              <w:rPr/>
            </w:pPr>
            <w:r>
              <w:rPr/>
              <w:t> </w:t>
            </w:r>
          </w:p>
        </w:tc>
        <w:tc>
          <w:tcPr>
            <w:tcW w:w="510" w:type="dxa"/>
            <w:tcBorders/>
            <w:shd w:fill="auto" w:val="clear"/>
            <w:vAlign w:val="bottom"/>
          </w:tcPr>
          <w:p>
            <w:pPr>
              <w:pStyle w:val="TableContents"/>
              <w:spacing w:before="0" w:after="283"/>
              <w:rPr/>
            </w:pPr>
            <w:r>
              <w:rPr/>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980" w:type="dxa"/>
            <w:tcBorders/>
            <w:shd w:fill="auto" w:val="clear"/>
            <w:vAlign w:val="bottom"/>
          </w:tcPr>
          <w:p>
            <w:pPr>
              <w:pStyle w:val="TableContents"/>
              <w:spacing w:before="0" w:after="283"/>
              <w:rPr/>
            </w:pPr>
            <w:r>
              <w:rPr/>
            </w:r>
          </w:p>
        </w:tc>
        <w:tc>
          <w:tcPr>
            <w:tcW w:w="75" w:type="dxa"/>
            <w:tcBorders/>
            <w:shd w:fill="auto" w:val="clear"/>
            <w:vAlign w:val="bottom"/>
          </w:tcPr>
          <w:p>
            <w:pPr>
              <w:pStyle w:val="TableContents"/>
              <w:spacing w:before="0" w:after="283"/>
              <w:jc w:val="left"/>
              <w:rPr/>
            </w:pPr>
            <w:r>
              <w:rPr/>
              <w:t> </w:t>
            </w:r>
          </w:p>
        </w:tc>
      </w:tr>
      <w:tr>
        <w:trPr/>
        <w:tc>
          <w:tcPr>
            <w:tcW w:w="2090" w:type="dxa"/>
            <w:tcBorders/>
            <w:shd w:fill="CCEEFF" w:val="clear"/>
            <w:vAlign w:val="bottom"/>
          </w:tcPr>
          <w:p>
            <w:pPr>
              <w:pStyle w:val="TableContents"/>
              <w:spacing w:before="0" w:after="0"/>
              <w:ind w:left="288" w:right="0" w:hanging="144"/>
              <w:jc w:val="left"/>
              <w:rPr>
                <w:rFonts w:ascii="Times New Roman" w:hAnsi="Times New Roman"/>
                <w:sz w:val="20"/>
              </w:rPr>
            </w:pPr>
            <w:r>
              <w:rPr>
                <w:rFonts w:ascii="Times New Roman" w:hAnsi="Times New Roman"/>
                <w:sz w:val="20"/>
              </w:rPr>
              <w:t>1-4 family residential</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80" w:type="dxa"/>
            <w:tcBorders/>
            <w:shd w:fill="CCEEFF" w:val="clear"/>
            <w:vAlign w:val="bottom"/>
          </w:tcPr>
          <w:p>
            <w:pPr>
              <w:pStyle w:val="TableContents"/>
              <w:spacing w:before="0" w:after="283"/>
              <w:jc w:val="right"/>
              <w:rPr/>
            </w:pPr>
            <w:r>
              <w:rPr/>
              <w:t>450,034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35" w:type="dxa"/>
            <w:tcBorders/>
            <w:shd w:fill="CCEEFF" w:val="clear"/>
            <w:vAlign w:val="bottom"/>
          </w:tcPr>
          <w:p>
            <w:pPr>
              <w:pStyle w:val="TableContents"/>
              <w:spacing w:before="0" w:after="283"/>
              <w:jc w:val="left"/>
              <w:rPr/>
            </w:pPr>
            <w:r>
              <w:rPr/>
              <w:t> </w:t>
            </w:r>
          </w:p>
        </w:tc>
        <w:tc>
          <w:tcPr>
            <w:tcW w:w="490"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68" w:type="dxa"/>
            <w:tcBorders/>
            <w:shd w:fill="CCEEFF" w:val="clear"/>
            <w:vAlign w:val="bottom"/>
          </w:tcPr>
          <w:p>
            <w:pPr>
              <w:pStyle w:val="TableContents"/>
              <w:spacing w:before="0" w:after="283"/>
              <w:jc w:val="left"/>
              <w:rPr/>
            </w:pPr>
            <w:r>
              <w:rPr/>
              <w:t> </w:t>
            </w:r>
          </w:p>
        </w:tc>
        <w:tc>
          <w:tcPr>
            <w:tcW w:w="917" w:type="dxa"/>
            <w:tcBorders/>
            <w:shd w:fill="CCEEFF" w:val="clear"/>
            <w:vAlign w:val="bottom"/>
          </w:tcPr>
          <w:p>
            <w:pPr>
              <w:pStyle w:val="TableContents"/>
              <w:spacing w:before="0" w:after="283"/>
              <w:jc w:val="right"/>
              <w:rPr/>
            </w:pPr>
            <w:r>
              <w:rPr/>
              <w:t>10,090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45" w:type="dxa"/>
            <w:tcBorders/>
            <w:shd w:fill="CCEEFF" w:val="clear"/>
            <w:vAlign w:val="bottom"/>
          </w:tcPr>
          <w:p>
            <w:pPr>
              <w:pStyle w:val="TableContents"/>
              <w:spacing w:before="0" w:after="283"/>
              <w:jc w:val="left"/>
              <w:rPr/>
            </w:pPr>
            <w:r>
              <w:rPr/>
              <w:t> </w:t>
            </w:r>
          </w:p>
        </w:tc>
        <w:tc>
          <w:tcPr>
            <w:tcW w:w="510"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80" w:type="dxa"/>
            <w:tcBorders/>
            <w:shd w:fill="CCEEFF" w:val="clear"/>
            <w:vAlign w:val="bottom"/>
          </w:tcPr>
          <w:p>
            <w:pPr>
              <w:pStyle w:val="TableContents"/>
              <w:spacing w:before="0" w:after="283"/>
              <w:jc w:val="right"/>
              <w:rPr/>
            </w:pPr>
            <w:r>
              <w:rPr/>
              <w:t>460,124</w:t>
            </w:r>
          </w:p>
        </w:tc>
        <w:tc>
          <w:tcPr>
            <w:tcW w:w="75" w:type="dxa"/>
            <w:tcBorders/>
            <w:shd w:fill="CCEEFF" w:val="clear"/>
            <w:vAlign w:val="bottom"/>
          </w:tcPr>
          <w:p>
            <w:pPr>
              <w:pStyle w:val="TableContents"/>
              <w:spacing w:before="0" w:after="283"/>
              <w:jc w:val="left"/>
              <w:rPr/>
            </w:pPr>
            <w:r>
              <w:rPr/>
              <w:t> </w:t>
            </w:r>
          </w:p>
        </w:tc>
      </w:tr>
      <w:tr>
        <w:trPr/>
        <w:tc>
          <w:tcPr>
            <w:tcW w:w="2090" w:type="dxa"/>
            <w:tcBorders/>
            <w:shd w:fill="auto" w:val="clear"/>
            <w:vAlign w:val="bottom"/>
          </w:tcPr>
          <w:p>
            <w:pPr>
              <w:pStyle w:val="TableContents"/>
              <w:spacing w:before="0" w:after="0"/>
              <w:ind w:left="288" w:right="0" w:hanging="144"/>
              <w:jc w:val="left"/>
              <w:rPr>
                <w:rFonts w:ascii="Times New Roman" w:hAnsi="Times New Roman"/>
                <w:sz w:val="20"/>
              </w:rPr>
            </w:pPr>
            <w:r>
              <w:rPr>
                <w:rFonts w:ascii="Times New Roman" w:hAnsi="Times New Roman"/>
                <w:sz w:val="20"/>
              </w:rPr>
              <w:t>Auto loans</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980" w:type="dxa"/>
            <w:tcBorders/>
            <w:shd w:fill="auto" w:val="clear"/>
            <w:vAlign w:val="bottom"/>
          </w:tcPr>
          <w:p>
            <w:pPr>
              <w:pStyle w:val="TableContents"/>
              <w:spacing w:before="0" w:after="283"/>
              <w:jc w:val="right"/>
              <w:rPr/>
            </w:pPr>
            <w:r>
              <w:rPr/>
              <w:t>321,158</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35" w:type="dxa"/>
            <w:tcBorders/>
            <w:shd w:fill="auto" w:val="clear"/>
            <w:vAlign w:val="bottom"/>
          </w:tcPr>
          <w:p>
            <w:pPr>
              <w:pStyle w:val="TableContents"/>
              <w:spacing w:before="0" w:after="283"/>
              <w:jc w:val="left"/>
              <w:rPr/>
            </w:pPr>
            <w:r>
              <w:rPr/>
              <w:t> </w:t>
            </w:r>
          </w:p>
        </w:tc>
        <w:tc>
          <w:tcPr>
            <w:tcW w:w="490"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68" w:type="dxa"/>
            <w:tcBorders/>
            <w:shd w:fill="auto" w:val="clear"/>
            <w:vAlign w:val="bottom"/>
          </w:tcPr>
          <w:p>
            <w:pPr>
              <w:pStyle w:val="TableContents"/>
              <w:spacing w:before="0" w:after="283"/>
              <w:jc w:val="left"/>
              <w:rPr/>
            </w:pPr>
            <w:r>
              <w:rPr/>
              <w:t> </w:t>
            </w:r>
          </w:p>
        </w:tc>
        <w:tc>
          <w:tcPr>
            <w:tcW w:w="917" w:type="dxa"/>
            <w:tcBorders/>
            <w:shd w:fill="auto" w:val="clear"/>
            <w:vAlign w:val="bottom"/>
          </w:tcPr>
          <w:p>
            <w:pPr>
              <w:pStyle w:val="TableContents"/>
              <w:spacing w:before="0" w:after="283"/>
              <w:jc w:val="right"/>
              <w:rPr/>
            </w:pPr>
            <w:r>
              <w:rPr/>
              <w:t>318</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45" w:type="dxa"/>
            <w:tcBorders/>
            <w:shd w:fill="auto" w:val="clear"/>
            <w:vAlign w:val="bottom"/>
          </w:tcPr>
          <w:p>
            <w:pPr>
              <w:pStyle w:val="TableContents"/>
              <w:spacing w:before="0" w:after="283"/>
              <w:jc w:val="left"/>
              <w:rPr/>
            </w:pPr>
            <w:r>
              <w:rPr/>
              <w:t> </w:t>
            </w:r>
          </w:p>
        </w:tc>
        <w:tc>
          <w:tcPr>
            <w:tcW w:w="510"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980" w:type="dxa"/>
            <w:tcBorders/>
            <w:shd w:fill="auto" w:val="clear"/>
            <w:vAlign w:val="bottom"/>
          </w:tcPr>
          <w:p>
            <w:pPr>
              <w:pStyle w:val="TableContents"/>
              <w:spacing w:before="0" w:after="283"/>
              <w:jc w:val="right"/>
              <w:rPr/>
            </w:pPr>
            <w:r>
              <w:rPr/>
              <w:t>321,476</w:t>
            </w:r>
          </w:p>
        </w:tc>
        <w:tc>
          <w:tcPr>
            <w:tcW w:w="75" w:type="dxa"/>
            <w:tcBorders/>
            <w:shd w:fill="auto" w:val="clear"/>
            <w:vAlign w:val="bottom"/>
          </w:tcPr>
          <w:p>
            <w:pPr>
              <w:pStyle w:val="TableContents"/>
              <w:spacing w:before="0" w:after="283"/>
              <w:jc w:val="left"/>
              <w:rPr/>
            </w:pPr>
            <w:r>
              <w:rPr/>
              <w:t> </w:t>
            </w:r>
          </w:p>
        </w:tc>
      </w:tr>
      <w:tr>
        <w:trPr/>
        <w:tc>
          <w:tcPr>
            <w:tcW w:w="2090" w:type="dxa"/>
            <w:tcBorders/>
            <w:shd w:fill="CCEEFF" w:val="clear"/>
            <w:vAlign w:val="bottom"/>
          </w:tcPr>
          <w:p>
            <w:pPr>
              <w:pStyle w:val="TableContents"/>
              <w:spacing w:before="0" w:after="0"/>
              <w:ind w:left="288" w:right="0" w:hanging="144"/>
              <w:jc w:val="left"/>
              <w:rPr>
                <w:rFonts w:ascii="Times New Roman" w:hAnsi="Times New Roman"/>
                <w:sz w:val="20"/>
              </w:rPr>
            </w:pPr>
            <w:r>
              <w:rPr>
                <w:rFonts w:ascii="Times New Roman" w:hAnsi="Times New Roman"/>
                <w:sz w:val="20"/>
              </w:rPr>
              <w:t>Other consumer</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80" w:type="dxa"/>
            <w:tcBorders/>
            <w:shd w:fill="CCEEFF" w:val="clear"/>
            <w:vAlign w:val="bottom"/>
          </w:tcPr>
          <w:p>
            <w:pPr>
              <w:pStyle w:val="TableContents"/>
              <w:spacing w:before="0" w:after="283"/>
              <w:jc w:val="right"/>
              <w:rPr/>
            </w:pPr>
            <w:r>
              <w:rPr/>
              <w:t>81,109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35" w:type="dxa"/>
            <w:tcBorders/>
            <w:shd w:fill="CCEEFF" w:val="clear"/>
            <w:vAlign w:val="bottom"/>
          </w:tcPr>
          <w:p>
            <w:pPr>
              <w:pStyle w:val="TableContents"/>
              <w:spacing w:before="0" w:after="283"/>
              <w:jc w:val="left"/>
              <w:rPr/>
            </w:pPr>
            <w:r>
              <w:rPr/>
              <w:t> </w:t>
            </w:r>
          </w:p>
        </w:tc>
        <w:tc>
          <w:tcPr>
            <w:tcW w:w="490"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68" w:type="dxa"/>
            <w:tcBorders/>
            <w:shd w:fill="CCEEFF" w:val="clear"/>
            <w:vAlign w:val="bottom"/>
          </w:tcPr>
          <w:p>
            <w:pPr>
              <w:pStyle w:val="TableContents"/>
              <w:spacing w:before="0" w:after="283"/>
              <w:jc w:val="left"/>
              <w:rPr/>
            </w:pPr>
            <w:r>
              <w:rPr/>
              <w:t> </w:t>
            </w:r>
          </w:p>
        </w:tc>
        <w:tc>
          <w:tcPr>
            <w:tcW w:w="917" w:type="dxa"/>
            <w:tcBorders/>
            <w:shd w:fill="CCEEFF" w:val="clear"/>
            <w:vAlign w:val="bottom"/>
          </w:tcPr>
          <w:p>
            <w:pPr>
              <w:pStyle w:val="TableContents"/>
              <w:spacing w:before="0" w:after="283"/>
              <w:jc w:val="right"/>
              <w:rPr/>
            </w:pPr>
            <w:r>
              <w:rPr/>
              <w:t>199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45" w:type="dxa"/>
            <w:tcBorders/>
            <w:shd w:fill="CCEEFF" w:val="clear"/>
            <w:vAlign w:val="bottom"/>
          </w:tcPr>
          <w:p>
            <w:pPr>
              <w:pStyle w:val="TableContents"/>
              <w:spacing w:before="0" w:after="283"/>
              <w:jc w:val="left"/>
              <w:rPr/>
            </w:pPr>
            <w:r>
              <w:rPr/>
              <w:t> </w:t>
            </w:r>
          </w:p>
        </w:tc>
        <w:tc>
          <w:tcPr>
            <w:tcW w:w="510"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80" w:type="dxa"/>
            <w:tcBorders/>
            <w:shd w:fill="CCEEFF" w:val="clear"/>
            <w:vAlign w:val="bottom"/>
          </w:tcPr>
          <w:p>
            <w:pPr>
              <w:pStyle w:val="TableContents"/>
              <w:spacing w:before="0" w:after="283"/>
              <w:jc w:val="right"/>
              <w:rPr/>
            </w:pPr>
            <w:r>
              <w:rPr/>
              <w:t>81,308</w:t>
            </w:r>
          </w:p>
        </w:tc>
        <w:tc>
          <w:tcPr>
            <w:tcW w:w="75" w:type="dxa"/>
            <w:tcBorders/>
            <w:shd w:fill="CCEEFF" w:val="clear"/>
            <w:vAlign w:val="bottom"/>
          </w:tcPr>
          <w:p>
            <w:pPr>
              <w:pStyle w:val="TableContents"/>
              <w:spacing w:before="0" w:after="283"/>
              <w:jc w:val="left"/>
              <w:rPr/>
            </w:pPr>
            <w:r>
              <w:rPr/>
              <w:t> </w:t>
            </w:r>
          </w:p>
        </w:tc>
      </w:tr>
      <w:tr>
        <w:trPr/>
        <w:tc>
          <w:tcPr>
            <w:tcW w:w="2090" w:type="dxa"/>
            <w:tcBorders/>
            <w:shd w:fill="auto"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Construction</w:t>
            </w:r>
          </w:p>
        </w:tc>
        <w:tc>
          <w:tcPr>
            <w:tcW w:w="60" w:type="dxa"/>
            <w:tcBorders/>
            <w:shd w:fill="auto" w:val="clear"/>
            <w:vAlign w:val="bottom"/>
          </w:tcPr>
          <w:p>
            <w:pPr>
              <w:pStyle w:val="TableContents"/>
              <w:spacing w:before="0" w:after="283"/>
              <w:jc w:val="right"/>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980" w:type="dxa"/>
            <w:tcBorders>
              <w:bottom w:val="single" w:sz="12" w:space="0" w:color="000000"/>
            </w:tcBorders>
            <w:shd w:fill="auto" w:val="clear"/>
            <w:tcMar>
              <w:bottom w:w="28" w:type="dxa"/>
            </w:tcMar>
            <w:vAlign w:val="bottom"/>
          </w:tcPr>
          <w:p>
            <w:pPr>
              <w:pStyle w:val="TableContents"/>
              <w:spacing w:before="0" w:after="283"/>
              <w:jc w:val="right"/>
              <w:rPr/>
            </w:pPr>
            <w:r>
              <w:rPr/>
              <w:t>151,995</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3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490" w:type="dxa"/>
            <w:tcBorders>
              <w:bottom w:val="single" w:sz="12" w:space="0" w:color="000000"/>
            </w:tcBorders>
            <w:shd w:fill="auto" w:val="clear"/>
            <w:tcMar>
              <w:bottom w:w="28" w:type="dxa"/>
            </w:tcM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68"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917" w:type="dxa"/>
            <w:tcBorders>
              <w:bottom w:val="single" w:sz="12" w:space="0" w:color="000000"/>
            </w:tcBorders>
            <w:shd w:fill="auto" w:val="clear"/>
            <w:tcMar>
              <w:bottom w:w="28" w:type="dxa"/>
            </w:tcMar>
            <w:vAlign w:val="bottom"/>
          </w:tcPr>
          <w:p>
            <w:pPr>
              <w:pStyle w:val="TableContents"/>
              <w:spacing w:before="0" w:after="283"/>
              <w:jc w:val="right"/>
              <w:rPr/>
            </w:pPr>
            <w:r>
              <w:rPr/>
              <w:t>1,524</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4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510" w:type="dxa"/>
            <w:tcBorders>
              <w:bottom w:val="single" w:sz="12" w:space="0" w:color="000000"/>
            </w:tcBorders>
            <w:shd w:fill="auto" w:val="clear"/>
            <w:tcMar>
              <w:bottom w:w="28" w:type="dxa"/>
            </w:tcM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980" w:type="dxa"/>
            <w:tcBorders>
              <w:bottom w:val="single" w:sz="12" w:space="0" w:color="000000"/>
            </w:tcBorders>
            <w:shd w:fill="auto" w:val="clear"/>
            <w:tcMar>
              <w:bottom w:w="28" w:type="dxa"/>
            </w:tcMar>
            <w:vAlign w:val="bottom"/>
          </w:tcPr>
          <w:p>
            <w:pPr>
              <w:pStyle w:val="TableContents"/>
              <w:spacing w:before="0" w:after="283"/>
              <w:jc w:val="right"/>
              <w:rPr/>
            </w:pPr>
            <w:r>
              <w:rPr/>
              <w:t>153,519</w:t>
            </w:r>
          </w:p>
        </w:tc>
        <w:tc>
          <w:tcPr>
            <w:tcW w:w="75" w:type="dxa"/>
            <w:tcBorders/>
            <w:shd w:fill="auto" w:val="clear"/>
            <w:vAlign w:val="bottom"/>
          </w:tcPr>
          <w:p>
            <w:pPr>
              <w:pStyle w:val="TableContents"/>
              <w:spacing w:before="0" w:after="283"/>
              <w:jc w:val="left"/>
              <w:rPr/>
            </w:pPr>
            <w:r>
              <w:rPr/>
              <w:t> </w:t>
            </w:r>
          </w:p>
        </w:tc>
      </w:tr>
      <w:tr>
        <w:trPr/>
        <w:tc>
          <w:tcPr>
            <w:tcW w:w="2090" w:type="dxa"/>
            <w:tcBorders/>
            <w:shd w:fill="CCEE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r>
          </w:p>
        </w:tc>
        <w:tc>
          <w:tcPr>
            <w:tcW w:w="60"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980" w:type="dxa"/>
            <w:tcBorders>
              <w:bottom w:val="double" w:sz="8" w:space="0" w:color="000000"/>
            </w:tcBorders>
            <w:shd w:fill="CCEEFF" w:val="clear"/>
            <w:tcMar>
              <w:bottom w:w="28" w:type="dxa"/>
            </w:tcMar>
            <w:vAlign w:val="bottom"/>
          </w:tcPr>
          <w:p>
            <w:pPr>
              <w:pStyle w:val="TableContents"/>
              <w:spacing w:before="0" w:after="283"/>
              <w:jc w:val="right"/>
              <w:rPr/>
            </w:pPr>
            <w:r>
              <w:rPr/>
              <w:t>2,676,234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35"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490" w:type="dxa"/>
            <w:tcBorders>
              <w:bottom w:val="double" w:sz="8" w:space="0" w:color="000000"/>
            </w:tcBorders>
            <w:shd w:fill="CCEEFF" w:val="clear"/>
            <w:tcMar>
              <w:bottom w:w="28" w:type="dxa"/>
            </w:tcM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68"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917" w:type="dxa"/>
            <w:tcBorders>
              <w:bottom w:val="double" w:sz="8" w:space="0" w:color="000000"/>
            </w:tcBorders>
            <w:shd w:fill="CCEEFF" w:val="clear"/>
            <w:tcMar>
              <w:bottom w:w="28" w:type="dxa"/>
            </w:tcMar>
            <w:vAlign w:val="bottom"/>
          </w:tcPr>
          <w:p>
            <w:pPr>
              <w:pStyle w:val="TableContents"/>
              <w:spacing w:before="0" w:after="283"/>
              <w:jc w:val="right"/>
              <w:rPr/>
            </w:pPr>
            <w:r>
              <w:rPr/>
              <w:t>71,847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45"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510" w:type="dxa"/>
            <w:tcBorders>
              <w:bottom w:val="double" w:sz="8" w:space="0" w:color="000000"/>
            </w:tcBorders>
            <w:shd w:fill="CCEEFF" w:val="clear"/>
            <w:tcMar>
              <w:bottom w:w="28" w:type="dxa"/>
            </w:tcM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980" w:type="dxa"/>
            <w:tcBorders>
              <w:bottom w:val="double" w:sz="8" w:space="0" w:color="000000"/>
            </w:tcBorders>
            <w:shd w:fill="CCEEFF" w:val="clear"/>
            <w:tcMar>
              <w:bottom w:w="28" w:type="dxa"/>
            </w:tcMar>
            <w:vAlign w:val="bottom"/>
          </w:tcPr>
          <w:p>
            <w:pPr>
              <w:pStyle w:val="TableContents"/>
              <w:spacing w:before="0" w:after="283"/>
              <w:jc w:val="right"/>
              <w:rPr/>
            </w:pPr>
            <w:r>
              <w:rPr/>
              <w:t>2,748,081</w:t>
            </w:r>
          </w:p>
        </w:tc>
        <w:tc>
          <w:tcPr>
            <w:tcW w:w="75" w:type="dxa"/>
            <w:tcBorders/>
            <w:shd w:fill="CCEEFF" w:val="clear"/>
            <w:vAlign w:val="bottom"/>
          </w:tcPr>
          <w:p>
            <w:pPr>
              <w:pStyle w:val="TableContents"/>
              <w:spacing w:before="0" w:after="283"/>
              <w:jc w:val="left"/>
              <w:rPr/>
            </w:pPr>
            <w:r>
              <w:rPr/>
              <w:t> </w:t>
            </w:r>
          </w:p>
        </w:tc>
      </w:tr>
    </w:tbl>
    <w:p>
      <w:pPr>
        <w:pStyle w:val="TextBody"/>
        <w:spacing w:before="0" w:after="0"/>
        <w:jc w:val="left"/>
        <w:rPr/>
      </w:pPr>
      <w:r>
        <w:rPr/>
      </w:r>
    </w:p>
    <w:p>
      <w:pPr>
        <w:pStyle w:val="TextBody"/>
        <w:spacing w:before="0" w:after="0"/>
        <w:jc w:val="both"/>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 xml:space="preserve">Occasionally, the Company modifies loans to borrowers in financial distress by providing principal forgiveness, term extensions, an other than insignificant payment delay, or interest rate reduction.  When principal forgiveness is provided, the amount of forgiveness is charged-off against the allowance for credit losses. Typically, one type of concession, such as term extension, is granted initially. If the borrower continues to experience financial difficulty, another concession, such as principal forgiveness, may be granted. In some cases, the Company provides multiple types of concessions on one loan. For the loans included in the “combination” columns below, multiple types of modifications have been made on the same loan within the current reporting period. </w:t>
      </w:r>
    </w:p>
    <w:p>
      <w:pPr>
        <w:pStyle w:val="TextBody"/>
        <w:spacing w:before="0" w:after="0"/>
        <w:ind w:left="0" w:right="0" w:hanging="0"/>
        <w:jc w:val="both"/>
        <w:rPr>
          <w:rFonts w:ascii="Times New Roman" w:hAnsi="Times New Roman"/>
        </w:rPr>
      </w:pPr>
      <w:r>
        <w:rPr>
          <w:rFonts w:ascii="Times New Roman" w:hAnsi="Times New Roman"/>
        </w:rPr>
      </w:r>
    </w:p>
    <w:p>
      <w:pPr>
        <w:pStyle w:val="TextBody"/>
        <w:spacing w:before="60" w:after="60"/>
        <w:jc w:val="both"/>
        <w:rPr>
          <w:rFonts w:ascii="Times New Roman" w:hAnsi="Times New Roman"/>
          <w:color w:val="000000"/>
          <w:sz w:val="20"/>
        </w:rPr>
      </w:pPr>
      <w:r>
        <w:rPr>
          <w:rFonts w:ascii="Times New Roman" w:hAnsi="Times New Roman"/>
          <w:color w:val="000000"/>
          <w:sz w:val="20"/>
        </w:rPr>
        <w:t>The following table presents the amortized cost basis of loans at March 31, 2023 that were both experiencing financial difficulty and modified during the three months ended March 31, 2023, by class and by type of modification.  The percentage of the amortized cost basis of loans that were modified to borrowers in financial distress as compared to the amortized cost bases of each class of financing receivable is also presented below (dollars in thousands):</w:t>
      </w:r>
    </w:p>
    <w:p>
      <w:pPr>
        <w:pStyle w:val="TextBody"/>
        <w:spacing w:before="0" w:after="0"/>
        <w:ind w:left="0" w:right="0" w:hanging="0"/>
        <w:jc w:val="both"/>
        <w:rPr>
          <w:rFonts w:ascii="Times New Roman" w:hAnsi="Times New Roman"/>
        </w:rPr>
      </w:pPr>
      <w:r>
        <w:rPr>
          <w:rFonts w:ascii="Times New Roman" w:hAnsi="Times New Roman"/>
        </w:rPr>
      </w:r>
    </w:p>
    <w:tbl>
      <w:tblPr>
        <w:tblW w:w="7951" w:type="dxa"/>
        <w:jc w:val="left"/>
        <w:tblInd w:w="0" w:type="dxa"/>
        <w:tblCellMar>
          <w:top w:w="0" w:type="dxa"/>
          <w:left w:w="0" w:type="dxa"/>
          <w:bottom w:w="0" w:type="dxa"/>
          <w:right w:w="0" w:type="dxa"/>
        </w:tblCellMar>
      </w:tblPr>
      <w:tblGrid>
        <w:gridCol w:w="2090"/>
        <w:gridCol w:w="60"/>
        <w:gridCol w:w="264"/>
        <w:gridCol w:w="550"/>
        <w:gridCol w:w="60"/>
        <w:gridCol w:w="60"/>
        <w:gridCol w:w="176"/>
        <w:gridCol w:w="684"/>
        <w:gridCol w:w="60"/>
        <w:gridCol w:w="60"/>
        <w:gridCol w:w="371"/>
        <w:gridCol w:w="773"/>
        <w:gridCol w:w="60"/>
        <w:gridCol w:w="60"/>
        <w:gridCol w:w="347"/>
        <w:gridCol w:w="722"/>
        <w:gridCol w:w="60"/>
        <w:gridCol w:w="60"/>
        <w:gridCol w:w="167"/>
        <w:gridCol w:w="1067"/>
        <w:gridCol w:w="200"/>
      </w:tblGrid>
      <w:tr>
        <w:trPr/>
        <w:tc>
          <w:tcPr>
            <w:tcW w:w="2090" w:type="dxa"/>
            <w:tcBorders/>
            <w:shd w:fill="auto" w:val="clear"/>
            <w:vAlign w:val="bottom"/>
          </w:tcPr>
          <w:p>
            <w:pPr>
              <w:pStyle w:val="TableContents"/>
              <w:spacing w:before="0" w:after="0"/>
              <w:jc w:val="left"/>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814"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20"/>
              </w:rPr>
            </w:pPr>
            <w:r>
              <w:rPr>
                <w:rFonts w:ascii="Times New Roman" w:hAnsi="Times New Roman"/>
                <w:b/>
                <w:color w:val="000000"/>
                <w:sz w:val="20"/>
              </w:rPr>
              <w:t xml:space="preserve">Payment </w:t>
            </w:r>
          </w:p>
          <w:p>
            <w:pPr>
              <w:pStyle w:val="TableContents"/>
              <w:spacing w:before="0" w:after="0"/>
              <w:jc w:val="center"/>
              <w:rPr>
                <w:rFonts w:ascii="Times New Roman" w:hAnsi="Times New Roman"/>
                <w:b/>
                <w:color w:val="000000"/>
                <w:sz w:val="20"/>
              </w:rPr>
            </w:pPr>
            <w:r>
              <w:rPr>
                <w:rFonts w:ascii="Times New Roman" w:hAnsi="Times New Roman"/>
                <w:b/>
                <w:color w:val="000000"/>
                <w:sz w:val="20"/>
              </w:rPr>
              <w:t>Delay</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6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20"/>
              </w:rPr>
            </w:pPr>
            <w:r>
              <w:rPr>
                <w:rFonts w:ascii="Times New Roman" w:hAnsi="Times New Roman"/>
                <w:b/>
                <w:color w:val="000000"/>
                <w:sz w:val="20"/>
              </w:rPr>
              <w:t xml:space="preserve">Term </w:t>
            </w:r>
          </w:p>
          <w:p>
            <w:pPr>
              <w:pStyle w:val="TableContents"/>
              <w:spacing w:before="0" w:after="0"/>
              <w:jc w:val="center"/>
              <w:rPr>
                <w:rFonts w:ascii="Times New Roman" w:hAnsi="Times New Roman"/>
                <w:b/>
                <w:color w:val="000000"/>
                <w:sz w:val="20"/>
              </w:rPr>
            </w:pPr>
            <w:r>
              <w:rPr>
                <w:rFonts w:ascii="Times New Roman" w:hAnsi="Times New Roman"/>
                <w:b/>
                <w:color w:val="000000"/>
                <w:sz w:val="20"/>
              </w:rPr>
              <w:t>Extension</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44"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20"/>
              </w:rPr>
            </w:pPr>
            <w:r>
              <w:rPr>
                <w:rFonts w:ascii="Times New Roman" w:hAnsi="Times New Roman"/>
                <w:b/>
                <w:color w:val="000000"/>
                <w:sz w:val="20"/>
              </w:rPr>
              <w:t xml:space="preserve">Interest Rate </w:t>
            </w:r>
          </w:p>
          <w:p>
            <w:pPr>
              <w:pStyle w:val="TableContents"/>
              <w:spacing w:before="0" w:after="0"/>
              <w:jc w:val="center"/>
              <w:rPr>
                <w:rFonts w:ascii="Times New Roman" w:hAnsi="Times New Roman"/>
                <w:b/>
                <w:color w:val="000000"/>
                <w:sz w:val="20"/>
              </w:rPr>
            </w:pPr>
            <w:r>
              <w:rPr>
                <w:rFonts w:ascii="Times New Roman" w:hAnsi="Times New Roman"/>
                <w:b/>
                <w:color w:val="000000"/>
                <w:sz w:val="20"/>
              </w:rPr>
              <w:t>Reduction</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069"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20"/>
              </w:rPr>
            </w:pPr>
            <w:r>
              <w:rPr>
                <w:rFonts w:ascii="Times New Roman" w:hAnsi="Times New Roman"/>
                <w:b/>
                <w:color w:val="000000"/>
                <w:sz w:val="20"/>
              </w:rPr>
              <w:t xml:space="preserve">Term </w:t>
            </w:r>
          </w:p>
          <w:p>
            <w:pPr>
              <w:pStyle w:val="TableContents"/>
              <w:spacing w:before="0" w:after="0"/>
              <w:jc w:val="center"/>
              <w:rPr>
                <w:rFonts w:ascii="Times New Roman" w:hAnsi="Times New Roman"/>
                <w:b/>
                <w:color w:val="000000"/>
                <w:sz w:val="20"/>
              </w:rPr>
            </w:pPr>
            <w:r>
              <w:rPr>
                <w:rFonts w:ascii="Times New Roman" w:hAnsi="Times New Roman"/>
                <w:b/>
                <w:color w:val="000000"/>
                <w:sz w:val="20"/>
              </w:rPr>
              <w:t xml:space="preserve">Extension </w:t>
            </w:r>
          </w:p>
          <w:p>
            <w:pPr>
              <w:pStyle w:val="TableContents"/>
              <w:spacing w:before="0" w:after="0"/>
              <w:jc w:val="center"/>
              <w:rPr>
                <w:rFonts w:ascii="Times New Roman" w:hAnsi="Times New Roman"/>
                <w:b/>
                <w:color w:val="000000"/>
                <w:sz w:val="20"/>
              </w:rPr>
            </w:pPr>
            <w:r>
              <w:rPr>
                <w:rFonts w:ascii="Times New Roman" w:hAnsi="Times New Roman"/>
                <w:b/>
                <w:color w:val="000000"/>
                <w:sz w:val="20"/>
              </w:rPr>
              <w:t xml:space="preserve">and Interest </w:t>
            </w:r>
          </w:p>
          <w:p>
            <w:pPr>
              <w:pStyle w:val="TableContents"/>
              <w:spacing w:before="0" w:after="0"/>
              <w:jc w:val="center"/>
              <w:rPr>
                <w:rFonts w:ascii="Times New Roman" w:hAnsi="Times New Roman"/>
                <w:b/>
                <w:color w:val="000000"/>
                <w:sz w:val="20"/>
              </w:rPr>
            </w:pPr>
            <w:r>
              <w:rPr>
                <w:rFonts w:ascii="Times New Roman" w:hAnsi="Times New Roman"/>
                <w:b/>
                <w:color w:val="000000"/>
                <w:sz w:val="20"/>
              </w:rPr>
              <w:t xml:space="preserve">Rate </w:t>
            </w:r>
          </w:p>
          <w:p>
            <w:pPr>
              <w:pStyle w:val="TableContents"/>
              <w:spacing w:before="0" w:after="0"/>
              <w:jc w:val="center"/>
              <w:rPr>
                <w:rFonts w:ascii="Times New Roman" w:hAnsi="Times New Roman"/>
                <w:b/>
                <w:color w:val="000000"/>
                <w:sz w:val="20"/>
              </w:rPr>
            </w:pPr>
            <w:r>
              <w:rPr>
                <w:rFonts w:ascii="Times New Roman" w:hAnsi="Times New Roman"/>
                <w:b/>
                <w:color w:val="000000"/>
                <w:sz w:val="20"/>
              </w:rPr>
              <w:t>Reduction</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34"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20"/>
              </w:rPr>
            </w:pPr>
            <w:r>
              <w:rPr>
                <w:rFonts w:ascii="Times New Roman" w:hAnsi="Times New Roman"/>
                <w:b/>
                <w:color w:val="000000"/>
                <w:sz w:val="20"/>
              </w:rPr>
              <w:t xml:space="preserve">Total Class of </w:t>
            </w:r>
          </w:p>
          <w:p>
            <w:pPr>
              <w:pStyle w:val="TableContents"/>
              <w:spacing w:before="0" w:after="0"/>
              <w:jc w:val="center"/>
              <w:rPr>
                <w:rFonts w:ascii="Times New Roman" w:hAnsi="Times New Roman"/>
                <w:b/>
                <w:color w:val="000000"/>
                <w:sz w:val="20"/>
              </w:rPr>
            </w:pPr>
            <w:r>
              <w:rPr>
                <w:rFonts w:ascii="Times New Roman" w:hAnsi="Times New Roman"/>
                <w:b/>
                <w:color w:val="000000"/>
                <w:sz w:val="20"/>
              </w:rPr>
              <w:t xml:space="preserve">Financing </w:t>
            </w:r>
          </w:p>
          <w:p>
            <w:pPr>
              <w:pStyle w:val="TableContents"/>
              <w:spacing w:before="0" w:after="0"/>
              <w:jc w:val="center"/>
              <w:rPr>
                <w:rFonts w:ascii="Times New Roman" w:hAnsi="Times New Roman"/>
                <w:b/>
                <w:color w:val="000000"/>
                <w:sz w:val="20"/>
              </w:rPr>
            </w:pPr>
            <w:r>
              <w:rPr>
                <w:rFonts w:ascii="Times New Roman" w:hAnsi="Times New Roman"/>
                <w:b/>
                <w:color w:val="000000"/>
                <w:sz w:val="20"/>
              </w:rPr>
              <w:t>Receivable</w:t>
            </w:r>
          </w:p>
        </w:tc>
        <w:tc>
          <w:tcPr>
            <w:tcW w:w="200" w:type="dxa"/>
            <w:tcBorders/>
            <w:shd w:fill="auto" w:val="clear"/>
            <w:vAlign w:val="bottom"/>
          </w:tcPr>
          <w:p>
            <w:pPr>
              <w:pStyle w:val="TableContents"/>
              <w:spacing w:before="0" w:after="283"/>
              <w:jc w:val="left"/>
              <w:rPr/>
            </w:pPr>
            <w:r>
              <w:rPr/>
              <w:t> </w:t>
            </w:r>
          </w:p>
        </w:tc>
      </w:tr>
      <w:tr>
        <w:trPr/>
        <w:tc>
          <w:tcPr>
            <w:tcW w:w="2090" w:type="dxa"/>
            <w:tcBorders/>
            <w:shd w:fill="auto" w:val="clear"/>
            <w:vAlign w:val="bottom"/>
          </w:tcPr>
          <w:p>
            <w:pPr>
              <w:pStyle w:val="TableContents"/>
              <w:spacing w:before="0" w:after="0"/>
              <w:jc w:val="left"/>
              <w:rPr>
                <w:rFonts w:ascii="Times New Roman" w:hAnsi="Times New Roman"/>
                <w:color w:val="000000"/>
                <w:sz w:val="20"/>
                <w:u w:val="single"/>
              </w:rPr>
            </w:pPr>
            <w:r>
              <w:rPr>
                <w:rFonts w:ascii="Times New Roman" w:hAnsi="Times New Roman"/>
                <w:color w:val="000000"/>
                <w:sz w:val="20"/>
                <w:u w:val="single"/>
              </w:rPr>
              <w:t>March 31, 2023</w:t>
            </w:r>
          </w:p>
        </w:tc>
        <w:tc>
          <w:tcPr>
            <w:tcW w:w="60" w:type="dxa"/>
            <w:tcBorders/>
            <w:shd w:fill="auto" w:val="clear"/>
            <w:vAlign w:val="bottom"/>
          </w:tcPr>
          <w:p>
            <w:pPr>
              <w:pStyle w:val="TableContents"/>
              <w:spacing w:before="0" w:after="283"/>
              <w:rPr/>
            </w:pPr>
            <w:r>
              <w:rPr/>
              <w:t> </w:t>
            </w:r>
          </w:p>
        </w:tc>
        <w:tc>
          <w:tcPr>
            <w:tcW w:w="814"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6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44"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069"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34" w:type="dxa"/>
            <w:gridSpan w:val="2"/>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jc w:val="left"/>
              <w:rPr/>
            </w:pPr>
            <w:r>
              <w:rPr/>
              <w:t> </w:t>
            </w:r>
          </w:p>
        </w:tc>
      </w:tr>
      <w:tr>
        <w:trPr/>
        <w:tc>
          <w:tcPr>
            <w:tcW w:w="2090"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Commercial real estate</w:t>
            </w:r>
          </w:p>
        </w:tc>
        <w:tc>
          <w:tcPr>
            <w:tcW w:w="60" w:type="dxa"/>
            <w:tcBorders/>
            <w:shd w:fill="CCEEFF" w:val="clear"/>
            <w:vAlign w:val="bottom"/>
          </w:tcPr>
          <w:p>
            <w:pPr>
              <w:pStyle w:val="TableContents"/>
              <w:spacing w:before="0" w:after="283"/>
              <w:jc w:val="right"/>
              <w:rPr/>
            </w:pPr>
            <w:r>
              <w:rPr/>
              <w:t> </w:t>
            </w:r>
          </w:p>
        </w:tc>
        <w:tc>
          <w:tcPr>
            <w:tcW w:w="264"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550"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76"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84"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371"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773"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347"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722"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67" w:type="dxa"/>
            <w:tcBorders/>
            <w:shd w:fill="CCEEFF" w:val="clear"/>
            <w:vAlign w:val="bottom"/>
          </w:tcPr>
          <w:p>
            <w:pPr>
              <w:pStyle w:val="TableContents"/>
              <w:spacing w:before="0" w:after="283"/>
              <w:jc w:val="left"/>
              <w:rPr/>
            </w:pPr>
            <w:r>
              <w:rPr/>
              <w:t> </w:t>
            </w:r>
          </w:p>
        </w:tc>
        <w:tc>
          <w:tcPr>
            <w:tcW w:w="1067"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0.00</w:t>
            </w:r>
          </w:p>
        </w:tc>
        <w:tc>
          <w:tcPr>
            <w:tcW w:w="200"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r>
      <w:tr>
        <w:trPr/>
        <w:tc>
          <w:tcPr>
            <w:tcW w:w="2090" w:type="dxa"/>
            <w:tcBorders/>
            <w:shd w:fill="auto"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Commercial - specialized</w:t>
            </w:r>
          </w:p>
        </w:tc>
        <w:tc>
          <w:tcPr>
            <w:tcW w:w="60" w:type="dxa"/>
            <w:tcBorders/>
            <w:shd w:fill="auto" w:val="clear"/>
            <w:vAlign w:val="bottom"/>
          </w:tcPr>
          <w:p>
            <w:pPr>
              <w:pStyle w:val="TableContents"/>
              <w:spacing w:before="0" w:after="283"/>
              <w:jc w:val="right"/>
              <w:rPr/>
            </w:pPr>
            <w:r>
              <w:rPr/>
              <w:t> </w:t>
            </w:r>
          </w:p>
        </w:tc>
        <w:tc>
          <w:tcPr>
            <w:tcW w:w="264" w:type="dxa"/>
            <w:tcBorders/>
            <w:shd w:fill="auto" w:val="clear"/>
            <w:vAlign w:val="bottom"/>
          </w:tcPr>
          <w:p>
            <w:pPr>
              <w:pStyle w:val="TableContents"/>
              <w:spacing w:before="0" w:after="283"/>
              <w:jc w:val="left"/>
              <w:rPr/>
            </w:pPr>
            <w:r>
              <w:rPr/>
              <w:t> </w:t>
            </w:r>
          </w:p>
        </w:tc>
        <w:tc>
          <w:tcPr>
            <w:tcW w:w="550" w:type="dxa"/>
            <w:tcBorders/>
            <w:shd w:fill="auto" w:val="cle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76" w:type="dxa"/>
            <w:tcBorders/>
            <w:shd w:fill="auto" w:val="clear"/>
            <w:vAlign w:val="bottom"/>
          </w:tcPr>
          <w:p>
            <w:pPr>
              <w:pStyle w:val="TableContents"/>
              <w:spacing w:before="0" w:after="283"/>
              <w:jc w:val="left"/>
              <w:rPr/>
            </w:pPr>
            <w:r>
              <w:rPr/>
              <w:t> </w:t>
            </w:r>
          </w:p>
        </w:tc>
        <w:tc>
          <w:tcPr>
            <w:tcW w:w="684" w:type="dxa"/>
            <w:tcBorders/>
            <w:shd w:fill="auto" w:val="cle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371" w:type="dxa"/>
            <w:tcBorders/>
            <w:shd w:fill="auto" w:val="clear"/>
            <w:vAlign w:val="bottom"/>
          </w:tcPr>
          <w:p>
            <w:pPr>
              <w:pStyle w:val="TableContents"/>
              <w:spacing w:before="0" w:after="283"/>
              <w:jc w:val="left"/>
              <w:rPr/>
            </w:pPr>
            <w:r>
              <w:rPr/>
              <w:t> </w:t>
            </w:r>
          </w:p>
        </w:tc>
        <w:tc>
          <w:tcPr>
            <w:tcW w:w="773" w:type="dxa"/>
            <w:tcBorders/>
            <w:shd w:fill="auto" w:val="cle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347" w:type="dxa"/>
            <w:tcBorders/>
            <w:shd w:fill="auto" w:val="clear"/>
            <w:vAlign w:val="bottom"/>
          </w:tcPr>
          <w:p>
            <w:pPr>
              <w:pStyle w:val="TableContents"/>
              <w:spacing w:before="0" w:after="283"/>
              <w:jc w:val="left"/>
              <w:rPr/>
            </w:pPr>
            <w:r>
              <w:rPr/>
              <w:t> </w:t>
            </w:r>
          </w:p>
        </w:tc>
        <w:tc>
          <w:tcPr>
            <w:tcW w:w="722" w:type="dxa"/>
            <w:tcBorders/>
            <w:shd w:fill="auto" w:val="cle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67" w:type="dxa"/>
            <w:tcBorders/>
            <w:shd w:fill="auto" w:val="clear"/>
            <w:vAlign w:val="bottom"/>
          </w:tcPr>
          <w:p>
            <w:pPr>
              <w:pStyle w:val="TableContents"/>
              <w:spacing w:before="0" w:after="283"/>
              <w:jc w:val="left"/>
              <w:rPr/>
            </w:pPr>
            <w:r>
              <w:rPr/>
              <w:t> </w:t>
            </w:r>
          </w:p>
        </w:tc>
        <w:tc>
          <w:tcPr>
            <w:tcW w:w="1067"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0.00</w:t>
            </w:r>
          </w:p>
        </w:tc>
        <w:tc>
          <w:tcPr>
            <w:tcW w:w="200" w:type="dxa"/>
            <w:tcBorders/>
            <w:shd w:fill="auto"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r>
      <w:tr>
        <w:trPr/>
        <w:tc>
          <w:tcPr>
            <w:tcW w:w="2090"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Commercial - general</w:t>
            </w:r>
          </w:p>
        </w:tc>
        <w:tc>
          <w:tcPr>
            <w:tcW w:w="60" w:type="dxa"/>
            <w:tcBorders/>
            <w:shd w:fill="CCEEFF" w:val="clear"/>
            <w:vAlign w:val="bottom"/>
          </w:tcPr>
          <w:p>
            <w:pPr>
              <w:pStyle w:val="TableContents"/>
              <w:spacing w:before="0" w:after="283"/>
              <w:jc w:val="right"/>
              <w:rPr/>
            </w:pPr>
            <w:r>
              <w:rPr/>
              <w:t> </w:t>
            </w:r>
          </w:p>
        </w:tc>
        <w:tc>
          <w:tcPr>
            <w:tcW w:w="264" w:type="dxa"/>
            <w:tcBorders/>
            <w:shd w:fill="CCEEFF" w:val="clear"/>
            <w:vAlign w:val="bottom"/>
          </w:tcPr>
          <w:p>
            <w:pPr>
              <w:pStyle w:val="TableContents"/>
              <w:spacing w:before="0" w:after="283"/>
              <w:jc w:val="left"/>
              <w:rPr/>
            </w:pPr>
            <w:r>
              <w:rPr/>
              <w:t> </w:t>
            </w:r>
          </w:p>
        </w:tc>
        <w:tc>
          <w:tcPr>
            <w:tcW w:w="550"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76" w:type="dxa"/>
            <w:tcBorders/>
            <w:shd w:fill="CCEEFF" w:val="clear"/>
            <w:vAlign w:val="bottom"/>
          </w:tcPr>
          <w:p>
            <w:pPr>
              <w:pStyle w:val="TableContents"/>
              <w:spacing w:before="0" w:after="283"/>
              <w:jc w:val="left"/>
              <w:rPr/>
            </w:pPr>
            <w:r>
              <w:rPr/>
              <w:t> </w:t>
            </w:r>
          </w:p>
        </w:tc>
        <w:tc>
          <w:tcPr>
            <w:tcW w:w="684"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2,999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371" w:type="dxa"/>
            <w:tcBorders/>
            <w:shd w:fill="CCEEFF" w:val="clear"/>
            <w:vAlign w:val="bottom"/>
          </w:tcPr>
          <w:p>
            <w:pPr>
              <w:pStyle w:val="TableContents"/>
              <w:spacing w:before="0" w:after="283"/>
              <w:jc w:val="left"/>
              <w:rPr/>
            </w:pPr>
            <w:r>
              <w:rPr/>
              <w:t> </w:t>
            </w:r>
          </w:p>
        </w:tc>
        <w:tc>
          <w:tcPr>
            <w:tcW w:w="773"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347" w:type="dxa"/>
            <w:tcBorders/>
            <w:shd w:fill="CCEEFF" w:val="clear"/>
            <w:vAlign w:val="bottom"/>
          </w:tcPr>
          <w:p>
            <w:pPr>
              <w:pStyle w:val="TableContents"/>
              <w:spacing w:before="0" w:after="283"/>
              <w:jc w:val="left"/>
              <w:rPr/>
            </w:pPr>
            <w:r>
              <w:rPr/>
              <w:t> </w:t>
            </w:r>
          </w:p>
        </w:tc>
        <w:tc>
          <w:tcPr>
            <w:tcW w:w="722"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42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67" w:type="dxa"/>
            <w:tcBorders/>
            <w:shd w:fill="CCEEFF" w:val="clear"/>
            <w:vAlign w:val="bottom"/>
          </w:tcPr>
          <w:p>
            <w:pPr>
              <w:pStyle w:val="TableContents"/>
              <w:spacing w:before="0" w:after="283"/>
              <w:jc w:val="left"/>
              <w:rPr/>
            </w:pPr>
            <w:r>
              <w:rPr/>
              <w:t> </w:t>
            </w:r>
          </w:p>
        </w:tc>
        <w:tc>
          <w:tcPr>
            <w:tcW w:w="1067"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0.60</w:t>
            </w:r>
          </w:p>
        </w:tc>
        <w:tc>
          <w:tcPr>
            <w:tcW w:w="200"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r>
      <w:tr>
        <w:trPr/>
        <w:tc>
          <w:tcPr>
            <w:tcW w:w="2090" w:type="dxa"/>
            <w:tcBorders/>
            <w:shd w:fill="auto"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Consumer:</w:t>
            </w:r>
          </w:p>
        </w:tc>
        <w:tc>
          <w:tcPr>
            <w:tcW w:w="60" w:type="dxa"/>
            <w:tcBorders/>
            <w:shd w:fill="auto" w:val="clear"/>
            <w:vAlign w:val="bottom"/>
          </w:tcPr>
          <w:p>
            <w:pPr>
              <w:pStyle w:val="TableContents"/>
              <w:spacing w:before="0" w:after="283"/>
              <w:jc w:val="right"/>
              <w:rPr/>
            </w:pPr>
            <w:r>
              <w:rPr/>
              <w:t> </w:t>
            </w:r>
          </w:p>
        </w:tc>
        <w:tc>
          <w:tcPr>
            <w:tcW w:w="264" w:type="dxa"/>
            <w:tcBorders/>
            <w:shd w:fill="auto" w:val="clear"/>
            <w:vAlign w:val="bottom"/>
          </w:tcPr>
          <w:p>
            <w:pPr>
              <w:pStyle w:val="TableContents"/>
              <w:spacing w:before="0" w:after="283"/>
              <w:jc w:val="left"/>
              <w:rPr/>
            </w:pPr>
            <w:r>
              <w:rPr/>
              <w:t> </w:t>
            </w:r>
          </w:p>
        </w:tc>
        <w:tc>
          <w:tcPr>
            <w:tcW w:w="55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76" w:type="dxa"/>
            <w:tcBorders/>
            <w:shd w:fill="auto" w:val="clear"/>
            <w:vAlign w:val="bottom"/>
          </w:tcPr>
          <w:p>
            <w:pPr>
              <w:pStyle w:val="TableContents"/>
              <w:spacing w:before="0" w:after="283"/>
              <w:jc w:val="left"/>
              <w:rPr/>
            </w:pPr>
            <w:r>
              <w:rPr/>
              <w:t> </w:t>
            </w:r>
          </w:p>
        </w:tc>
        <w:tc>
          <w:tcPr>
            <w:tcW w:w="68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371" w:type="dxa"/>
            <w:tcBorders/>
            <w:shd w:fill="auto" w:val="clear"/>
            <w:vAlign w:val="bottom"/>
          </w:tcPr>
          <w:p>
            <w:pPr>
              <w:pStyle w:val="TableContents"/>
              <w:spacing w:before="0" w:after="283"/>
              <w:jc w:val="left"/>
              <w:rPr/>
            </w:pPr>
            <w:r>
              <w:rPr/>
              <w:t> </w:t>
            </w:r>
          </w:p>
        </w:tc>
        <w:tc>
          <w:tcPr>
            <w:tcW w:w="773"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347" w:type="dxa"/>
            <w:tcBorders/>
            <w:shd w:fill="auto" w:val="clear"/>
            <w:vAlign w:val="bottom"/>
          </w:tcPr>
          <w:p>
            <w:pPr>
              <w:pStyle w:val="TableContents"/>
              <w:spacing w:before="0" w:after="283"/>
              <w:jc w:val="left"/>
              <w:rPr/>
            </w:pPr>
            <w:r>
              <w:rPr/>
              <w:t> </w:t>
            </w:r>
          </w:p>
        </w:tc>
        <w:tc>
          <w:tcPr>
            <w:tcW w:w="722"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67" w:type="dxa"/>
            <w:tcBorders/>
            <w:shd w:fill="auto" w:val="clear"/>
            <w:vAlign w:val="bottom"/>
          </w:tcPr>
          <w:p>
            <w:pPr>
              <w:pStyle w:val="TableContents"/>
              <w:spacing w:before="0" w:after="283"/>
              <w:jc w:val="left"/>
              <w:rPr/>
            </w:pPr>
            <w:r>
              <w:rPr/>
              <w:t> </w:t>
            </w:r>
          </w:p>
        </w:tc>
        <w:tc>
          <w:tcPr>
            <w:tcW w:w="1067" w:type="dxa"/>
            <w:tcBorders/>
            <w:shd w:fill="auto" w:val="clear"/>
            <w:vAlign w:val="bottom"/>
          </w:tcPr>
          <w:p>
            <w:pPr>
              <w:pStyle w:val="TableContents"/>
              <w:spacing w:before="0" w:after="283"/>
              <w:jc w:val="right"/>
              <w:rPr/>
            </w:pPr>
            <w:r>
              <w:rPr/>
              <w:t> </w:t>
            </w:r>
          </w:p>
        </w:tc>
        <w:tc>
          <w:tcPr>
            <w:tcW w:w="200" w:type="dxa"/>
            <w:tcBorders/>
            <w:shd w:fill="auto" w:val="clear"/>
            <w:vAlign w:val="bottom"/>
          </w:tcPr>
          <w:p>
            <w:pPr>
              <w:pStyle w:val="TableContents"/>
              <w:spacing w:before="0" w:after="283"/>
              <w:jc w:val="left"/>
              <w:rPr/>
            </w:pPr>
            <w:r>
              <w:rPr/>
              <w:t> </w:t>
            </w:r>
          </w:p>
        </w:tc>
      </w:tr>
      <w:tr>
        <w:trPr/>
        <w:tc>
          <w:tcPr>
            <w:tcW w:w="2090" w:type="dxa"/>
            <w:tcBorders/>
            <w:shd w:fill="CCEEFF" w:val="clear"/>
            <w:vAlign w:val="bottom"/>
          </w:tcPr>
          <w:p>
            <w:pPr>
              <w:pStyle w:val="TableContents"/>
              <w:spacing w:before="0" w:after="0"/>
              <w:ind w:left="180" w:right="0" w:hanging="0"/>
              <w:jc w:val="left"/>
              <w:rPr>
                <w:rFonts w:ascii="Times New Roman" w:hAnsi="Times New Roman"/>
                <w:color w:val="000000"/>
                <w:sz w:val="20"/>
              </w:rPr>
            </w:pPr>
            <w:r>
              <w:rPr>
                <w:rFonts w:ascii="Times New Roman" w:hAnsi="Times New Roman"/>
                <w:color w:val="000000"/>
                <w:sz w:val="20"/>
              </w:rPr>
              <w:t>1-4 family</w:t>
            </w:r>
          </w:p>
        </w:tc>
        <w:tc>
          <w:tcPr>
            <w:tcW w:w="60" w:type="dxa"/>
            <w:tcBorders/>
            <w:shd w:fill="CCEEFF" w:val="clear"/>
            <w:vAlign w:val="bottom"/>
          </w:tcPr>
          <w:p>
            <w:pPr>
              <w:pStyle w:val="TableContents"/>
              <w:spacing w:before="0" w:after="283"/>
              <w:jc w:val="right"/>
              <w:rPr/>
            </w:pPr>
            <w:r>
              <w:rPr/>
              <w:t> </w:t>
            </w:r>
          </w:p>
        </w:tc>
        <w:tc>
          <w:tcPr>
            <w:tcW w:w="264" w:type="dxa"/>
            <w:tcBorders/>
            <w:shd w:fill="CCEEFF" w:val="clear"/>
            <w:vAlign w:val="bottom"/>
          </w:tcPr>
          <w:p>
            <w:pPr>
              <w:pStyle w:val="TableContents"/>
              <w:spacing w:before="0" w:after="283"/>
              <w:jc w:val="left"/>
              <w:rPr/>
            </w:pPr>
            <w:r>
              <w:rPr/>
              <w:t> </w:t>
            </w:r>
          </w:p>
        </w:tc>
        <w:tc>
          <w:tcPr>
            <w:tcW w:w="550"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76" w:type="dxa"/>
            <w:tcBorders/>
            <w:shd w:fill="CCEEFF" w:val="clear"/>
            <w:vAlign w:val="bottom"/>
          </w:tcPr>
          <w:p>
            <w:pPr>
              <w:pStyle w:val="TableContents"/>
              <w:spacing w:before="0" w:after="283"/>
              <w:jc w:val="left"/>
              <w:rPr/>
            </w:pPr>
            <w:r>
              <w:rPr/>
              <w:t> </w:t>
            </w:r>
          </w:p>
        </w:tc>
        <w:tc>
          <w:tcPr>
            <w:tcW w:w="684"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199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371" w:type="dxa"/>
            <w:tcBorders/>
            <w:shd w:fill="CCEEFF" w:val="clear"/>
            <w:vAlign w:val="bottom"/>
          </w:tcPr>
          <w:p>
            <w:pPr>
              <w:pStyle w:val="TableContents"/>
              <w:spacing w:before="0" w:after="283"/>
              <w:jc w:val="left"/>
              <w:rPr/>
            </w:pPr>
            <w:r>
              <w:rPr/>
              <w:t> </w:t>
            </w:r>
          </w:p>
        </w:tc>
        <w:tc>
          <w:tcPr>
            <w:tcW w:w="773"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347" w:type="dxa"/>
            <w:tcBorders/>
            <w:shd w:fill="CCEEFF" w:val="clear"/>
            <w:vAlign w:val="bottom"/>
          </w:tcPr>
          <w:p>
            <w:pPr>
              <w:pStyle w:val="TableContents"/>
              <w:spacing w:before="0" w:after="283"/>
              <w:jc w:val="left"/>
              <w:rPr/>
            </w:pPr>
            <w:r>
              <w:rPr/>
              <w:t> </w:t>
            </w:r>
          </w:p>
        </w:tc>
        <w:tc>
          <w:tcPr>
            <w:tcW w:w="722"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67" w:type="dxa"/>
            <w:tcBorders/>
            <w:shd w:fill="CCEEFF" w:val="clear"/>
            <w:vAlign w:val="bottom"/>
          </w:tcPr>
          <w:p>
            <w:pPr>
              <w:pStyle w:val="TableContents"/>
              <w:spacing w:before="0" w:after="283"/>
              <w:jc w:val="left"/>
              <w:rPr/>
            </w:pPr>
            <w:r>
              <w:rPr/>
              <w:t> </w:t>
            </w:r>
          </w:p>
        </w:tc>
        <w:tc>
          <w:tcPr>
            <w:tcW w:w="1067"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0.04</w:t>
            </w:r>
          </w:p>
        </w:tc>
        <w:tc>
          <w:tcPr>
            <w:tcW w:w="200"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r>
      <w:tr>
        <w:trPr/>
        <w:tc>
          <w:tcPr>
            <w:tcW w:w="2090" w:type="dxa"/>
            <w:tcBorders/>
            <w:shd w:fill="auto" w:val="clear"/>
            <w:vAlign w:val="bottom"/>
          </w:tcPr>
          <w:p>
            <w:pPr>
              <w:pStyle w:val="TableContents"/>
              <w:spacing w:before="0" w:after="0"/>
              <w:ind w:left="180" w:right="0" w:hanging="0"/>
              <w:jc w:val="left"/>
              <w:rPr>
                <w:rFonts w:ascii="Times New Roman" w:hAnsi="Times New Roman"/>
                <w:color w:val="000000"/>
                <w:sz w:val="20"/>
              </w:rPr>
            </w:pPr>
            <w:r>
              <w:rPr>
                <w:rFonts w:ascii="Times New Roman" w:hAnsi="Times New Roman"/>
                <w:color w:val="000000"/>
                <w:sz w:val="20"/>
              </w:rPr>
              <w:t>Auto loans</w:t>
            </w:r>
          </w:p>
        </w:tc>
        <w:tc>
          <w:tcPr>
            <w:tcW w:w="60" w:type="dxa"/>
            <w:tcBorders/>
            <w:shd w:fill="auto" w:val="clear"/>
            <w:vAlign w:val="bottom"/>
          </w:tcPr>
          <w:p>
            <w:pPr>
              <w:pStyle w:val="TableContents"/>
              <w:spacing w:before="0" w:after="283"/>
              <w:jc w:val="right"/>
              <w:rPr/>
            </w:pPr>
            <w:r>
              <w:rPr/>
              <w:t> </w:t>
            </w:r>
          </w:p>
        </w:tc>
        <w:tc>
          <w:tcPr>
            <w:tcW w:w="264" w:type="dxa"/>
            <w:tcBorders/>
            <w:shd w:fill="auto" w:val="clear"/>
            <w:vAlign w:val="bottom"/>
          </w:tcPr>
          <w:p>
            <w:pPr>
              <w:pStyle w:val="TableContents"/>
              <w:spacing w:before="0" w:after="283"/>
              <w:jc w:val="left"/>
              <w:rPr/>
            </w:pPr>
            <w:r>
              <w:rPr/>
              <w:t> </w:t>
            </w:r>
          </w:p>
        </w:tc>
        <w:tc>
          <w:tcPr>
            <w:tcW w:w="550" w:type="dxa"/>
            <w:tcBorders/>
            <w:shd w:fill="auto" w:val="cle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76" w:type="dxa"/>
            <w:tcBorders/>
            <w:shd w:fill="auto" w:val="clear"/>
            <w:vAlign w:val="bottom"/>
          </w:tcPr>
          <w:p>
            <w:pPr>
              <w:pStyle w:val="TableContents"/>
              <w:spacing w:before="0" w:after="283"/>
              <w:jc w:val="left"/>
              <w:rPr/>
            </w:pPr>
            <w:r>
              <w:rPr/>
              <w:t> </w:t>
            </w:r>
          </w:p>
        </w:tc>
        <w:tc>
          <w:tcPr>
            <w:tcW w:w="684"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40</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371" w:type="dxa"/>
            <w:tcBorders/>
            <w:shd w:fill="auto" w:val="clear"/>
            <w:vAlign w:val="bottom"/>
          </w:tcPr>
          <w:p>
            <w:pPr>
              <w:pStyle w:val="TableContents"/>
              <w:spacing w:before="0" w:after="283"/>
              <w:jc w:val="left"/>
              <w:rPr/>
            </w:pPr>
            <w:r>
              <w:rPr/>
              <w:t> </w:t>
            </w:r>
          </w:p>
        </w:tc>
        <w:tc>
          <w:tcPr>
            <w:tcW w:w="773" w:type="dxa"/>
            <w:tcBorders/>
            <w:shd w:fill="auto" w:val="cle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347" w:type="dxa"/>
            <w:tcBorders/>
            <w:shd w:fill="auto" w:val="clear"/>
            <w:vAlign w:val="bottom"/>
          </w:tcPr>
          <w:p>
            <w:pPr>
              <w:pStyle w:val="TableContents"/>
              <w:spacing w:before="0" w:after="283"/>
              <w:jc w:val="left"/>
              <w:rPr/>
            </w:pPr>
            <w:r>
              <w:rPr/>
              <w:t> </w:t>
            </w:r>
          </w:p>
        </w:tc>
        <w:tc>
          <w:tcPr>
            <w:tcW w:w="722" w:type="dxa"/>
            <w:tcBorders/>
            <w:shd w:fill="auto" w:val="cle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67" w:type="dxa"/>
            <w:tcBorders/>
            <w:shd w:fill="auto" w:val="clear"/>
            <w:vAlign w:val="bottom"/>
          </w:tcPr>
          <w:p>
            <w:pPr>
              <w:pStyle w:val="TableContents"/>
              <w:spacing w:before="0" w:after="283"/>
              <w:jc w:val="left"/>
              <w:rPr/>
            </w:pPr>
            <w:r>
              <w:rPr/>
              <w:t> </w:t>
            </w:r>
          </w:p>
        </w:tc>
        <w:tc>
          <w:tcPr>
            <w:tcW w:w="1067"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0.01</w:t>
            </w:r>
          </w:p>
        </w:tc>
        <w:tc>
          <w:tcPr>
            <w:tcW w:w="200" w:type="dxa"/>
            <w:tcBorders/>
            <w:shd w:fill="auto"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r>
      <w:tr>
        <w:trPr/>
        <w:tc>
          <w:tcPr>
            <w:tcW w:w="2090" w:type="dxa"/>
            <w:tcBorders/>
            <w:shd w:fill="CCEEFF" w:val="clear"/>
            <w:vAlign w:val="bottom"/>
          </w:tcPr>
          <w:p>
            <w:pPr>
              <w:pStyle w:val="TableContents"/>
              <w:spacing w:before="0" w:after="0"/>
              <w:ind w:left="180" w:right="0" w:hanging="0"/>
              <w:jc w:val="left"/>
              <w:rPr>
                <w:rFonts w:ascii="Times New Roman" w:hAnsi="Times New Roman"/>
                <w:color w:val="000000"/>
                <w:sz w:val="20"/>
              </w:rPr>
            </w:pPr>
            <w:r>
              <w:rPr>
                <w:rFonts w:ascii="Times New Roman" w:hAnsi="Times New Roman"/>
                <w:color w:val="000000"/>
                <w:sz w:val="20"/>
              </w:rPr>
              <w:t>Other consumer</w:t>
            </w:r>
          </w:p>
        </w:tc>
        <w:tc>
          <w:tcPr>
            <w:tcW w:w="60" w:type="dxa"/>
            <w:tcBorders/>
            <w:shd w:fill="CCEEFF" w:val="clear"/>
            <w:vAlign w:val="bottom"/>
          </w:tcPr>
          <w:p>
            <w:pPr>
              <w:pStyle w:val="TableContents"/>
              <w:spacing w:before="0" w:after="283"/>
              <w:jc w:val="right"/>
              <w:rPr/>
            </w:pPr>
            <w:r>
              <w:rPr/>
              <w:t> </w:t>
            </w:r>
          </w:p>
        </w:tc>
        <w:tc>
          <w:tcPr>
            <w:tcW w:w="264" w:type="dxa"/>
            <w:tcBorders/>
            <w:shd w:fill="CCEEFF" w:val="clear"/>
            <w:vAlign w:val="bottom"/>
          </w:tcPr>
          <w:p>
            <w:pPr>
              <w:pStyle w:val="TableContents"/>
              <w:spacing w:before="0" w:after="283"/>
              <w:jc w:val="left"/>
              <w:rPr/>
            </w:pPr>
            <w:r>
              <w:rPr/>
              <w:t> </w:t>
            </w:r>
          </w:p>
        </w:tc>
        <w:tc>
          <w:tcPr>
            <w:tcW w:w="550"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76" w:type="dxa"/>
            <w:tcBorders/>
            <w:shd w:fill="CCEEFF" w:val="clear"/>
            <w:vAlign w:val="bottom"/>
          </w:tcPr>
          <w:p>
            <w:pPr>
              <w:pStyle w:val="TableContents"/>
              <w:spacing w:before="0" w:after="283"/>
              <w:jc w:val="left"/>
              <w:rPr/>
            </w:pPr>
            <w:r>
              <w:rPr/>
              <w:t> </w:t>
            </w:r>
          </w:p>
        </w:tc>
        <w:tc>
          <w:tcPr>
            <w:tcW w:w="684"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371" w:type="dxa"/>
            <w:tcBorders/>
            <w:shd w:fill="CCEEFF" w:val="clear"/>
            <w:vAlign w:val="bottom"/>
          </w:tcPr>
          <w:p>
            <w:pPr>
              <w:pStyle w:val="TableContents"/>
              <w:spacing w:before="0" w:after="283"/>
              <w:jc w:val="left"/>
              <w:rPr/>
            </w:pPr>
            <w:r>
              <w:rPr/>
              <w:t> </w:t>
            </w:r>
          </w:p>
        </w:tc>
        <w:tc>
          <w:tcPr>
            <w:tcW w:w="773"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347" w:type="dxa"/>
            <w:tcBorders/>
            <w:shd w:fill="CCEEFF" w:val="clear"/>
            <w:vAlign w:val="bottom"/>
          </w:tcPr>
          <w:p>
            <w:pPr>
              <w:pStyle w:val="TableContents"/>
              <w:spacing w:before="0" w:after="283"/>
              <w:jc w:val="left"/>
              <w:rPr/>
            </w:pPr>
            <w:r>
              <w:rPr/>
              <w:t> </w:t>
            </w:r>
          </w:p>
        </w:tc>
        <w:tc>
          <w:tcPr>
            <w:tcW w:w="722"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67" w:type="dxa"/>
            <w:tcBorders/>
            <w:shd w:fill="CCEEFF" w:val="clear"/>
            <w:vAlign w:val="bottom"/>
          </w:tcPr>
          <w:p>
            <w:pPr>
              <w:pStyle w:val="TableContents"/>
              <w:spacing w:before="0" w:after="283"/>
              <w:jc w:val="left"/>
              <w:rPr/>
            </w:pPr>
            <w:r>
              <w:rPr/>
              <w:t> </w:t>
            </w:r>
          </w:p>
        </w:tc>
        <w:tc>
          <w:tcPr>
            <w:tcW w:w="1067"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0.00</w:t>
            </w:r>
          </w:p>
        </w:tc>
        <w:tc>
          <w:tcPr>
            <w:tcW w:w="200"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r>
      <w:tr>
        <w:trPr/>
        <w:tc>
          <w:tcPr>
            <w:tcW w:w="2090" w:type="dxa"/>
            <w:tcBorders/>
            <w:shd w:fill="auto"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Construction</w:t>
            </w:r>
          </w:p>
        </w:tc>
        <w:tc>
          <w:tcPr>
            <w:tcW w:w="60" w:type="dxa"/>
            <w:tcBorders/>
            <w:shd w:fill="auto" w:val="clear"/>
            <w:vAlign w:val="bottom"/>
          </w:tcPr>
          <w:p>
            <w:pPr>
              <w:pStyle w:val="TableContents"/>
              <w:spacing w:before="0" w:after="283"/>
              <w:jc w:val="right"/>
              <w:rPr/>
            </w:pPr>
            <w:r>
              <w:rPr/>
              <w:t> </w:t>
            </w:r>
          </w:p>
        </w:tc>
        <w:tc>
          <w:tcPr>
            <w:tcW w:w="264"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55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76"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84"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371"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773"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347"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722"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67"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067"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0.00</w:t>
            </w:r>
          </w:p>
        </w:tc>
        <w:tc>
          <w:tcPr>
            <w:tcW w:w="200" w:type="dxa"/>
            <w:tcBorders/>
            <w:shd w:fill="auto"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r>
      <w:tr>
        <w:trPr/>
        <w:tc>
          <w:tcPr>
            <w:tcW w:w="2090" w:type="dxa"/>
            <w:tcBorders/>
            <w:shd w:fill="CCEEFF" w:val="clear"/>
            <w:vAlign w:val="bottom"/>
          </w:tcPr>
          <w:p>
            <w:pPr>
              <w:pStyle w:val="TableContents"/>
              <w:spacing w:before="0" w:after="0"/>
              <w:jc w:val="left"/>
              <w:rPr>
                <w:color w:val="000000"/>
              </w:rPr>
            </w:pPr>
            <w:r>
              <w:rPr>
                <w:color w:val="000000"/>
              </w:rPr>
              <w:t> </w:t>
            </w:r>
          </w:p>
        </w:tc>
        <w:tc>
          <w:tcPr>
            <w:tcW w:w="60" w:type="dxa"/>
            <w:tcBorders/>
            <w:shd w:fill="CCEEFF" w:val="clear"/>
            <w:vAlign w:val="bottom"/>
          </w:tcPr>
          <w:p>
            <w:pPr>
              <w:pStyle w:val="TableContents"/>
              <w:spacing w:before="0" w:after="283"/>
              <w:jc w:val="right"/>
              <w:rPr/>
            </w:pPr>
            <w:r>
              <w:rPr/>
              <w:t> </w:t>
            </w:r>
          </w:p>
        </w:tc>
        <w:tc>
          <w:tcPr>
            <w:tcW w:w="264"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550"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76"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84"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3,238</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371"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773"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347"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722"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42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67"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067"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0.12</w:t>
            </w:r>
          </w:p>
        </w:tc>
        <w:tc>
          <w:tcPr>
            <w:tcW w:w="200"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r>
    </w:tbl>
    <w:p>
      <w:pPr>
        <w:pStyle w:val="TextBody"/>
        <w:spacing w:before="0" w:after="0"/>
        <w:ind w:left="0" w:right="0" w:hanging="0"/>
        <w:jc w:val="both"/>
        <w:rPr>
          <w:rFonts w:ascii="Times New Roman" w:hAnsi="Times New Roman"/>
        </w:rPr>
      </w:pPr>
      <w:r>
        <w:rPr>
          <w:rFonts w:ascii="Times New Roman" w:hAnsi="Times New Roman"/>
        </w:rPr>
      </w:r>
    </w:p>
    <w:p>
      <w:pPr>
        <w:pStyle w:val="TextBody"/>
        <w:spacing w:before="0" w:after="0"/>
        <w:ind w:left="0" w:right="0" w:hanging="0"/>
        <w:jc w:val="both"/>
        <w:rPr>
          <w:rFonts w:ascii="Times New Roman" w:hAnsi="Times New Roman"/>
          <w:color w:val="000000"/>
          <w:sz w:val="20"/>
        </w:rPr>
      </w:pPr>
      <w:r>
        <w:rPr>
          <w:rFonts w:ascii="Times New Roman" w:hAnsi="Times New Roman"/>
          <w:color w:val="000000"/>
          <w:sz w:val="20"/>
        </w:rPr>
        <w:t>The Company closely monitors the performance of loans that are modified to borrowers experiencing financial difficulty to understand the effectiveness of its modification efforts.  The following presents the performance of such loans that have been modified in the last three months (dollars in thousands):</w:t>
      </w:r>
    </w:p>
    <w:p>
      <w:pPr>
        <w:pStyle w:val="TextBody"/>
        <w:spacing w:before="0" w:after="0"/>
        <w:ind w:left="0" w:right="0" w:hanging="0"/>
        <w:jc w:val="both"/>
        <w:rPr>
          <w:rFonts w:ascii="Times New Roman" w:hAnsi="Times New Roman"/>
        </w:rPr>
      </w:pPr>
      <w:r>
        <w:rPr>
          <w:rFonts w:ascii="Times New Roman" w:hAnsi="Times New Roman"/>
        </w:rPr>
      </w:r>
    </w:p>
    <w:tbl>
      <w:tblPr>
        <w:tblW w:w="5703" w:type="dxa"/>
        <w:jc w:val="left"/>
        <w:tblInd w:w="0" w:type="dxa"/>
        <w:tblCellMar>
          <w:top w:w="0" w:type="dxa"/>
          <w:left w:w="0" w:type="dxa"/>
          <w:bottom w:w="0" w:type="dxa"/>
          <w:right w:w="0" w:type="dxa"/>
        </w:tblCellMar>
      </w:tblPr>
      <w:tblGrid>
        <w:gridCol w:w="2090"/>
        <w:gridCol w:w="60"/>
        <w:gridCol w:w="311"/>
        <w:gridCol w:w="653"/>
        <w:gridCol w:w="60"/>
        <w:gridCol w:w="60"/>
        <w:gridCol w:w="409"/>
        <w:gridCol w:w="855"/>
        <w:gridCol w:w="60"/>
        <w:gridCol w:w="60"/>
        <w:gridCol w:w="327"/>
        <w:gridCol w:w="683"/>
        <w:gridCol w:w="75"/>
      </w:tblGrid>
      <w:tr>
        <w:trPr/>
        <w:tc>
          <w:tcPr>
            <w:tcW w:w="2090" w:type="dxa"/>
            <w:tcBorders/>
            <w:shd w:fill="auto" w:val="clear"/>
            <w:vAlign w:val="bottom"/>
          </w:tcPr>
          <w:p>
            <w:pPr>
              <w:pStyle w:val="TableContents"/>
              <w:spacing w:before="0" w:after="0"/>
              <w:jc w:val="left"/>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964"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20"/>
              </w:rPr>
            </w:pPr>
            <w:r>
              <w:rPr>
                <w:rFonts w:ascii="Times New Roman" w:hAnsi="Times New Roman"/>
                <w:b/>
                <w:color w:val="000000"/>
                <w:sz w:val="20"/>
              </w:rPr>
              <w:t>30-89 Days</w:t>
            </w:r>
          </w:p>
          <w:p>
            <w:pPr>
              <w:pStyle w:val="TableContents"/>
              <w:spacing w:before="0" w:after="0"/>
              <w:jc w:val="center"/>
              <w:rPr>
                <w:rFonts w:ascii="Times New Roman" w:hAnsi="Times New Roman"/>
                <w:b/>
                <w:color w:val="000000"/>
                <w:sz w:val="20"/>
              </w:rPr>
            </w:pPr>
            <w:r>
              <w:rPr>
                <w:rFonts w:ascii="Times New Roman" w:hAnsi="Times New Roman"/>
                <w:b/>
                <w:color w:val="000000"/>
                <w:sz w:val="20"/>
              </w:rPr>
              <w:t>Past Due</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64"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20"/>
              </w:rPr>
            </w:pPr>
            <w:r>
              <w:rPr>
                <w:rFonts w:ascii="Times New Roman" w:hAnsi="Times New Roman"/>
                <w:b/>
                <w:color w:val="000000"/>
                <w:sz w:val="20"/>
              </w:rPr>
              <w:t>90 Days or</w:t>
            </w:r>
          </w:p>
          <w:p>
            <w:pPr>
              <w:pStyle w:val="TableContents"/>
              <w:spacing w:before="0" w:after="0"/>
              <w:jc w:val="center"/>
              <w:rPr>
                <w:rFonts w:ascii="Times New Roman" w:hAnsi="Times New Roman"/>
                <w:b/>
                <w:color w:val="000000"/>
                <w:sz w:val="20"/>
              </w:rPr>
            </w:pPr>
            <w:r>
              <w:rPr>
                <w:rFonts w:ascii="Times New Roman" w:hAnsi="Times New Roman"/>
                <w:b/>
                <w:color w:val="000000"/>
                <w:sz w:val="20"/>
              </w:rPr>
              <w:t>More Past Due</w:t>
            </w:r>
          </w:p>
          <w:p>
            <w:pPr>
              <w:pStyle w:val="TableContents"/>
              <w:spacing w:before="0" w:after="0"/>
              <w:jc w:val="center"/>
              <w:rPr>
                <w:rFonts w:ascii="Times New Roman" w:hAnsi="Times New Roman"/>
                <w:b/>
                <w:color w:val="000000"/>
                <w:sz w:val="20"/>
              </w:rPr>
            </w:pPr>
            <w:r>
              <w:rPr>
                <w:rFonts w:ascii="Times New Roman" w:hAnsi="Times New Roman"/>
                <w:b/>
                <w:color w:val="000000"/>
                <w:sz w:val="20"/>
              </w:rPr>
              <w:t>and Still</w:t>
            </w:r>
          </w:p>
          <w:p>
            <w:pPr>
              <w:pStyle w:val="TableContents"/>
              <w:spacing w:before="0" w:after="0"/>
              <w:jc w:val="center"/>
              <w:rPr>
                <w:rFonts w:ascii="Times New Roman" w:hAnsi="Times New Roman"/>
                <w:b/>
                <w:color w:val="000000"/>
                <w:sz w:val="20"/>
              </w:rPr>
            </w:pPr>
            <w:r>
              <w:rPr>
                <w:rFonts w:ascii="Times New Roman" w:hAnsi="Times New Roman"/>
                <w:b/>
                <w:color w:val="000000"/>
                <w:sz w:val="20"/>
              </w:rPr>
              <w:t>Accruing</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01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20"/>
              </w:rPr>
            </w:pPr>
            <w:r>
              <w:rPr>
                <w:rFonts w:ascii="Times New Roman" w:hAnsi="Times New Roman"/>
                <w:b/>
                <w:color w:val="000000"/>
                <w:sz w:val="20"/>
              </w:rPr>
              <w:t>Nonaccrual</w:t>
            </w:r>
          </w:p>
        </w:tc>
        <w:tc>
          <w:tcPr>
            <w:tcW w:w="75" w:type="dxa"/>
            <w:tcBorders/>
            <w:shd w:fill="auto" w:val="clear"/>
            <w:vAlign w:val="bottom"/>
          </w:tcPr>
          <w:p>
            <w:pPr>
              <w:pStyle w:val="TableContents"/>
              <w:spacing w:before="0" w:after="283"/>
              <w:jc w:val="left"/>
              <w:rPr/>
            </w:pPr>
            <w:r>
              <w:rPr/>
              <w:t> </w:t>
            </w:r>
          </w:p>
        </w:tc>
      </w:tr>
      <w:tr>
        <w:trPr/>
        <w:tc>
          <w:tcPr>
            <w:tcW w:w="2090" w:type="dxa"/>
            <w:tcBorders/>
            <w:shd w:fill="auto" w:val="clear"/>
            <w:vAlign w:val="bottom"/>
          </w:tcPr>
          <w:p>
            <w:pPr>
              <w:pStyle w:val="TableContents"/>
              <w:spacing w:before="0" w:after="0"/>
              <w:jc w:val="left"/>
              <w:rPr>
                <w:rFonts w:ascii="Times New Roman" w:hAnsi="Times New Roman"/>
                <w:color w:val="000000"/>
                <w:sz w:val="20"/>
                <w:u w:val="single"/>
              </w:rPr>
            </w:pPr>
            <w:r>
              <w:rPr>
                <w:rFonts w:ascii="Times New Roman" w:hAnsi="Times New Roman"/>
                <w:color w:val="000000"/>
                <w:sz w:val="20"/>
                <w:u w:val="single"/>
              </w:rPr>
              <w:t>March 31, 2023</w:t>
            </w:r>
          </w:p>
        </w:tc>
        <w:tc>
          <w:tcPr>
            <w:tcW w:w="60" w:type="dxa"/>
            <w:tcBorders/>
            <w:shd w:fill="auto" w:val="clear"/>
            <w:vAlign w:val="bottom"/>
          </w:tcPr>
          <w:p>
            <w:pPr>
              <w:pStyle w:val="TableContents"/>
              <w:spacing w:before="0" w:after="283"/>
              <w:rPr/>
            </w:pPr>
            <w:r>
              <w:rPr/>
              <w:t> </w:t>
            </w:r>
          </w:p>
        </w:tc>
        <w:tc>
          <w:tcPr>
            <w:tcW w:w="964"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64"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010"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jc w:val="left"/>
              <w:rPr/>
            </w:pPr>
            <w:r>
              <w:rPr/>
              <w:t> </w:t>
            </w:r>
          </w:p>
        </w:tc>
      </w:tr>
      <w:tr>
        <w:trPr/>
        <w:tc>
          <w:tcPr>
            <w:tcW w:w="2090"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Commercial real estate</w:t>
            </w:r>
          </w:p>
        </w:tc>
        <w:tc>
          <w:tcPr>
            <w:tcW w:w="60" w:type="dxa"/>
            <w:tcBorders/>
            <w:shd w:fill="CCEEFF" w:val="clear"/>
            <w:vAlign w:val="bottom"/>
          </w:tcPr>
          <w:p>
            <w:pPr>
              <w:pStyle w:val="TableContents"/>
              <w:spacing w:before="0" w:after="283"/>
              <w:jc w:val="right"/>
              <w:rPr/>
            </w:pPr>
            <w:r>
              <w:rPr/>
              <w:t> </w:t>
            </w:r>
          </w:p>
        </w:tc>
        <w:tc>
          <w:tcPr>
            <w:tcW w:w="311"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53"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409"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855"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327"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83" w:type="dxa"/>
            <w:tcBorders/>
            <w:shd w:fill="CCEEFF" w:val="clear"/>
            <w:vAlign w:val="bottom"/>
          </w:tcPr>
          <w:p>
            <w:pPr>
              <w:pStyle w:val="TableContents"/>
              <w:spacing w:before="0" w:after="0"/>
              <w:jc w:val="right"/>
              <w:rPr>
                <w:color w:val="000000"/>
              </w:rPr>
            </w:pPr>
            <w:r>
              <w:rPr>
                <w:color w:val="000000"/>
              </w:rPr>
              <w:t>—</w:t>
            </w:r>
          </w:p>
        </w:tc>
        <w:tc>
          <w:tcPr>
            <w:tcW w:w="75" w:type="dxa"/>
            <w:tcBorders/>
            <w:shd w:fill="CCEEFF" w:val="clear"/>
            <w:vAlign w:val="bottom"/>
          </w:tcPr>
          <w:p>
            <w:pPr>
              <w:pStyle w:val="TableContents"/>
              <w:spacing w:before="0" w:after="283"/>
              <w:jc w:val="left"/>
              <w:rPr/>
            </w:pPr>
            <w:r>
              <w:rPr/>
              <w:t> </w:t>
            </w:r>
          </w:p>
        </w:tc>
      </w:tr>
      <w:tr>
        <w:trPr/>
        <w:tc>
          <w:tcPr>
            <w:tcW w:w="2090" w:type="dxa"/>
            <w:tcBorders/>
            <w:shd w:fill="auto"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Commercial - specialized</w:t>
            </w:r>
          </w:p>
        </w:tc>
        <w:tc>
          <w:tcPr>
            <w:tcW w:w="60" w:type="dxa"/>
            <w:tcBorders/>
            <w:shd w:fill="auto" w:val="clear"/>
            <w:vAlign w:val="bottom"/>
          </w:tcPr>
          <w:p>
            <w:pPr>
              <w:pStyle w:val="TableContents"/>
              <w:spacing w:before="0" w:after="283"/>
              <w:jc w:val="right"/>
              <w:rPr/>
            </w:pPr>
            <w:r>
              <w:rPr/>
              <w:t> </w:t>
            </w:r>
          </w:p>
        </w:tc>
        <w:tc>
          <w:tcPr>
            <w:tcW w:w="311" w:type="dxa"/>
            <w:tcBorders/>
            <w:shd w:fill="auto" w:val="clear"/>
            <w:vAlign w:val="bottom"/>
          </w:tcPr>
          <w:p>
            <w:pPr>
              <w:pStyle w:val="TableContents"/>
              <w:spacing w:before="0" w:after="283"/>
              <w:jc w:val="left"/>
              <w:rPr/>
            </w:pPr>
            <w:r>
              <w:rPr/>
              <w:t> </w:t>
            </w:r>
          </w:p>
        </w:tc>
        <w:tc>
          <w:tcPr>
            <w:tcW w:w="653" w:type="dxa"/>
            <w:tcBorders/>
            <w:shd w:fill="auto" w:val="cle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409" w:type="dxa"/>
            <w:tcBorders/>
            <w:shd w:fill="auto" w:val="clear"/>
            <w:vAlign w:val="bottom"/>
          </w:tcPr>
          <w:p>
            <w:pPr>
              <w:pStyle w:val="TableContents"/>
              <w:spacing w:before="0" w:after="283"/>
              <w:jc w:val="left"/>
              <w:rPr/>
            </w:pPr>
            <w:r>
              <w:rPr/>
              <w:t> </w:t>
            </w:r>
          </w:p>
        </w:tc>
        <w:tc>
          <w:tcPr>
            <w:tcW w:w="855" w:type="dxa"/>
            <w:tcBorders/>
            <w:shd w:fill="auto" w:val="cle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327" w:type="dxa"/>
            <w:tcBorders/>
            <w:shd w:fill="auto" w:val="clear"/>
            <w:vAlign w:val="bottom"/>
          </w:tcPr>
          <w:p>
            <w:pPr>
              <w:pStyle w:val="TableContents"/>
              <w:spacing w:before="0" w:after="283"/>
              <w:jc w:val="left"/>
              <w:rPr/>
            </w:pPr>
            <w:r>
              <w:rPr/>
              <w:t> </w:t>
            </w:r>
          </w:p>
        </w:tc>
        <w:tc>
          <w:tcPr>
            <w:tcW w:w="683" w:type="dxa"/>
            <w:tcBorders/>
            <w:shd w:fill="auto" w:val="clear"/>
            <w:vAlign w:val="bottom"/>
          </w:tcPr>
          <w:p>
            <w:pPr>
              <w:pStyle w:val="TableContents"/>
              <w:spacing w:before="0" w:after="0"/>
              <w:jc w:val="right"/>
              <w:rPr>
                <w:color w:val="000000"/>
              </w:rPr>
            </w:pPr>
            <w:r>
              <w:rPr>
                <w:color w:val="000000"/>
              </w:rPr>
              <w:t>—</w:t>
            </w:r>
          </w:p>
        </w:tc>
        <w:tc>
          <w:tcPr>
            <w:tcW w:w="75" w:type="dxa"/>
            <w:tcBorders/>
            <w:shd w:fill="auto" w:val="clear"/>
            <w:vAlign w:val="bottom"/>
          </w:tcPr>
          <w:p>
            <w:pPr>
              <w:pStyle w:val="TableContents"/>
              <w:spacing w:before="0" w:after="283"/>
              <w:jc w:val="left"/>
              <w:rPr/>
            </w:pPr>
            <w:r>
              <w:rPr/>
              <w:t> </w:t>
            </w:r>
          </w:p>
        </w:tc>
      </w:tr>
      <w:tr>
        <w:trPr/>
        <w:tc>
          <w:tcPr>
            <w:tcW w:w="2090"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Commercial - general</w:t>
            </w:r>
          </w:p>
        </w:tc>
        <w:tc>
          <w:tcPr>
            <w:tcW w:w="60" w:type="dxa"/>
            <w:tcBorders/>
            <w:shd w:fill="CCEEFF" w:val="clear"/>
            <w:vAlign w:val="bottom"/>
          </w:tcPr>
          <w:p>
            <w:pPr>
              <w:pStyle w:val="TableContents"/>
              <w:spacing w:before="0" w:after="283"/>
              <w:jc w:val="right"/>
              <w:rPr/>
            </w:pPr>
            <w:r>
              <w:rPr/>
              <w:t> </w:t>
            </w:r>
          </w:p>
        </w:tc>
        <w:tc>
          <w:tcPr>
            <w:tcW w:w="311" w:type="dxa"/>
            <w:tcBorders/>
            <w:shd w:fill="CCEEFF" w:val="clear"/>
            <w:vAlign w:val="bottom"/>
          </w:tcPr>
          <w:p>
            <w:pPr>
              <w:pStyle w:val="TableContents"/>
              <w:spacing w:before="0" w:after="283"/>
              <w:jc w:val="left"/>
              <w:rPr/>
            </w:pPr>
            <w:r>
              <w:rPr/>
              <w:t> </w:t>
            </w:r>
          </w:p>
        </w:tc>
        <w:tc>
          <w:tcPr>
            <w:tcW w:w="653"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409" w:type="dxa"/>
            <w:tcBorders/>
            <w:shd w:fill="CCEEFF" w:val="clear"/>
            <w:vAlign w:val="bottom"/>
          </w:tcPr>
          <w:p>
            <w:pPr>
              <w:pStyle w:val="TableContents"/>
              <w:spacing w:before="0" w:after="283"/>
              <w:jc w:val="left"/>
              <w:rPr/>
            </w:pPr>
            <w:r>
              <w:rPr/>
              <w:t> </w:t>
            </w:r>
          </w:p>
        </w:tc>
        <w:tc>
          <w:tcPr>
            <w:tcW w:w="855"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327" w:type="dxa"/>
            <w:tcBorders/>
            <w:shd w:fill="CCEEFF" w:val="clear"/>
            <w:vAlign w:val="bottom"/>
          </w:tcPr>
          <w:p>
            <w:pPr>
              <w:pStyle w:val="TableContents"/>
              <w:spacing w:before="0" w:after="283"/>
              <w:jc w:val="left"/>
              <w:rPr/>
            </w:pPr>
            <w:r>
              <w:rPr/>
              <w:t> </w:t>
            </w:r>
          </w:p>
        </w:tc>
        <w:tc>
          <w:tcPr>
            <w:tcW w:w="683" w:type="dxa"/>
            <w:tcBorders/>
            <w:shd w:fill="CCEEFF" w:val="clear"/>
            <w:vAlign w:val="bottom"/>
          </w:tcPr>
          <w:p>
            <w:pPr>
              <w:pStyle w:val="TableContents"/>
              <w:spacing w:before="0" w:after="0"/>
              <w:jc w:val="right"/>
              <w:rPr>
                <w:color w:val="000000"/>
              </w:rPr>
            </w:pPr>
            <w:r>
              <w:rPr>
                <w:color w:val="000000"/>
              </w:rPr>
              <w:t>—</w:t>
            </w:r>
          </w:p>
        </w:tc>
        <w:tc>
          <w:tcPr>
            <w:tcW w:w="75" w:type="dxa"/>
            <w:tcBorders/>
            <w:shd w:fill="CCEEFF" w:val="clear"/>
            <w:vAlign w:val="bottom"/>
          </w:tcPr>
          <w:p>
            <w:pPr>
              <w:pStyle w:val="TableContents"/>
              <w:spacing w:before="0" w:after="283"/>
              <w:jc w:val="left"/>
              <w:rPr/>
            </w:pPr>
            <w:r>
              <w:rPr/>
              <w:t> </w:t>
            </w:r>
          </w:p>
        </w:tc>
      </w:tr>
      <w:tr>
        <w:trPr/>
        <w:tc>
          <w:tcPr>
            <w:tcW w:w="2090" w:type="dxa"/>
            <w:tcBorders/>
            <w:shd w:fill="auto"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Consumer:</w:t>
            </w:r>
          </w:p>
        </w:tc>
        <w:tc>
          <w:tcPr>
            <w:tcW w:w="60" w:type="dxa"/>
            <w:tcBorders/>
            <w:shd w:fill="auto" w:val="clear"/>
            <w:vAlign w:val="bottom"/>
          </w:tcPr>
          <w:p>
            <w:pPr>
              <w:pStyle w:val="TableContents"/>
              <w:spacing w:before="0" w:after="283"/>
              <w:jc w:val="right"/>
              <w:rPr/>
            </w:pPr>
            <w:r>
              <w:rPr/>
              <w:t> </w:t>
            </w:r>
          </w:p>
        </w:tc>
        <w:tc>
          <w:tcPr>
            <w:tcW w:w="311" w:type="dxa"/>
            <w:tcBorders/>
            <w:shd w:fill="auto" w:val="clear"/>
            <w:vAlign w:val="bottom"/>
          </w:tcPr>
          <w:p>
            <w:pPr>
              <w:pStyle w:val="TableContents"/>
              <w:spacing w:before="0" w:after="283"/>
              <w:jc w:val="left"/>
              <w:rPr/>
            </w:pPr>
            <w:r>
              <w:rPr/>
              <w:t> </w:t>
            </w:r>
          </w:p>
        </w:tc>
        <w:tc>
          <w:tcPr>
            <w:tcW w:w="653"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409" w:type="dxa"/>
            <w:tcBorders/>
            <w:shd w:fill="auto" w:val="clear"/>
            <w:vAlign w:val="bottom"/>
          </w:tcPr>
          <w:p>
            <w:pPr>
              <w:pStyle w:val="TableContents"/>
              <w:spacing w:before="0" w:after="283"/>
              <w:jc w:val="left"/>
              <w:rPr/>
            </w:pPr>
            <w:r>
              <w:rPr/>
              <w:t> </w:t>
            </w:r>
          </w:p>
        </w:tc>
        <w:tc>
          <w:tcPr>
            <w:tcW w:w="85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327" w:type="dxa"/>
            <w:tcBorders/>
            <w:shd w:fill="auto" w:val="clear"/>
            <w:vAlign w:val="bottom"/>
          </w:tcPr>
          <w:p>
            <w:pPr>
              <w:pStyle w:val="TableContents"/>
              <w:spacing w:before="0" w:after="283"/>
              <w:jc w:val="left"/>
              <w:rPr/>
            </w:pPr>
            <w:r>
              <w:rPr/>
              <w:t> </w:t>
            </w:r>
          </w:p>
        </w:tc>
        <w:tc>
          <w:tcPr>
            <w:tcW w:w="683" w:type="dxa"/>
            <w:tcBorders/>
            <w:shd w:fill="auto" w:val="clear"/>
            <w:vAlign w:val="bottom"/>
          </w:tcPr>
          <w:p>
            <w:pPr>
              <w:pStyle w:val="TableContents"/>
              <w:spacing w:before="0" w:after="283"/>
              <w:jc w:val="right"/>
              <w:rPr/>
            </w:pPr>
            <w:r>
              <w:rPr/>
              <w:t> </w:t>
            </w:r>
          </w:p>
        </w:tc>
        <w:tc>
          <w:tcPr>
            <w:tcW w:w="75" w:type="dxa"/>
            <w:tcBorders/>
            <w:shd w:fill="auto" w:val="clear"/>
            <w:vAlign w:val="bottom"/>
          </w:tcPr>
          <w:p>
            <w:pPr>
              <w:pStyle w:val="TableContents"/>
              <w:spacing w:before="0" w:after="283"/>
              <w:jc w:val="left"/>
              <w:rPr/>
            </w:pPr>
            <w:r>
              <w:rPr/>
              <w:t> </w:t>
            </w:r>
          </w:p>
        </w:tc>
      </w:tr>
      <w:tr>
        <w:trPr/>
        <w:tc>
          <w:tcPr>
            <w:tcW w:w="2090" w:type="dxa"/>
            <w:tcBorders/>
            <w:shd w:fill="CCEEFF" w:val="clear"/>
            <w:vAlign w:val="bottom"/>
          </w:tcPr>
          <w:p>
            <w:pPr>
              <w:pStyle w:val="TableContents"/>
              <w:spacing w:before="0" w:after="0"/>
              <w:ind w:left="180" w:right="0" w:hanging="0"/>
              <w:jc w:val="left"/>
              <w:rPr>
                <w:rFonts w:ascii="Times New Roman" w:hAnsi="Times New Roman"/>
                <w:color w:val="000000"/>
                <w:sz w:val="20"/>
              </w:rPr>
            </w:pPr>
            <w:r>
              <w:rPr>
                <w:rFonts w:ascii="Times New Roman" w:hAnsi="Times New Roman"/>
                <w:color w:val="000000"/>
                <w:sz w:val="20"/>
              </w:rPr>
              <w:t>1-4 Family residential</w:t>
            </w:r>
          </w:p>
        </w:tc>
        <w:tc>
          <w:tcPr>
            <w:tcW w:w="60" w:type="dxa"/>
            <w:tcBorders/>
            <w:shd w:fill="CCEEFF" w:val="clear"/>
            <w:vAlign w:val="bottom"/>
          </w:tcPr>
          <w:p>
            <w:pPr>
              <w:pStyle w:val="TableContents"/>
              <w:spacing w:before="0" w:after="283"/>
              <w:jc w:val="right"/>
              <w:rPr/>
            </w:pPr>
            <w:r>
              <w:rPr/>
              <w:t> </w:t>
            </w:r>
          </w:p>
        </w:tc>
        <w:tc>
          <w:tcPr>
            <w:tcW w:w="311" w:type="dxa"/>
            <w:tcBorders/>
            <w:shd w:fill="CCEEFF" w:val="clear"/>
            <w:vAlign w:val="bottom"/>
          </w:tcPr>
          <w:p>
            <w:pPr>
              <w:pStyle w:val="TableContents"/>
              <w:spacing w:before="0" w:after="283"/>
              <w:jc w:val="left"/>
              <w:rPr/>
            </w:pPr>
            <w:r>
              <w:rPr/>
              <w:t> </w:t>
            </w:r>
          </w:p>
        </w:tc>
        <w:tc>
          <w:tcPr>
            <w:tcW w:w="653"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409" w:type="dxa"/>
            <w:tcBorders/>
            <w:shd w:fill="CCEEFF" w:val="clear"/>
            <w:vAlign w:val="bottom"/>
          </w:tcPr>
          <w:p>
            <w:pPr>
              <w:pStyle w:val="TableContents"/>
              <w:spacing w:before="0" w:after="283"/>
              <w:jc w:val="left"/>
              <w:rPr/>
            </w:pPr>
            <w:r>
              <w:rPr/>
              <w:t> </w:t>
            </w:r>
          </w:p>
        </w:tc>
        <w:tc>
          <w:tcPr>
            <w:tcW w:w="855"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327" w:type="dxa"/>
            <w:tcBorders/>
            <w:shd w:fill="CCEEFF" w:val="clear"/>
            <w:vAlign w:val="bottom"/>
          </w:tcPr>
          <w:p>
            <w:pPr>
              <w:pStyle w:val="TableContents"/>
              <w:spacing w:before="0" w:after="283"/>
              <w:jc w:val="left"/>
              <w:rPr/>
            </w:pPr>
            <w:r>
              <w:rPr/>
              <w:t> </w:t>
            </w:r>
          </w:p>
        </w:tc>
        <w:tc>
          <w:tcPr>
            <w:tcW w:w="683" w:type="dxa"/>
            <w:tcBorders/>
            <w:shd w:fill="CCEEFF" w:val="clear"/>
            <w:vAlign w:val="bottom"/>
          </w:tcPr>
          <w:p>
            <w:pPr>
              <w:pStyle w:val="TableContents"/>
              <w:spacing w:before="0" w:after="0"/>
              <w:jc w:val="right"/>
              <w:rPr>
                <w:color w:val="000000"/>
              </w:rPr>
            </w:pPr>
            <w:r>
              <w:rPr>
                <w:color w:val="000000"/>
              </w:rPr>
              <w:t>—</w:t>
            </w:r>
          </w:p>
        </w:tc>
        <w:tc>
          <w:tcPr>
            <w:tcW w:w="75" w:type="dxa"/>
            <w:tcBorders/>
            <w:shd w:fill="CCEEFF" w:val="clear"/>
            <w:vAlign w:val="bottom"/>
          </w:tcPr>
          <w:p>
            <w:pPr>
              <w:pStyle w:val="TableContents"/>
              <w:spacing w:before="0" w:after="283"/>
              <w:jc w:val="left"/>
              <w:rPr/>
            </w:pPr>
            <w:r>
              <w:rPr/>
              <w:t> </w:t>
            </w:r>
          </w:p>
        </w:tc>
      </w:tr>
      <w:tr>
        <w:trPr/>
        <w:tc>
          <w:tcPr>
            <w:tcW w:w="2090" w:type="dxa"/>
            <w:tcBorders/>
            <w:shd w:fill="auto" w:val="clear"/>
            <w:vAlign w:val="bottom"/>
          </w:tcPr>
          <w:p>
            <w:pPr>
              <w:pStyle w:val="TableContents"/>
              <w:spacing w:before="0" w:after="0"/>
              <w:ind w:left="180" w:right="0" w:hanging="0"/>
              <w:jc w:val="left"/>
              <w:rPr>
                <w:rFonts w:ascii="Times New Roman" w:hAnsi="Times New Roman"/>
                <w:color w:val="000000"/>
                <w:sz w:val="20"/>
              </w:rPr>
            </w:pPr>
            <w:r>
              <w:rPr>
                <w:rFonts w:ascii="Times New Roman" w:hAnsi="Times New Roman"/>
                <w:color w:val="000000"/>
                <w:sz w:val="20"/>
              </w:rPr>
              <w:t>Auto loans</w:t>
            </w:r>
          </w:p>
        </w:tc>
        <w:tc>
          <w:tcPr>
            <w:tcW w:w="60" w:type="dxa"/>
            <w:tcBorders/>
            <w:shd w:fill="auto" w:val="clear"/>
            <w:vAlign w:val="bottom"/>
          </w:tcPr>
          <w:p>
            <w:pPr>
              <w:pStyle w:val="TableContents"/>
              <w:spacing w:before="0" w:after="283"/>
              <w:jc w:val="right"/>
              <w:rPr/>
            </w:pPr>
            <w:r>
              <w:rPr/>
              <w:t> </w:t>
            </w:r>
          </w:p>
        </w:tc>
        <w:tc>
          <w:tcPr>
            <w:tcW w:w="311" w:type="dxa"/>
            <w:tcBorders/>
            <w:shd w:fill="auto" w:val="clear"/>
            <w:vAlign w:val="bottom"/>
          </w:tcPr>
          <w:p>
            <w:pPr>
              <w:pStyle w:val="TableContents"/>
              <w:spacing w:before="0" w:after="283"/>
              <w:jc w:val="left"/>
              <w:rPr/>
            </w:pPr>
            <w:r>
              <w:rPr/>
              <w:t> </w:t>
            </w:r>
          </w:p>
        </w:tc>
        <w:tc>
          <w:tcPr>
            <w:tcW w:w="653"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40</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409" w:type="dxa"/>
            <w:tcBorders/>
            <w:shd w:fill="auto" w:val="clear"/>
            <w:vAlign w:val="bottom"/>
          </w:tcPr>
          <w:p>
            <w:pPr>
              <w:pStyle w:val="TableContents"/>
              <w:spacing w:before="0" w:after="283"/>
              <w:jc w:val="left"/>
              <w:rPr/>
            </w:pPr>
            <w:r>
              <w:rPr/>
              <w:t> </w:t>
            </w:r>
          </w:p>
        </w:tc>
        <w:tc>
          <w:tcPr>
            <w:tcW w:w="855" w:type="dxa"/>
            <w:tcBorders/>
            <w:shd w:fill="auto" w:val="cle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327" w:type="dxa"/>
            <w:tcBorders/>
            <w:shd w:fill="auto" w:val="clear"/>
            <w:vAlign w:val="bottom"/>
          </w:tcPr>
          <w:p>
            <w:pPr>
              <w:pStyle w:val="TableContents"/>
              <w:spacing w:before="0" w:after="283"/>
              <w:jc w:val="left"/>
              <w:rPr/>
            </w:pPr>
            <w:r>
              <w:rPr/>
              <w:t> </w:t>
            </w:r>
          </w:p>
        </w:tc>
        <w:tc>
          <w:tcPr>
            <w:tcW w:w="683" w:type="dxa"/>
            <w:tcBorders/>
            <w:shd w:fill="auto" w:val="clear"/>
            <w:vAlign w:val="bottom"/>
          </w:tcPr>
          <w:p>
            <w:pPr>
              <w:pStyle w:val="TableContents"/>
              <w:spacing w:before="0" w:after="0"/>
              <w:jc w:val="right"/>
              <w:rPr>
                <w:color w:val="000000"/>
              </w:rPr>
            </w:pPr>
            <w:r>
              <w:rPr>
                <w:color w:val="000000"/>
              </w:rPr>
              <w:t>—</w:t>
            </w:r>
          </w:p>
        </w:tc>
        <w:tc>
          <w:tcPr>
            <w:tcW w:w="75" w:type="dxa"/>
            <w:tcBorders/>
            <w:shd w:fill="auto" w:val="clear"/>
            <w:vAlign w:val="bottom"/>
          </w:tcPr>
          <w:p>
            <w:pPr>
              <w:pStyle w:val="TableContents"/>
              <w:spacing w:before="0" w:after="283"/>
              <w:jc w:val="left"/>
              <w:rPr/>
            </w:pPr>
            <w:r>
              <w:rPr/>
              <w:t> </w:t>
            </w:r>
          </w:p>
        </w:tc>
      </w:tr>
      <w:tr>
        <w:trPr/>
        <w:tc>
          <w:tcPr>
            <w:tcW w:w="2090" w:type="dxa"/>
            <w:tcBorders/>
            <w:shd w:fill="CCEEFF" w:val="clear"/>
            <w:vAlign w:val="bottom"/>
          </w:tcPr>
          <w:p>
            <w:pPr>
              <w:pStyle w:val="TableContents"/>
              <w:spacing w:before="0" w:after="0"/>
              <w:ind w:left="180" w:right="0" w:hanging="0"/>
              <w:jc w:val="left"/>
              <w:rPr>
                <w:rFonts w:ascii="Times New Roman" w:hAnsi="Times New Roman"/>
                <w:color w:val="000000"/>
                <w:sz w:val="20"/>
              </w:rPr>
            </w:pPr>
            <w:r>
              <w:rPr>
                <w:rFonts w:ascii="Times New Roman" w:hAnsi="Times New Roman"/>
                <w:color w:val="000000"/>
                <w:sz w:val="20"/>
              </w:rPr>
              <w:t>Other consumer</w:t>
            </w:r>
          </w:p>
        </w:tc>
        <w:tc>
          <w:tcPr>
            <w:tcW w:w="60" w:type="dxa"/>
            <w:tcBorders/>
            <w:shd w:fill="CCEEFF" w:val="clear"/>
            <w:vAlign w:val="bottom"/>
          </w:tcPr>
          <w:p>
            <w:pPr>
              <w:pStyle w:val="TableContents"/>
              <w:spacing w:before="0" w:after="283"/>
              <w:jc w:val="right"/>
              <w:rPr/>
            </w:pPr>
            <w:r>
              <w:rPr/>
              <w:t> </w:t>
            </w:r>
          </w:p>
        </w:tc>
        <w:tc>
          <w:tcPr>
            <w:tcW w:w="311" w:type="dxa"/>
            <w:tcBorders/>
            <w:shd w:fill="CCEEFF" w:val="clear"/>
            <w:vAlign w:val="bottom"/>
          </w:tcPr>
          <w:p>
            <w:pPr>
              <w:pStyle w:val="TableContents"/>
              <w:spacing w:before="0" w:after="283"/>
              <w:jc w:val="left"/>
              <w:rPr/>
            </w:pPr>
            <w:r>
              <w:rPr/>
              <w:t> </w:t>
            </w:r>
          </w:p>
        </w:tc>
        <w:tc>
          <w:tcPr>
            <w:tcW w:w="653"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409" w:type="dxa"/>
            <w:tcBorders/>
            <w:shd w:fill="CCEEFF" w:val="clear"/>
            <w:vAlign w:val="bottom"/>
          </w:tcPr>
          <w:p>
            <w:pPr>
              <w:pStyle w:val="TableContents"/>
              <w:spacing w:before="0" w:after="283"/>
              <w:jc w:val="left"/>
              <w:rPr/>
            </w:pPr>
            <w:r>
              <w:rPr/>
              <w:t> </w:t>
            </w:r>
          </w:p>
        </w:tc>
        <w:tc>
          <w:tcPr>
            <w:tcW w:w="855"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327" w:type="dxa"/>
            <w:tcBorders/>
            <w:shd w:fill="CCEEFF" w:val="clear"/>
            <w:vAlign w:val="bottom"/>
          </w:tcPr>
          <w:p>
            <w:pPr>
              <w:pStyle w:val="TableContents"/>
              <w:spacing w:before="0" w:after="283"/>
              <w:jc w:val="left"/>
              <w:rPr/>
            </w:pPr>
            <w:r>
              <w:rPr/>
              <w:t> </w:t>
            </w:r>
          </w:p>
        </w:tc>
        <w:tc>
          <w:tcPr>
            <w:tcW w:w="683" w:type="dxa"/>
            <w:tcBorders/>
            <w:shd w:fill="CCEEFF" w:val="clear"/>
            <w:vAlign w:val="bottom"/>
          </w:tcPr>
          <w:p>
            <w:pPr>
              <w:pStyle w:val="TableContents"/>
              <w:spacing w:before="0" w:after="0"/>
              <w:jc w:val="right"/>
              <w:rPr>
                <w:color w:val="000000"/>
              </w:rPr>
            </w:pPr>
            <w:r>
              <w:rPr>
                <w:color w:val="000000"/>
              </w:rPr>
              <w:t>—</w:t>
            </w:r>
          </w:p>
        </w:tc>
        <w:tc>
          <w:tcPr>
            <w:tcW w:w="75" w:type="dxa"/>
            <w:tcBorders/>
            <w:shd w:fill="CCEEFF" w:val="clear"/>
            <w:vAlign w:val="bottom"/>
          </w:tcPr>
          <w:p>
            <w:pPr>
              <w:pStyle w:val="TableContents"/>
              <w:spacing w:before="0" w:after="283"/>
              <w:jc w:val="left"/>
              <w:rPr/>
            </w:pPr>
            <w:r>
              <w:rPr/>
              <w:t> </w:t>
            </w:r>
          </w:p>
        </w:tc>
      </w:tr>
      <w:tr>
        <w:trPr/>
        <w:tc>
          <w:tcPr>
            <w:tcW w:w="2090" w:type="dxa"/>
            <w:tcBorders/>
            <w:shd w:fill="auto"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Construction</w:t>
            </w:r>
          </w:p>
        </w:tc>
        <w:tc>
          <w:tcPr>
            <w:tcW w:w="60" w:type="dxa"/>
            <w:tcBorders/>
            <w:shd w:fill="auto" w:val="clear"/>
            <w:vAlign w:val="bottom"/>
          </w:tcPr>
          <w:p>
            <w:pPr>
              <w:pStyle w:val="TableContents"/>
              <w:spacing w:before="0" w:after="283"/>
              <w:jc w:val="right"/>
              <w:rPr/>
            </w:pPr>
            <w:r>
              <w:rPr/>
              <w:t> </w:t>
            </w:r>
          </w:p>
        </w:tc>
        <w:tc>
          <w:tcPr>
            <w:tcW w:w="311"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53"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409"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855"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327"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683"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75" w:type="dxa"/>
            <w:tcBorders/>
            <w:shd w:fill="auto" w:val="clear"/>
            <w:vAlign w:val="bottom"/>
          </w:tcPr>
          <w:p>
            <w:pPr>
              <w:pStyle w:val="TableContents"/>
              <w:spacing w:before="0" w:after="283"/>
              <w:jc w:val="left"/>
              <w:rPr/>
            </w:pPr>
            <w:r>
              <w:rPr/>
              <w:t> </w:t>
            </w:r>
          </w:p>
        </w:tc>
      </w:tr>
      <w:tr>
        <w:trPr/>
        <w:tc>
          <w:tcPr>
            <w:tcW w:w="2090" w:type="dxa"/>
            <w:tcBorders/>
            <w:shd w:fill="CCEEFF" w:val="clear"/>
            <w:vAlign w:val="bottom"/>
          </w:tcPr>
          <w:p>
            <w:pPr>
              <w:pStyle w:val="TableContents"/>
              <w:spacing w:before="0" w:after="0"/>
              <w:jc w:val="left"/>
              <w:rPr>
                <w:color w:val="000000"/>
              </w:rPr>
            </w:pPr>
            <w:r>
              <w:rPr>
                <w:color w:val="000000"/>
              </w:rPr>
              <w:t> </w:t>
            </w:r>
          </w:p>
        </w:tc>
        <w:tc>
          <w:tcPr>
            <w:tcW w:w="60" w:type="dxa"/>
            <w:tcBorders/>
            <w:shd w:fill="CCEEFF" w:val="clear"/>
            <w:vAlign w:val="bottom"/>
          </w:tcPr>
          <w:p>
            <w:pPr>
              <w:pStyle w:val="TableContents"/>
              <w:spacing w:before="0" w:after="283"/>
              <w:jc w:val="right"/>
              <w:rPr/>
            </w:pPr>
            <w:r>
              <w:rPr/>
              <w:t> </w:t>
            </w:r>
          </w:p>
        </w:tc>
        <w:tc>
          <w:tcPr>
            <w:tcW w:w="311"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53"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40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409"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855"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327"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83"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w:t>
            </w:r>
          </w:p>
        </w:tc>
        <w:tc>
          <w:tcPr>
            <w:tcW w:w="75" w:type="dxa"/>
            <w:tcBorders/>
            <w:shd w:fill="CCEEFF" w:val="clear"/>
            <w:vAlign w:val="bottom"/>
          </w:tcPr>
          <w:p>
            <w:pPr>
              <w:pStyle w:val="TableContents"/>
              <w:spacing w:before="0" w:after="283"/>
              <w:jc w:val="left"/>
              <w:rPr/>
            </w:pPr>
            <w:r>
              <w:rPr/>
              <w:t> </w:t>
            </w:r>
          </w:p>
        </w:tc>
      </w:tr>
    </w:tbl>
    <w:p>
      <w:pPr>
        <w:pStyle w:val="TextBody"/>
        <w:spacing w:before="0" w:after="0"/>
        <w:jc w:val="both"/>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18</w:t>
      </w:r>
    </w:p>
    <w:p>
      <w:pPr>
        <w:pStyle w:val="HorizontalLine"/>
        <w:spacing w:before="200" w:after="200"/>
        <w:jc w:val="both"/>
        <w:rPr/>
      </w:pPr>
      <w:r>
        <w:rPr/>
      </w:r>
    </w:p>
    <w:p>
      <w:pPr>
        <w:pStyle w:val="TextBody"/>
        <w:spacing w:before="200" w:after="200"/>
        <w:jc w:val="both"/>
        <w:rPr/>
      </w:pPr>
      <w:hyperlink w:anchor="TABLEOFCONTENTS">
        <w:r>
          <w:rPr>
            <w:rStyle w:val="InternetLink"/>
            <w:rFonts w:ascii="Times New Roman" w:hAnsi="Times New Roman"/>
            <w:b w:val="false"/>
            <w:i/>
            <w:color w:val="000000"/>
            <w:sz w:val="16"/>
          </w:rPr>
          <w:t>Table of Contents</w:t>
        </w:r>
      </w:hyperlink>
    </w:p>
    <w:p>
      <w:pPr>
        <w:pStyle w:val="TextBody"/>
        <w:spacing w:before="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following table presents the financial effects of the loan modifications presented above to borrowers experiencing financial difficulty for the three months ended March 31, 2023 (dollars in thousands): </w:t>
      </w:r>
    </w:p>
    <w:p>
      <w:pPr>
        <w:pStyle w:val="TextBody"/>
        <w:spacing w:before="0" w:after="0"/>
        <w:ind w:left="0" w:right="0" w:hanging="0"/>
        <w:jc w:val="both"/>
        <w:rPr>
          <w:rFonts w:ascii="Times New Roman" w:hAnsi="Times New Roman"/>
        </w:rPr>
      </w:pPr>
      <w:r>
        <w:rPr>
          <w:rFonts w:ascii="Times New Roman" w:hAnsi="Times New Roman"/>
        </w:rPr>
      </w:r>
    </w:p>
    <w:tbl>
      <w:tblPr>
        <w:tblW w:w="5678" w:type="dxa"/>
        <w:jc w:val="left"/>
        <w:tblInd w:w="0" w:type="dxa"/>
        <w:tblCellMar>
          <w:top w:w="0" w:type="dxa"/>
          <w:left w:w="0" w:type="dxa"/>
          <w:bottom w:w="0" w:type="dxa"/>
          <w:right w:w="0" w:type="dxa"/>
        </w:tblCellMar>
      </w:tblPr>
      <w:tblGrid>
        <w:gridCol w:w="2090"/>
        <w:gridCol w:w="60"/>
        <w:gridCol w:w="337"/>
        <w:gridCol w:w="703"/>
        <w:gridCol w:w="60"/>
        <w:gridCol w:w="60"/>
        <w:gridCol w:w="155"/>
        <w:gridCol w:w="989"/>
        <w:gridCol w:w="185"/>
        <w:gridCol w:w="60"/>
        <w:gridCol w:w="169"/>
        <w:gridCol w:w="735"/>
        <w:gridCol w:w="75"/>
      </w:tblGrid>
      <w:tr>
        <w:trPr/>
        <w:tc>
          <w:tcPr>
            <w:tcW w:w="2090" w:type="dxa"/>
            <w:tcBorders/>
            <w:shd w:fill="auto" w:val="clear"/>
            <w:vAlign w:val="bottom"/>
          </w:tcPr>
          <w:p>
            <w:pPr>
              <w:pStyle w:val="TableContents"/>
              <w:spacing w:before="0" w:after="0"/>
              <w:jc w:val="left"/>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104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20"/>
              </w:rPr>
            </w:pPr>
            <w:r>
              <w:rPr>
                <w:rFonts w:ascii="Times New Roman" w:hAnsi="Times New Roman"/>
                <w:b/>
                <w:color w:val="000000"/>
                <w:sz w:val="20"/>
              </w:rPr>
              <w:t xml:space="preserve">Principal </w:t>
            </w:r>
          </w:p>
          <w:p>
            <w:pPr>
              <w:pStyle w:val="TableContents"/>
              <w:spacing w:before="0" w:after="0"/>
              <w:jc w:val="center"/>
              <w:rPr>
                <w:rFonts w:ascii="Times New Roman" w:hAnsi="Times New Roman"/>
                <w:b/>
                <w:color w:val="000000"/>
                <w:sz w:val="20"/>
              </w:rPr>
            </w:pPr>
            <w:r>
              <w:rPr>
                <w:rFonts w:ascii="Times New Roman" w:hAnsi="Times New Roman"/>
                <w:b/>
                <w:color w:val="000000"/>
                <w:sz w:val="20"/>
              </w:rPr>
              <w:t>Forgiveness</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44"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20"/>
              </w:rPr>
            </w:pPr>
            <w:r>
              <w:rPr>
                <w:rFonts w:ascii="Times New Roman" w:hAnsi="Times New Roman"/>
                <w:b/>
                <w:color w:val="000000"/>
                <w:sz w:val="20"/>
              </w:rPr>
              <w:t>Weighted-</w:t>
            </w:r>
          </w:p>
          <w:p>
            <w:pPr>
              <w:pStyle w:val="TableContents"/>
              <w:spacing w:before="0" w:after="0"/>
              <w:jc w:val="center"/>
              <w:rPr>
                <w:rFonts w:ascii="Times New Roman" w:hAnsi="Times New Roman"/>
                <w:b/>
                <w:color w:val="000000"/>
                <w:sz w:val="20"/>
              </w:rPr>
            </w:pPr>
            <w:r>
              <w:rPr>
                <w:rFonts w:ascii="Times New Roman" w:hAnsi="Times New Roman"/>
                <w:b/>
                <w:color w:val="000000"/>
                <w:sz w:val="20"/>
              </w:rPr>
              <w:t xml:space="preserve">Average </w:t>
            </w:r>
          </w:p>
          <w:p>
            <w:pPr>
              <w:pStyle w:val="TableContents"/>
              <w:spacing w:before="0" w:after="0"/>
              <w:jc w:val="center"/>
              <w:rPr>
                <w:rFonts w:ascii="Times New Roman" w:hAnsi="Times New Roman"/>
                <w:b/>
                <w:color w:val="000000"/>
                <w:sz w:val="20"/>
              </w:rPr>
            </w:pPr>
            <w:r>
              <w:rPr>
                <w:rFonts w:ascii="Times New Roman" w:hAnsi="Times New Roman"/>
                <w:b/>
                <w:color w:val="000000"/>
                <w:sz w:val="20"/>
              </w:rPr>
              <w:t xml:space="preserve">Interest Rate </w:t>
            </w:r>
          </w:p>
          <w:p>
            <w:pPr>
              <w:pStyle w:val="TableContents"/>
              <w:spacing w:before="0" w:after="0"/>
              <w:jc w:val="center"/>
              <w:rPr>
                <w:rFonts w:ascii="Times New Roman" w:hAnsi="Times New Roman"/>
                <w:b/>
                <w:color w:val="000000"/>
                <w:sz w:val="20"/>
              </w:rPr>
            </w:pPr>
            <w:r>
              <w:rPr>
                <w:rFonts w:ascii="Times New Roman" w:hAnsi="Times New Roman"/>
                <w:b/>
                <w:color w:val="000000"/>
                <w:sz w:val="20"/>
              </w:rPr>
              <w:t>Reduction</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04"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20"/>
              </w:rPr>
            </w:pPr>
            <w:r>
              <w:rPr>
                <w:rFonts w:ascii="Times New Roman" w:hAnsi="Times New Roman"/>
                <w:b/>
                <w:color w:val="000000"/>
                <w:sz w:val="20"/>
              </w:rPr>
              <w:t>Weighted-</w:t>
            </w:r>
          </w:p>
          <w:p>
            <w:pPr>
              <w:pStyle w:val="TableContents"/>
              <w:spacing w:before="0" w:after="0"/>
              <w:jc w:val="center"/>
              <w:rPr>
                <w:rFonts w:ascii="Times New Roman" w:hAnsi="Times New Roman"/>
                <w:b/>
                <w:color w:val="000000"/>
                <w:sz w:val="20"/>
              </w:rPr>
            </w:pPr>
            <w:r>
              <w:rPr>
                <w:rFonts w:ascii="Times New Roman" w:hAnsi="Times New Roman"/>
                <w:b/>
                <w:color w:val="000000"/>
                <w:sz w:val="20"/>
              </w:rPr>
              <w:t xml:space="preserve">Average </w:t>
            </w:r>
          </w:p>
          <w:p>
            <w:pPr>
              <w:pStyle w:val="TableContents"/>
              <w:spacing w:before="0" w:after="0"/>
              <w:jc w:val="center"/>
              <w:rPr>
                <w:rFonts w:ascii="Times New Roman" w:hAnsi="Times New Roman"/>
                <w:b/>
                <w:color w:val="000000"/>
                <w:sz w:val="20"/>
              </w:rPr>
            </w:pPr>
            <w:r>
              <w:rPr>
                <w:rFonts w:ascii="Times New Roman" w:hAnsi="Times New Roman"/>
                <w:b/>
                <w:color w:val="000000"/>
                <w:sz w:val="20"/>
              </w:rPr>
              <w:t xml:space="preserve">Term </w:t>
            </w:r>
          </w:p>
          <w:p>
            <w:pPr>
              <w:pStyle w:val="TableContents"/>
              <w:spacing w:before="0" w:after="0"/>
              <w:jc w:val="center"/>
              <w:rPr>
                <w:rFonts w:ascii="Times New Roman" w:hAnsi="Times New Roman"/>
                <w:b/>
                <w:color w:val="000000"/>
                <w:sz w:val="20"/>
              </w:rPr>
            </w:pPr>
            <w:r>
              <w:rPr>
                <w:rFonts w:ascii="Times New Roman" w:hAnsi="Times New Roman"/>
                <w:b/>
                <w:color w:val="000000"/>
                <w:sz w:val="20"/>
              </w:rPr>
              <w:t xml:space="preserve">Extension </w:t>
            </w:r>
          </w:p>
          <w:p>
            <w:pPr>
              <w:pStyle w:val="TableContents"/>
              <w:spacing w:before="0" w:after="0"/>
              <w:jc w:val="center"/>
              <w:rPr>
                <w:rFonts w:ascii="Times New Roman" w:hAnsi="Times New Roman"/>
                <w:b/>
                <w:color w:val="000000"/>
                <w:sz w:val="20"/>
              </w:rPr>
            </w:pPr>
            <w:r>
              <w:rPr>
                <w:rFonts w:ascii="Times New Roman" w:hAnsi="Times New Roman"/>
                <w:b/>
                <w:color w:val="000000"/>
                <w:sz w:val="20"/>
              </w:rPr>
              <w:t>(Months)</w:t>
            </w:r>
          </w:p>
        </w:tc>
        <w:tc>
          <w:tcPr>
            <w:tcW w:w="75" w:type="dxa"/>
            <w:tcBorders/>
            <w:shd w:fill="auto" w:val="clear"/>
            <w:vAlign w:val="bottom"/>
          </w:tcPr>
          <w:p>
            <w:pPr>
              <w:pStyle w:val="TableContents"/>
              <w:spacing w:before="0" w:after="283"/>
              <w:jc w:val="left"/>
              <w:rPr/>
            </w:pPr>
            <w:r>
              <w:rPr/>
              <w:t> </w:t>
            </w:r>
          </w:p>
        </w:tc>
      </w:tr>
      <w:tr>
        <w:trPr/>
        <w:tc>
          <w:tcPr>
            <w:tcW w:w="2090" w:type="dxa"/>
            <w:tcBorders/>
            <w:shd w:fill="auto" w:val="clear"/>
            <w:vAlign w:val="bottom"/>
          </w:tcPr>
          <w:p>
            <w:pPr>
              <w:pStyle w:val="TableContents"/>
              <w:spacing w:before="0" w:after="0"/>
              <w:jc w:val="left"/>
              <w:rPr>
                <w:rFonts w:ascii="Times New Roman" w:hAnsi="Times New Roman"/>
                <w:color w:val="000000"/>
                <w:sz w:val="20"/>
                <w:u w:val="single"/>
              </w:rPr>
            </w:pPr>
            <w:r>
              <w:rPr>
                <w:rFonts w:ascii="Times New Roman" w:hAnsi="Times New Roman"/>
                <w:color w:val="000000"/>
                <w:sz w:val="20"/>
                <w:u w:val="single"/>
              </w:rPr>
              <w:t>March 31, 2023</w:t>
            </w:r>
          </w:p>
        </w:tc>
        <w:tc>
          <w:tcPr>
            <w:tcW w:w="60" w:type="dxa"/>
            <w:tcBorders/>
            <w:shd w:fill="auto" w:val="clear"/>
            <w:vAlign w:val="bottom"/>
          </w:tcPr>
          <w:p>
            <w:pPr>
              <w:pStyle w:val="TableContents"/>
              <w:spacing w:before="0" w:after="283"/>
              <w:rPr/>
            </w:pPr>
            <w:r>
              <w:rPr/>
              <w:t> </w:t>
            </w:r>
          </w:p>
        </w:tc>
        <w:tc>
          <w:tcPr>
            <w:tcW w:w="104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44" w:type="dxa"/>
            <w:gridSpan w:val="2"/>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04"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jc w:val="left"/>
              <w:rPr/>
            </w:pPr>
            <w:r>
              <w:rPr/>
              <w:t> </w:t>
            </w:r>
          </w:p>
        </w:tc>
      </w:tr>
      <w:tr>
        <w:trPr/>
        <w:tc>
          <w:tcPr>
            <w:tcW w:w="2090"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Commercial real estate</w:t>
            </w:r>
          </w:p>
        </w:tc>
        <w:tc>
          <w:tcPr>
            <w:tcW w:w="60" w:type="dxa"/>
            <w:tcBorders/>
            <w:shd w:fill="CCEEFF" w:val="clear"/>
            <w:vAlign w:val="bottom"/>
          </w:tcPr>
          <w:p>
            <w:pPr>
              <w:pStyle w:val="TableContents"/>
              <w:spacing w:before="0" w:after="283"/>
              <w:jc w:val="right"/>
              <w:rPr/>
            </w:pPr>
            <w:r>
              <w:rPr/>
              <w:t> </w:t>
            </w:r>
          </w:p>
        </w:tc>
        <w:tc>
          <w:tcPr>
            <w:tcW w:w="337"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703"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jc w:val="left"/>
              <w:rPr/>
            </w:pPr>
            <w:r>
              <w:rPr/>
              <w:t> </w:t>
            </w:r>
          </w:p>
        </w:tc>
        <w:tc>
          <w:tcPr>
            <w:tcW w:w="989"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0.00</w:t>
            </w:r>
          </w:p>
        </w:tc>
        <w:tc>
          <w:tcPr>
            <w:tcW w:w="185"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spacing w:before="0" w:after="283"/>
              <w:jc w:val="right"/>
              <w:rPr/>
            </w:pPr>
            <w:r>
              <w:rPr/>
              <w:t> </w:t>
            </w:r>
          </w:p>
        </w:tc>
        <w:tc>
          <w:tcPr>
            <w:tcW w:w="169" w:type="dxa"/>
            <w:tcBorders/>
            <w:shd w:fill="CCEEFF" w:val="clear"/>
            <w:vAlign w:val="bottom"/>
          </w:tcPr>
          <w:p>
            <w:pPr>
              <w:pStyle w:val="TableContents"/>
              <w:spacing w:before="0" w:after="283"/>
              <w:jc w:val="left"/>
              <w:rPr/>
            </w:pPr>
            <w:r>
              <w:rPr/>
              <w:t> </w:t>
            </w:r>
          </w:p>
        </w:tc>
        <w:tc>
          <w:tcPr>
            <w:tcW w:w="735" w:type="dxa"/>
            <w:tcBorders/>
            <w:shd w:fill="CCEEFF" w:val="clear"/>
            <w:vAlign w:val="bottom"/>
          </w:tcPr>
          <w:p>
            <w:pPr>
              <w:pStyle w:val="TableContents"/>
              <w:spacing w:before="0" w:after="0"/>
              <w:jc w:val="right"/>
              <w:rPr>
                <w:color w:val="000000"/>
              </w:rPr>
            </w:pPr>
            <w:r>
              <w:rPr>
                <w:color w:val="000000"/>
              </w:rPr>
              <w:t>—</w:t>
            </w:r>
          </w:p>
        </w:tc>
        <w:tc>
          <w:tcPr>
            <w:tcW w:w="75" w:type="dxa"/>
            <w:tcBorders/>
            <w:shd w:fill="CCEEFF" w:val="clear"/>
            <w:vAlign w:val="bottom"/>
          </w:tcPr>
          <w:p>
            <w:pPr>
              <w:pStyle w:val="TableContents"/>
              <w:spacing w:before="0" w:after="283"/>
              <w:jc w:val="left"/>
              <w:rPr/>
            </w:pPr>
            <w:r>
              <w:rPr/>
              <w:t> </w:t>
            </w:r>
          </w:p>
        </w:tc>
      </w:tr>
      <w:tr>
        <w:trPr/>
        <w:tc>
          <w:tcPr>
            <w:tcW w:w="2090" w:type="dxa"/>
            <w:tcBorders/>
            <w:shd w:fill="auto"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Commercial - specialized</w:t>
            </w:r>
          </w:p>
        </w:tc>
        <w:tc>
          <w:tcPr>
            <w:tcW w:w="60" w:type="dxa"/>
            <w:tcBorders/>
            <w:shd w:fill="auto" w:val="clear"/>
            <w:vAlign w:val="bottom"/>
          </w:tcPr>
          <w:p>
            <w:pPr>
              <w:pStyle w:val="TableContents"/>
              <w:spacing w:before="0" w:after="283"/>
              <w:jc w:val="right"/>
              <w:rPr/>
            </w:pPr>
            <w:r>
              <w:rPr/>
              <w:t> </w:t>
            </w:r>
          </w:p>
        </w:tc>
        <w:tc>
          <w:tcPr>
            <w:tcW w:w="337" w:type="dxa"/>
            <w:tcBorders/>
            <w:shd w:fill="auto" w:val="clear"/>
            <w:vAlign w:val="bottom"/>
          </w:tcPr>
          <w:p>
            <w:pPr>
              <w:pStyle w:val="TableContents"/>
              <w:spacing w:before="0" w:after="283"/>
              <w:jc w:val="left"/>
              <w:rPr/>
            </w:pPr>
            <w:r>
              <w:rPr/>
              <w:t> </w:t>
            </w:r>
          </w:p>
        </w:tc>
        <w:tc>
          <w:tcPr>
            <w:tcW w:w="703" w:type="dxa"/>
            <w:tcBorders/>
            <w:shd w:fill="auto" w:val="cle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jc w:val="left"/>
              <w:rPr/>
            </w:pPr>
            <w:r>
              <w:rPr/>
              <w:t> </w:t>
            </w:r>
          </w:p>
        </w:tc>
        <w:tc>
          <w:tcPr>
            <w:tcW w:w="989"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0.00</w:t>
            </w:r>
          </w:p>
        </w:tc>
        <w:tc>
          <w:tcPr>
            <w:tcW w:w="185" w:type="dxa"/>
            <w:tcBorders/>
            <w:shd w:fill="auto"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auto" w:val="clear"/>
            <w:vAlign w:val="bottom"/>
          </w:tcPr>
          <w:p>
            <w:pPr>
              <w:pStyle w:val="TableContents"/>
              <w:spacing w:before="0" w:after="283"/>
              <w:jc w:val="right"/>
              <w:rPr/>
            </w:pPr>
            <w:r>
              <w:rPr/>
              <w:t> </w:t>
            </w:r>
          </w:p>
        </w:tc>
        <w:tc>
          <w:tcPr>
            <w:tcW w:w="169" w:type="dxa"/>
            <w:tcBorders/>
            <w:shd w:fill="auto" w:val="clear"/>
            <w:vAlign w:val="bottom"/>
          </w:tcPr>
          <w:p>
            <w:pPr>
              <w:pStyle w:val="TableContents"/>
              <w:spacing w:before="0" w:after="283"/>
              <w:jc w:val="left"/>
              <w:rPr/>
            </w:pPr>
            <w:r>
              <w:rPr/>
              <w:t> </w:t>
            </w:r>
          </w:p>
        </w:tc>
        <w:tc>
          <w:tcPr>
            <w:tcW w:w="735" w:type="dxa"/>
            <w:tcBorders/>
            <w:shd w:fill="auto" w:val="clear"/>
            <w:vAlign w:val="bottom"/>
          </w:tcPr>
          <w:p>
            <w:pPr>
              <w:pStyle w:val="TableContents"/>
              <w:spacing w:before="0" w:after="0"/>
              <w:jc w:val="right"/>
              <w:rPr>
                <w:color w:val="000000"/>
              </w:rPr>
            </w:pPr>
            <w:r>
              <w:rPr>
                <w:color w:val="000000"/>
              </w:rPr>
              <w:t>—</w:t>
            </w:r>
          </w:p>
        </w:tc>
        <w:tc>
          <w:tcPr>
            <w:tcW w:w="75" w:type="dxa"/>
            <w:tcBorders/>
            <w:shd w:fill="auto" w:val="clear"/>
            <w:vAlign w:val="bottom"/>
          </w:tcPr>
          <w:p>
            <w:pPr>
              <w:pStyle w:val="TableContents"/>
              <w:spacing w:before="0" w:after="283"/>
              <w:jc w:val="left"/>
              <w:rPr/>
            </w:pPr>
            <w:r>
              <w:rPr/>
              <w:t> </w:t>
            </w:r>
          </w:p>
        </w:tc>
      </w:tr>
      <w:tr>
        <w:trPr/>
        <w:tc>
          <w:tcPr>
            <w:tcW w:w="2090"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Commercial - general</w:t>
            </w:r>
          </w:p>
        </w:tc>
        <w:tc>
          <w:tcPr>
            <w:tcW w:w="60" w:type="dxa"/>
            <w:tcBorders/>
            <w:shd w:fill="CCEEFF" w:val="clear"/>
            <w:vAlign w:val="bottom"/>
          </w:tcPr>
          <w:p>
            <w:pPr>
              <w:pStyle w:val="TableContents"/>
              <w:spacing w:before="0" w:after="283"/>
              <w:jc w:val="right"/>
              <w:rPr/>
            </w:pPr>
            <w:r>
              <w:rPr/>
              <w:t> </w:t>
            </w:r>
          </w:p>
        </w:tc>
        <w:tc>
          <w:tcPr>
            <w:tcW w:w="337" w:type="dxa"/>
            <w:tcBorders/>
            <w:shd w:fill="CCEEFF" w:val="clear"/>
            <w:vAlign w:val="bottom"/>
          </w:tcPr>
          <w:p>
            <w:pPr>
              <w:pStyle w:val="TableContents"/>
              <w:spacing w:before="0" w:after="283"/>
              <w:jc w:val="left"/>
              <w:rPr/>
            </w:pPr>
            <w:r>
              <w:rPr/>
              <w:t> </w:t>
            </w:r>
          </w:p>
        </w:tc>
        <w:tc>
          <w:tcPr>
            <w:tcW w:w="703"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jc w:val="left"/>
              <w:rPr/>
            </w:pPr>
            <w:r>
              <w:rPr/>
              <w:t> </w:t>
            </w:r>
          </w:p>
        </w:tc>
        <w:tc>
          <w:tcPr>
            <w:tcW w:w="989"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0.25</w:t>
            </w:r>
          </w:p>
        </w:tc>
        <w:tc>
          <w:tcPr>
            <w:tcW w:w="185"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spacing w:before="0" w:after="283"/>
              <w:jc w:val="right"/>
              <w:rPr/>
            </w:pPr>
            <w:r>
              <w:rPr/>
              <w:t> </w:t>
            </w:r>
          </w:p>
        </w:tc>
        <w:tc>
          <w:tcPr>
            <w:tcW w:w="169" w:type="dxa"/>
            <w:tcBorders/>
            <w:shd w:fill="CCEEFF" w:val="clear"/>
            <w:vAlign w:val="bottom"/>
          </w:tcPr>
          <w:p>
            <w:pPr>
              <w:pStyle w:val="TableContents"/>
              <w:spacing w:before="0" w:after="283"/>
              <w:jc w:val="left"/>
              <w:rPr/>
            </w:pPr>
            <w:r>
              <w:rPr/>
              <w:t> </w:t>
            </w:r>
          </w:p>
        </w:tc>
        <w:tc>
          <w:tcPr>
            <w:tcW w:w="735"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43</w:t>
            </w:r>
          </w:p>
        </w:tc>
        <w:tc>
          <w:tcPr>
            <w:tcW w:w="75" w:type="dxa"/>
            <w:tcBorders/>
            <w:shd w:fill="CCEEFF" w:val="clear"/>
            <w:vAlign w:val="bottom"/>
          </w:tcPr>
          <w:p>
            <w:pPr>
              <w:pStyle w:val="TableContents"/>
              <w:spacing w:before="0" w:after="283"/>
              <w:jc w:val="left"/>
              <w:rPr/>
            </w:pPr>
            <w:r>
              <w:rPr/>
              <w:t> </w:t>
            </w:r>
          </w:p>
        </w:tc>
      </w:tr>
      <w:tr>
        <w:trPr/>
        <w:tc>
          <w:tcPr>
            <w:tcW w:w="2090" w:type="dxa"/>
            <w:tcBorders/>
            <w:shd w:fill="auto"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Consumer:</w:t>
            </w:r>
          </w:p>
        </w:tc>
        <w:tc>
          <w:tcPr>
            <w:tcW w:w="60" w:type="dxa"/>
            <w:tcBorders/>
            <w:shd w:fill="auto" w:val="clear"/>
            <w:vAlign w:val="bottom"/>
          </w:tcPr>
          <w:p>
            <w:pPr>
              <w:pStyle w:val="TableContents"/>
              <w:spacing w:before="0" w:after="283"/>
              <w:jc w:val="right"/>
              <w:rPr/>
            </w:pPr>
            <w:r>
              <w:rPr/>
              <w:t> </w:t>
            </w:r>
          </w:p>
        </w:tc>
        <w:tc>
          <w:tcPr>
            <w:tcW w:w="337" w:type="dxa"/>
            <w:tcBorders/>
            <w:shd w:fill="auto" w:val="clear"/>
            <w:vAlign w:val="bottom"/>
          </w:tcPr>
          <w:p>
            <w:pPr>
              <w:pStyle w:val="TableContents"/>
              <w:spacing w:before="0" w:after="283"/>
              <w:jc w:val="left"/>
              <w:rPr/>
            </w:pPr>
            <w:r>
              <w:rPr/>
              <w:t> </w:t>
            </w:r>
          </w:p>
        </w:tc>
        <w:tc>
          <w:tcPr>
            <w:tcW w:w="703"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jc w:val="left"/>
              <w:rPr/>
            </w:pPr>
            <w:r>
              <w:rPr/>
              <w:t> </w:t>
            </w:r>
          </w:p>
        </w:tc>
        <w:tc>
          <w:tcPr>
            <w:tcW w:w="989" w:type="dxa"/>
            <w:tcBorders/>
            <w:shd w:fill="auto" w:val="clear"/>
            <w:vAlign w:val="bottom"/>
          </w:tcPr>
          <w:p>
            <w:pPr>
              <w:pStyle w:val="TableContents"/>
              <w:spacing w:before="0" w:after="283"/>
              <w:jc w:val="right"/>
              <w:rPr/>
            </w:pPr>
            <w:r>
              <w:rPr/>
              <w:t> </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69" w:type="dxa"/>
            <w:tcBorders/>
            <w:shd w:fill="auto" w:val="clear"/>
            <w:vAlign w:val="bottom"/>
          </w:tcPr>
          <w:p>
            <w:pPr>
              <w:pStyle w:val="TableContents"/>
              <w:spacing w:before="0" w:after="283"/>
              <w:jc w:val="left"/>
              <w:rPr/>
            </w:pPr>
            <w:r>
              <w:rPr/>
              <w:t> </w:t>
            </w:r>
          </w:p>
        </w:tc>
        <w:tc>
          <w:tcPr>
            <w:tcW w:w="735" w:type="dxa"/>
            <w:tcBorders/>
            <w:shd w:fill="auto" w:val="clear"/>
            <w:vAlign w:val="bottom"/>
          </w:tcPr>
          <w:p>
            <w:pPr>
              <w:pStyle w:val="TableContents"/>
              <w:spacing w:before="0" w:after="283"/>
              <w:jc w:val="right"/>
              <w:rPr/>
            </w:pPr>
            <w:r>
              <w:rPr/>
              <w:t> </w:t>
            </w:r>
          </w:p>
        </w:tc>
        <w:tc>
          <w:tcPr>
            <w:tcW w:w="75" w:type="dxa"/>
            <w:tcBorders/>
            <w:shd w:fill="auto" w:val="clear"/>
            <w:vAlign w:val="bottom"/>
          </w:tcPr>
          <w:p>
            <w:pPr>
              <w:pStyle w:val="TableContents"/>
              <w:spacing w:before="0" w:after="283"/>
              <w:jc w:val="left"/>
              <w:rPr/>
            </w:pPr>
            <w:r>
              <w:rPr/>
              <w:t> </w:t>
            </w:r>
          </w:p>
        </w:tc>
      </w:tr>
      <w:tr>
        <w:trPr/>
        <w:tc>
          <w:tcPr>
            <w:tcW w:w="2090" w:type="dxa"/>
            <w:tcBorders/>
            <w:shd w:fill="CCEEFF" w:val="clear"/>
            <w:vAlign w:val="bottom"/>
          </w:tcPr>
          <w:p>
            <w:pPr>
              <w:pStyle w:val="TableContents"/>
              <w:spacing w:before="0" w:after="0"/>
              <w:ind w:left="180" w:right="0" w:hanging="0"/>
              <w:jc w:val="left"/>
              <w:rPr>
                <w:rFonts w:ascii="Times New Roman" w:hAnsi="Times New Roman"/>
                <w:color w:val="000000"/>
                <w:sz w:val="20"/>
              </w:rPr>
            </w:pPr>
            <w:r>
              <w:rPr>
                <w:rFonts w:ascii="Times New Roman" w:hAnsi="Times New Roman"/>
                <w:color w:val="000000"/>
                <w:sz w:val="20"/>
              </w:rPr>
              <w:t>1-4 Family residential</w:t>
            </w:r>
          </w:p>
        </w:tc>
        <w:tc>
          <w:tcPr>
            <w:tcW w:w="60" w:type="dxa"/>
            <w:tcBorders/>
            <w:shd w:fill="CCEEFF" w:val="clear"/>
            <w:vAlign w:val="bottom"/>
          </w:tcPr>
          <w:p>
            <w:pPr>
              <w:pStyle w:val="TableContents"/>
              <w:spacing w:before="0" w:after="283"/>
              <w:jc w:val="right"/>
              <w:rPr/>
            </w:pPr>
            <w:r>
              <w:rPr/>
              <w:t> </w:t>
            </w:r>
          </w:p>
        </w:tc>
        <w:tc>
          <w:tcPr>
            <w:tcW w:w="337" w:type="dxa"/>
            <w:tcBorders/>
            <w:shd w:fill="CCEEFF" w:val="clear"/>
            <w:vAlign w:val="bottom"/>
          </w:tcPr>
          <w:p>
            <w:pPr>
              <w:pStyle w:val="TableContents"/>
              <w:spacing w:before="0" w:after="283"/>
              <w:jc w:val="left"/>
              <w:rPr/>
            </w:pPr>
            <w:r>
              <w:rPr/>
              <w:t> </w:t>
            </w:r>
          </w:p>
        </w:tc>
        <w:tc>
          <w:tcPr>
            <w:tcW w:w="703"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jc w:val="left"/>
              <w:rPr/>
            </w:pPr>
            <w:r>
              <w:rPr/>
              <w:t> </w:t>
            </w:r>
          </w:p>
        </w:tc>
        <w:tc>
          <w:tcPr>
            <w:tcW w:w="989"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0.00</w:t>
            </w:r>
          </w:p>
        </w:tc>
        <w:tc>
          <w:tcPr>
            <w:tcW w:w="185"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spacing w:before="0" w:after="283"/>
              <w:jc w:val="right"/>
              <w:rPr/>
            </w:pPr>
            <w:r>
              <w:rPr/>
              <w:t> </w:t>
            </w:r>
          </w:p>
        </w:tc>
        <w:tc>
          <w:tcPr>
            <w:tcW w:w="169" w:type="dxa"/>
            <w:tcBorders/>
            <w:shd w:fill="CCEEFF" w:val="clear"/>
            <w:vAlign w:val="bottom"/>
          </w:tcPr>
          <w:p>
            <w:pPr>
              <w:pStyle w:val="TableContents"/>
              <w:spacing w:before="0" w:after="283"/>
              <w:jc w:val="left"/>
              <w:rPr/>
            </w:pPr>
            <w:r>
              <w:rPr/>
              <w:t> </w:t>
            </w:r>
          </w:p>
        </w:tc>
        <w:tc>
          <w:tcPr>
            <w:tcW w:w="735"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10</w:t>
            </w:r>
          </w:p>
        </w:tc>
        <w:tc>
          <w:tcPr>
            <w:tcW w:w="75" w:type="dxa"/>
            <w:tcBorders/>
            <w:shd w:fill="CCEEFF" w:val="clear"/>
            <w:vAlign w:val="bottom"/>
          </w:tcPr>
          <w:p>
            <w:pPr>
              <w:pStyle w:val="TableContents"/>
              <w:spacing w:before="0" w:after="283"/>
              <w:jc w:val="left"/>
              <w:rPr/>
            </w:pPr>
            <w:r>
              <w:rPr/>
              <w:t> </w:t>
            </w:r>
          </w:p>
        </w:tc>
      </w:tr>
      <w:tr>
        <w:trPr/>
        <w:tc>
          <w:tcPr>
            <w:tcW w:w="2090" w:type="dxa"/>
            <w:tcBorders/>
            <w:shd w:fill="auto" w:val="clear"/>
            <w:vAlign w:val="bottom"/>
          </w:tcPr>
          <w:p>
            <w:pPr>
              <w:pStyle w:val="TableContents"/>
              <w:spacing w:before="0" w:after="0"/>
              <w:ind w:left="180" w:right="0" w:hanging="0"/>
              <w:jc w:val="left"/>
              <w:rPr>
                <w:rFonts w:ascii="Times New Roman" w:hAnsi="Times New Roman"/>
                <w:color w:val="000000"/>
                <w:sz w:val="20"/>
              </w:rPr>
            </w:pPr>
            <w:r>
              <w:rPr>
                <w:rFonts w:ascii="Times New Roman" w:hAnsi="Times New Roman"/>
                <w:color w:val="000000"/>
                <w:sz w:val="20"/>
              </w:rPr>
              <w:t>Auto loans</w:t>
            </w:r>
          </w:p>
        </w:tc>
        <w:tc>
          <w:tcPr>
            <w:tcW w:w="60" w:type="dxa"/>
            <w:tcBorders/>
            <w:shd w:fill="auto" w:val="clear"/>
            <w:vAlign w:val="bottom"/>
          </w:tcPr>
          <w:p>
            <w:pPr>
              <w:pStyle w:val="TableContents"/>
              <w:spacing w:before="0" w:after="283"/>
              <w:jc w:val="right"/>
              <w:rPr/>
            </w:pPr>
            <w:r>
              <w:rPr/>
              <w:t> </w:t>
            </w:r>
          </w:p>
        </w:tc>
        <w:tc>
          <w:tcPr>
            <w:tcW w:w="337" w:type="dxa"/>
            <w:tcBorders/>
            <w:shd w:fill="auto" w:val="clear"/>
            <w:vAlign w:val="bottom"/>
          </w:tcPr>
          <w:p>
            <w:pPr>
              <w:pStyle w:val="TableContents"/>
              <w:spacing w:before="0" w:after="283"/>
              <w:jc w:val="left"/>
              <w:rPr/>
            </w:pPr>
            <w:r>
              <w:rPr/>
              <w:t> </w:t>
            </w:r>
          </w:p>
        </w:tc>
        <w:tc>
          <w:tcPr>
            <w:tcW w:w="703" w:type="dxa"/>
            <w:tcBorders/>
            <w:shd w:fill="auto" w:val="cle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jc w:val="left"/>
              <w:rPr/>
            </w:pPr>
            <w:r>
              <w:rPr/>
              <w:t> </w:t>
            </w:r>
          </w:p>
        </w:tc>
        <w:tc>
          <w:tcPr>
            <w:tcW w:w="989"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0.00</w:t>
            </w:r>
          </w:p>
        </w:tc>
        <w:tc>
          <w:tcPr>
            <w:tcW w:w="185" w:type="dxa"/>
            <w:tcBorders/>
            <w:shd w:fill="auto"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auto" w:val="clear"/>
            <w:vAlign w:val="bottom"/>
          </w:tcPr>
          <w:p>
            <w:pPr>
              <w:pStyle w:val="TableContents"/>
              <w:spacing w:before="0" w:after="283"/>
              <w:jc w:val="right"/>
              <w:rPr/>
            </w:pPr>
            <w:r>
              <w:rPr/>
              <w:t> </w:t>
            </w:r>
          </w:p>
        </w:tc>
        <w:tc>
          <w:tcPr>
            <w:tcW w:w="169" w:type="dxa"/>
            <w:tcBorders/>
            <w:shd w:fill="auto" w:val="clear"/>
            <w:vAlign w:val="bottom"/>
          </w:tcPr>
          <w:p>
            <w:pPr>
              <w:pStyle w:val="TableContents"/>
              <w:spacing w:before="0" w:after="283"/>
              <w:jc w:val="left"/>
              <w:rPr/>
            </w:pPr>
            <w:r>
              <w:rPr/>
              <w:t> </w:t>
            </w:r>
          </w:p>
        </w:tc>
        <w:tc>
          <w:tcPr>
            <w:tcW w:w="735"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15</w:t>
            </w:r>
          </w:p>
        </w:tc>
        <w:tc>
          <w:tcPr>
            <w:tcW w:w="75" w:type="dxa"/>
            <w:tcBorders/>
            <w:shd w:fill="auto" w:val="clear"/>
            <w:vAlign w:val="bottom"/>
          </w:tcPr>
          <w:p>
            <w:pPr>
              <w:pStyle w:val="TableContents"/>
              <w:spacing w:before="0" w:after="283"/>
              <w:jc w:val="left"/>
              <w:rPr/>
            </w:pPr>
            <w:r>
              <w:rPr/>
              <w:t> </w:t>
            </w:r>
          </w:p>
        </w:tc>
      </w:tr>
      <w:tr>
        <w:trPr/>
        <w:tc>
          <w:tcPr>
            <w:tcW w:w="2090" w:type="dxa"/>
            <w:tcBorders/>
            <w:shd w:fill="CCEEFF" w:val="clear"/>
            <w:vAlign w:val="bottom"/>
          </w:tcPr>
          <w:p>
            <w:pPr>
              <w:pStyle w:val="TableContents"/>
              <w:spacing w:before="0" w:after="0"/>
              <w:ind w:left="180" w:right="0" w:hanging="0"/>
              <w:jc w:val="left"/>
              <w:rPr>
                <w:rFonts w:ascii="Times New Roman" w:hAnsi="Times New Roman"/>
                <w:color w:val="000000"/>
                <w:sz w:val="20"/>
              </w:rPr>
            </w:pPr>
            <w:r>
              <w:rPr>
                <w:rFonts w:ascii="Times New Roman" w:hAnsi="Times New Roman"/>
                <w:color w:val="000000"/>
                <w:sz w:val="20"/>
              </w:rPr>
              <w:t>Other consumer</w:t>
            </w:r>
          </w:p>
        </w:tc>
        <w:tc>
          <w:tcPr>
            <w:tcW w:w="60" w:type="dxa"/>
            <w:tcBorders/>
            <w:shd w:fill="CCEEFF" w:val="clear"/>
            <w:vAlign w:val="bottom"/>
          </w:tcPr>
          <w:p>
            <w:pPr>
              <w:pStyle w:val="TableContents"/>
              <w:spacing w:before="0" w:after="283"/>
              <w:jc w:val="right"/>
              <w:rPr/>
            </w:pPr>
            <w:r>
              <w:rPr/>
              <w:t> </w:t>
            </w:r>
          </w:p>
        </w:tc>
        <w:tc>
          <w:tcPr>
            <w:tcW w:w="337" w:type="dxa"/>
            <w:tcBorders/>
            <w:shd w:fill="CCEEFF" w:val="clear"/>
            <w:vAlign w:val="bottom"/>
          </w:tcPr>
          <w:p>
            <w:pPr>
              <w:pStyle w:val="TableContents"/>
              <w:spacing w:before="0" w:after="283"/>
              <w:jc w:val="left"/>
              <w:rPr/>
            </w:pPr>
            <w:r>
              <w:rPr/>
              <w:t> </w:t>
            </w:r>
          </w:p>
        </w:tc>
        <w:tc>
          <w:tcPr>
            <w:tcW w:w="703"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jc w:val="left"/>
              <w:rPr/>
            </w:pPr>
            <w:r>
              <w:rPr/>
              <w:t> </w:t>
            </w:r>
          </w:p>
        </w:tc>
        <w:tc>
          <w:tcPr>
            <w:tcW w:w="989"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0.00</w:t>
            </w:r>
          </w:p>
        </w:tc>
        <w:tc>
          <w:tcPr>
            <w:tcW w:w="185"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spacing w:before="0" w:after="283"/>
              <w:jc w:val="right"/>
              <w:rPr/>
            </w:pPr>
            <w:r>
              <w:rPr/>
              <w:t> </w:t>
            </w:r>
          </w:p>
        </w:tc>
        <w:tc>
          <w:tcPr>
            <w:tcW w:w="169" w:type="dxa"/>
            <w:tcBorders/>
            <w:shd w:fill="CCEEFF" w:val="clear"/>
            <w:vAlign w:val="bottom"/>
          </w:tcPr>
          <w:p>
            <w:pPr>
              <w:pStyle w:val="TableContents"/>
              <w:spacing w:before="0" w:after="283"/>
              <w:jc w:val="left"/>
              <w:rPr/>
            </w:pPr>
            <w:r>
              <w:rPr/>
              <w:t> </w:t>
            </w:r>
          </w:p>
        </w:tc>
        <w:tc>
          <w:tcPr>
            <w:tcW w:w="735" w:type="dxa"/>
            <w:tcBorders/>
            <w:shd w:fill="CCEEFF" w:val="clear"/>
            <w:vAlign w:val="bottom"/>
          </w:tcPr>
          <w:p>
            <w:pPr>
              <w:pStyle w:val="TableContents"/>
              <w:spacing w:before="0" w:after="0"/>
              <w:jc w:val="right"/>
              <w:rPr>
                <w:color w:val="000000"/>
              </w:rPr>
            </w:pPr>
            <w:r>
              <w:rPr>
                <w:color w:val="000000"/>
              </w:rPr>
              <w:t>—</w:t>
            </w:r>
          </w:p>
        </w:tc>
        <w:tc>
          <w:tcPr>
            <w:tcW w:w="75" w:type="dxa"/>
            <w:tcBorders/>
            <w:shd w:fill="CCEEFF" w:val="clear"/>
            <w:vAlign w:val="bottom"/>
          </w:tcPr>
          <w:p>
            <w:pPr>
              <w:pStyle w:val="TableContents"/>
              <w:spacing w:before="0" w:after="283"/>
              <w:jc w:val="left"/>
              <w:rPr/>
            </w:pPr>
            <w:r>
              <w:rPr/>
              <w:t> </w:t>
            </w:r>
          </w:p>
        </w:tc>
      </w:tr>
      <w:tr>
        <w:trPr/>
        <w:tc>
          <w:tcPr>
            <w:tcW w:w="2090" w:type="dxa"/>
            <w:tcBorders/>
            <w:shd w:fill="auto"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Construction</w:t>
            </w:r>
          </w:p>
        </w:tc>
        <w:tc>
          <w:tcPr>
            <w:tcW w:w="60" w:type="dxa"/>
            <w:tcBorders/>
            <w:shd w:fill="auto" w:val="clear"/>
            <w:vAlign w:val="bottom"/>
          </w:tcPr>
          <w:p>
            <w:pPr>
              <w:pStyle w:val="TableContents"/>
              <w:spacing w:before="0" w:after="283"/>
              <w:jc w:val="right"/>
              <w:rPr/>
            </w:pPr>
            <w:r>
              <w:rPr/>
              <w:t> </w:t>
            </w:r>
          </w:p>
        </w:tc>
        <w:tc>
          <w:tcPr>
            <w:tcW w:w="337"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703"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5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989"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0.00</w:t>
            </w:r>
          </w:p>
        </w:tc>
        <w:tc>
          <w:tcPr>
            <w:tcW w:w="185" w:type="dxa"/>
            <w:tcBorders/>
            <w:shd w:fill="auto"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auto" w:val="clear"/>
            <w:vAlign w:val="bottom"/>
          </w:tcPr>
          <w:p>
            <w:pPr>
              <w:pStyle w:val="TableContents"/>
              <w:spacing w:before="0" w:after="283"/>
              <w:jc w:val="right"/>
              <w:rPr/>
            </w:pPr>
            <w:r>
              <w:rPr/>
              <w:t> </w:t>
            </w:r>
          </w:p>
        </w:tc>
        <w:tc>
          <w:tcPr>
            <w:tcW w:w="169"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735"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75" w:type="dxa"/>
            <w:tcBorders/>
            <w:shd w:fill="auto" w:val="clear"/>
            <w:vAlign w:val="bottom"/>
          </w:tcPr>
          <w:p>
            <w:pPr>
              <w:pStyle w:val="TableContents"/>
              <w:spacing w:before="0" w:after="283"/>
              <w:jc w:val="left"/>
              <w:rPr/>
            </w:pPr>
            <w:r>
              <w:rPr/>
              <w:t> </w:t>
            </w:r>
          </w:p>
        </w:tc>
      </w:tr>
      <w:tr>
        <w:trPr/>
        <w:tc>
          <w:tcPr>
            <w:tcW w:w="2090" w:type="dxa"/>
            <w:tcBorders/>
            <w:shd w:fill="CCEEFF" w:val="clear"/>
            <w:vAlign w:val="bottom"/>
          </w:tcPr>
          <w:p>
            <w:pPr>
              <w:pStyle w:val="TableContents"/>
              <w:spacing w:before="0" w:after="0"/>
              <w:jc w:val="left"/>
              <w:rPr>
                <w:color w:val="000000"/>
              </w:rPr>
            </w:pPr>
            <w:r>
              <w:rPr>
                <w:color w:val="000000"/>
              </w:rPr>
              <w:t> </w:t>
            </w:r>
          </w:p>
        </w:tc>
        <w:tc>
          <w:tcPr>
            <w:tcW w:w="60" w:type="dxa"/>
            <w:tcBorders/>
            <w:shd w:fill="CCEEFF" w:val="clear"/>
            <w:vAlign w:val="bottom"/>
          </w:tcPr>
          <w:p>
            <w:pPr>
              <w:pStyle w:val="TableContents"/>
              <w:spacing w:before="0" w:after="283"/>
              <w:jc w:val="right"/>
              <w:rPr/>
            </w:pPr>
            <w:r>
              <w:rPr/>
              <w:t> </w:t>
            </w:r>
          </w:p>
        </w:tc>
        <w:tc>
          <w:tcPr>
            <w:tcW w:w="337"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703"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55"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989"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0.25</w:t>
            </w:r>
          </w:p>
        </w:tc>
        <w:tc>
          <w:tcPr>
            <w:tcW w:w="185"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spacing w:before="0" w:after="283"/>
              <w:jc w:val="right"/>
              <w:rPr/>
            </w:pPr>
            <w:r>
              <w:rPr/>
              <w:t> </w:t>
            </w:r>
          </w:p>
        </w:tc>
        <w:tc>
          <w:tcPr>
            <w:tcW w:w="169"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735"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41</w:t>
            </w:r>
          </w:p>
        </w:tc>
        <w:tc>
          <w:tcPr>
            <w:tcW w:w="75" w:type="dxa"/>
            <w:tcBorders/>
            <w:shd w:fill="CCEEFF" w:val="clear"/>
            <w:vAlign w:val="bottom"/>
          </w:tcPr>
          <w:p>
            <w:pPr>
              <w:pStyle w:val="TableContents"/>
              <w:spacing w:before="0" w:after="283"/>
              <w:jc w:val="left"/>
              <w:rPr/>
            </w:pPr>
            <w:r>
              <w:rPr/>
              <w:t> </w:t>
            </w:r>
          </w:p>
        </w:tc>
      </w:tr>
    </w:tbl>
    <w:p>
      <w:pPr>
        <w:pStyle w:val="TextBody"/>
        <w:spacing w:before="0" w:after="0"/>
        <w:ind w:left="0" w:right="0" w:hanging="0"/>
        <w:jc w:val="both"/>
        <w:rPr>
          <w:rFonts w:ascii="Times New Roman" w:hAnsi="Times New Roman"/>
        </w:rPr>
      </w:pPr>
      <w:r>
        <w:rPr>
          <w:rFonts w:ascii="Times New Roman" w:hAnsi="Times New Roman"/>
        </w:rPr>
      </w:r>
    </w:p>
    <w:p>
      <w:pPr>
        <w:pStyle w:val="TextBody"/>
        <w:spacing w:before="0" w:after="0"/>
        <w:ind w:left="0" w:right="0" w:hanging="0"/>
        <w:jc w:val="both"/>
        <w:rPr>
          <w:rFonts w:ascii="Times New Roman" w:hAnsi="Times New Roman"/>
          <w:color w:val="000000"/>
          <w:sz w:val="20"/>
        </w:rPr>
      </w:pPr>
      <w:r>
        <w:rPr>
          <w:rFonts w:ascii="Times New Roman" w:hAnsi="Times New Roman"/>
          <w:color w:val="000000"/>
          <w:sz w:val="20"/>
        </w:rPr>
        <w:t>As of March 31, 2023, the Company did not have any loans made to borrowers experiencing financial difficulty that were modified during the three months ended March 31, 2023 that subsequently defaulted.  Payment default is defined as movement to nonperforming status, foreclosure, or charge-off.</w:t>
      </w:r>
    </w:p>
    <w:p>
      <w:pPr>
        <w:pStyle w:val="TextBody"/>
        <w:spacing w:before="0" w:after="0"/>
        <w:ind w:left="0" w:right="0" w:hanging="0"/>
        <w:jc w:val="both"/>
        <w:rPr>
          <w:rFonts w:ascii="Times New Roman" w:hAnsi="Times New Roman"/>
          <w:color w:val="000000"/>
          <w:sz w:val="20"/>
        </w:rPr>
      </w:pPr>
      <w:r>
        <w:rPr>
          <w:rFonts w:ascii="Times New Roman" w:hAnsi="Times New Roman"/>
          <w:color w:val="000000"/>
          <w:sz w:val="20"/>
        </w:rPr>
      </w:r>
    </w:p>
    <w:p>
      <w:pPr>
        <w:pStyle w:val="TextBody"/>
        <w:spacing w:before="0" w:after="0"/>
        <w:ind w:left="0" w:right="0" w:hanging="0"/>
        <w:jc w:val="both"/>
        <w:rPr>
          <w:rFonts w:ascii="Times New Roman" w:hAnsi="Times New Roman"/>
          <w:color w:val="000000"/>
          <w:sz w:val="20"/>
        </w:rPr>
      </w:pPr>
      <w:r>
        <w:rPr>
          <w:rFonts w:ascii="Times New Roman" w:hAnsi="Times New Roman"/>
          <w:color w:val="000000"/>
          <w:sz w:val="20"/>
        </w:rPr>
        <w:t>Upon the Company’s determination that a modified loan has subsequently been deemed to not be fully collectible, the uncollectible amount is written off.  Therefore, the amortized cost basis of the loan is reduced by the uncollectible amount and the allowance for credit losses is adjusted by the same amount.</w:t>
      </w:r>
    </w:p>
    <w:p>
      <w:pPr>
        <w:pStyle w:val="TextBody"/>
        <w:spacing w:before="0" w:after="0"/>
        <w:ind w:left="0" w:right="0" w:hanging="0"/>
        <w:jc w:val="both"/>
        <w:rPr>
          <w:rFonts w:ascii="Times New Roman" w:hAnsi="Times New Roman"/>
        </w:rPr>
      </w:pPr>
      <w:r>
        <w:rPr>
          <w:rFonts w:ascii="Times New Roman" w:hAnsi="Times New Roman"/>
        </w:rPr>
      </w:r>
    </w:p>
    <w:p>
      <w:pPr>
        <w:pStyle w:val="TextBody"/>
        <w:spacing w:before="0" w:after="0"/>
        <w:ind w:left="0" w:right="0" w:hanging="0"/>
        <w:jc w:val="both"/>
        <w:rPr>
          <w:rFonts w:ascii="Times New Roman" w:hAnsi="Times New Roman"/>
          <w:color w:val="000000"/>
          <w:sz w:val="20"/>
        </w:rPr>
      </w:pPr>
      <w:r>
        <w:rPr>
          <w:rFonts w:ascii="Times New Roman" w:hAnsi="Times New Roman"/>
          <w:color w:val="000000"/>
          <w:sz w:val="20"/>
        </w:rPr>
        <w:t>There were no loans modified as a TDR during the year ended December 31, 2022.</w:t>
      </w:r>
    </w:p>
    <w:p>
      <w:pPr>
        <w:pStyle w:val="TextBody"/>
        <w:spacing w:before="0" w:after="0"/>
        <w:jc w:val="left"/>
        <w:rPr/>
      </w:pPr>
      <w:r>
        <w:rPr/>
      </w:r>
    </w:p>
    <w:p>
      <w:pPr>
        <w:pStyle w:val="TextBody"/>
        <w:spacing w:before="0" w:after="0"/>
        <w:jc w:val="left"/>
        <w:rPr>
          <w:rFonts w:ascii="Times New Roman" w:hAnsi="Times New Roman"/>
          <w:b/>
          <w:color w:val="000000"/>
          <w:sz w:val="20"/>
        </w:rPr>
      </w:pPr>
      <w:r>
        <w:rPr>
          <w:rFonts w:ascii="Times New Roman" w:hAnsi="Times New Roman"/>
          <w:b/>
          <w:color w:val="000000"/>
          <w:sz w:val="20"/>
        </w:rPr>
        <w:t>4.  GOODWILL AND INTANGIBLES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Company had goodwill of $19.5 million at March 31, 2023 and December 31, 2022.</w:t>
      </w:r>
    </w:p>
    <w:p>
      <w:pPr>
        <w:pStyle w:val="TextBody"/>
        <w:spacing w:before="0" w:after="0"/>
        <w:jc w:val="both"/>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Other intangible assets, which consist of CDI, customer lists, and employment agreements at the dates indicated are summarized below (dollars in thousands):</w:t>
      </w:r>
    </w:p>
    <w:p>
      <w:pPr>
        <w:pStyle w:val="TextBody"/>
        <w:spacing w:before="0" w:after="0"/>
        <w:jc w:val="left"/>
        <w:rPr/>
      </w:pPr>
      <w:r>
        <w:rPr/>
      </w:r>
    </w:p>
    <w:tbl>
      <w:tblPr>
        <w:tblW w:w="5018" w:type="dxa"/>
        <w:jc w:val="left"/>
        <w:tblInd w:w="0" w:type="dxa"/>
        <w:tblCellMar>
          <w:top w:w="0" w:type="dxa"/>
          <w:left w:w="0" w:type="dxa"/>
          <w:bottom w:w="0" w:type="dxa"/>
          <w:right w:w="0" w:type="dxa"/>
        </w:tblCellMar>
      </w:tblPr>
      <w:tblGrid>
        <w:gridCol w:w="2660"/>
        <w:gridCol w:w="60"/>
        <w:gridCol w:w="166"/>
        <w:gridCol w:w="723"/>
        <w:gridCol w:w="80"/>
        <w:gridCol w:w="60"/>
        <w:gridCol w:w="218"/>
        <w:gridCol w:w="956"/>
        <w:gridCol w:w="95"/>
      </w:tblGrid>
      <w:tr>
        <w:trPr/>
        <w:tc>
          <w:tcPr>
            <w:tcW w:w="26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89"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March 31,</w:t>
            </w:r>
          </w:p>
          <w:p>
            <w:pPr>
              <w:pStyle w:val="TableContents"/>
              <w:spacing w:before="0" w:after="0"/>
              <w:jc w:val="center"/>
              <w:rPr>
                <w:rFonts w:ascii="Times New Roman" w:hAnsi="Times New Roman"/>
                <w:b/>
                <w:sz w:val="20"/>
              </w:rPr>
            </w:pPr>
            <w:r>
              <w:rPr>
                <w:rFonts w:ascii="Times New Roman" w:hAnsi="Times New Roman"/>
                <w:b/>
                <w:sz w:val="20"/>
              </w:rPr>
              <w:t>2023</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74"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December 31,</w:t>
            </w:r>
          </w:p>
          <w:p>
            <w:pPr>
              <w:pStyle w:val="TableContents"/>
              <w:spacing w:before="0" w:after="0"/>
              <w:jc w:val="center"/>
              <w:rPr>
                <w:rFonts w:ascii="Times New Roman" w:hAnsi="Times New Roman"/>
                <w:b/>
                <w:sz w:val="20"/>
              </w:rPr>
            </w:pPr>
            <w:r>
              <w:rPr>
                <w:rFonts w:ascii="Times New Roman" w:hAnsi="Times New Roman"/>
                <w:b/>
                <w:sz w:val="20"/>
              </w:rPr>
              <w:t>2022</w:t>
            </w:r>
          </w:p>
        </w:tc>
        <w:tc>
          <w:tcPr>
            <w:tcW w:w="95" w:type="dxa"/>
            <w:tcBorders/>
            <w:shd w:fill="auto" w:val="clear"/>
            <w:vAlign w:val="bottom"/>
          </w:tcPr>
          <w:p>
            <w:pPr>
              <w:pStyle w:val="TableContents"/>
              <w:spacing w:before="0" w:after="283"/>
              <w:jc w:val="left"/>
              <w:rPr/>
            </w:pPr>
            <w:r>
              <w:rPr/>
              <w:t> </w:t>
            </w:r>
          </w:p>
        </w:tc>
      </w:tr>
      <w:tr>
        <w:trPr/>
        <w:tc>
          <w:tcPr>
            <w:tcW w:w="2660" w:type="dxa"/>
            <w:tcBorders/>
            <w:shd w:fill="auto"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Amortized intangible assets</w:t>
            </w:r>
          </w:p>
        </w:tc>
        <w:tc>
          <w:tcPr>
            <w:tcW w:w="60" w:type="dxa"/>
            <w:tcBorders/>
            <w:shd w:fill="auto" w:val="clear"/>
            <w:vAlign w:val="bottom"/>
          </w:tcPr>
          <w:p>
            <w:pPr>
              <w:pStyle w:val="TableContents"/>
              <w:spacing w:before="0" w:after="283"/>
              <w:jc w:val="right"/>
              <w:rPr/>
            </w:pPr>
            <w:r>
              <w:rPr/>
              <w:t> </w:t>
            </w:r>
          </w:p>
        </w:tc>
        <w:tc>
          <w:tcPr>
            <w:tcW w:w="889" w:type="dxa"/>
            <w:gridSpan w:val="2"/>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174" w:type="dxa"/>
            <w:gridSpan w:val="2"/>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r>
      <w:tr>
        <w:trPr/>
        <w:tc>
          <w:tcPr>
            <w:tcW w:w="2660" w:type="dxa"/>
            <w:tcBorders/>
            <w:shd w:fill="CCEE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Core deposit intangible</w:t>
            </w:r>
          </w:p>
        </w:tc>
        <w:tc>
          <w:tcPr>
            <w:tcW w:w="60" w:type="dxa"/>
            <w:tcBorders/>
            <w:shd w:fill="CCEEFF" w:val="clear"/>
            <w:vAlign w:val="bottom"/>
          </w:tcPr>
          <w:p>
            <w:pPr>
              <w:pStyle w:val="TableContents"/>
              <w:spacing w:before="0" w:after="283"/>
              <w:jc w:val="right"/>
              <w:rPr/>
            </w:pPr>
            <w:r>
              <w:rPr/>
              <w:t> </w:t>
            </w:r>
          </w:p>
        </w:tc>
        <w:tc>
          <w:tcPr>
            <w:tcW w:w="166"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723"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6,679</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18"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956"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6,679</w:t>
            </w:r>
          </w:p>
        </w:tc>
        <w:tc>
          <w:tcPr>
            <w:tcW w:w="95" w:type="dxa"/>
            <w:tcBorders/>
            <w:shd w:fill="CCEEFF" w:val="clear"/>
            <w:vAlign w:val="bottom"/>
          </w:tcPr>
          <w:p>
            <w:pPr>
              <w:pStyle w:val="TableContents"/>
              <w:spacing w:before="0" w:after="283"/>
              <w:jc w:val="left"/>
              <w:rPr/>
            </w:pPr>
            <w:r>
              <w:rPr/>
              <w:t> </w:t>
            </w:r>
          </w:p>
        </w:tc>
      </w:tr>
      <w:tr>
        <w:trPr/>
        <w:tc>
          <w:tcPr>
            <w:tcW w:w="2660" w:type="dxa"/>
            <w:tcBorders/>
            <w:shd w:fill="auto"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Less: Accumulated amortization</w:t>
            </w:r>
          </w:p>
        </w:tc>
        <w:tc>
          <w:tcPr>
            <w:tcW w:w="60" w:type="dxa"/>
            <w:tcBorders/>
            <w:shd w:fill="auto" w:val="clear"/>
            <w:vAlign w:val="bottom"/>
          </w:tcPr>
          <w:p>
            <w:pPr>
              <w:pStyle w:val="TableContents"/>
              <w:spacing w:before="0" w:after="283"/>
              <w:jc w:val="right"/>
              <w:rPr/>
            </w:pPr>
            <w:r>
              <w:rPr/>
              <w:t> </w:t>
            </w:r>
          </w:p>
        </w:tc>
        <w:tc>
          <w:tcPr>
            <w:tcW w:w="166"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723"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(3,633</w:t>
            </w:r>
          </w:p>
        </w:tc>
        <w:tc>
          <w:tcPr>
            <w:tcW w:w="80"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auto" w:val="clear"/>
            <w:vAlign w:val="bottom"/>
          </w:tcPr>
          <w:p>
            <w:pPr>
              <w:pStyle w:val="TableContents"/>
              <w:spacing w:before="0" w:after="283"/>
              <w:jc w:val="right"/>
              <w:rPr/>
            </w:pPr>
            <w:r>
              <w:rPr/>
              <w:t> </w:t>
            </w:r>
          </w:p>
        </w:tc>
        <w:tc>
          <w:tcPr>
            <w:tcW w:w="218"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956"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(3,420</w:t>
            </w:r>
          </w:p>
        </w:tc>
        <w:tc>
          <w:tcPr>
            <w:tcW w:w="95"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r>
      <w:tr>
        <w:trPr/>
        <w:tc>
          <w:tcPr>
            <w:tcW w:w="26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166" w:type="dxa"/>
            <w:tcBorders/>
            <w:shd w:fill="CCEEFF" w:val="clear"/>
            <w:vAlign w:val="bottom"/>
          </w:tcPr>
          <w:p>
            <w:pPr>
              <w:pStyle w:val="TableContents"/>
              <w:spacing w:before="0" w:after="283"/>
              <w:jc w:val="left"/>
              <w:rPr/>
            </w:pPr>
            <w:r>
              <w:rPr/>
              <w:t> </w:t>
            </w:r>
          </w:p>
        </w:tc>
        <w:tc>
          <w:tcPr>
            <w:tcW w:w="723"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3,046</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18" w:type="dxa"/>
            <w:tcBorders/>
            <w:shd w:fill="CCEEFF" w:val="clear"/>
            <w:vAlign w:val="bottom"/>
          </w:tcPr>
          <w:p>
            <w:pPr>
              <w:pStyle w:val="TableContents"/>
              <w:spacing w:before="0" w:after="283"/>
              <w:jc w:val="left"/>
              <w:rPr/>
            </w:pPr>
            <w:r>
              <w:rPr/>
              <w:t> </w:t>
            </w:r>
          </w:p>
        </w:tc>
        <w:tc>
          <w:tcPr>
            <w:tcW w:w="956"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3,259</w:t>
            </w:r>
          </w:p>
        </w:tc>
        <w:tc>
          <w:tcPr>
            <w:tcW w:w="95" w:type="dxa"/>
            <w:tcBorders/>
            <w:shd w:fill="CCEEFF" w:val="clear"/>
            <w:vAlign w:val="bottom"/>
          </w:tcPr>
          <w:p>
            <w:pPr>
              <w:pStyle w:val="TableContents"/>
              <w:spacing w:before="0" w:after="283"/>
              <w:jc w:val="left"/>
              <w:rPr/>
            </w:pPr>
            <w:r>
              <w:rPr/>
              <w:t> </w:t>
            </w:r>
          </w:p>
        </w:tc>
      </w:tr>
      <w:tr>
        <w:trPr/>
        <w:tc>
          <w:tcPr>
            <w:tcW w:w="26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166" w:type="dxa"/>
            <w:tcBorders/>
            <w:shd w:fill="auto" w:val="clear"/>
            <w:vAlign w:val="bottom"/>
          </w:tcPr>
          <w:p>
            <w:pPr>
              <w:pStyle w:val="TableContents"/>
              <w:spacing w:before="0" w:after="283"/>
              <w:jc w:val="left"/>
              <w:rPr/>
            </w:pPr>
            <w:r>
              <w:rPr/>
              <w:t> </w:t>
            </w:r>
          </w:p>
        </w:tc>
        <w:tc>
          <w:tcPr>
            <w:tcW w:w="723"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18" w:type="dxa"/>
            <w:tcBorders/>
            <w:shd w:fill="auto" w:val="clear"/>
            <w:vAlign w:val="bottom"/>
          </w:tcPr>
          <w:p>
            <w:pPr>
              <w:pStyle w:val="TableContents"/>
              <w:spacing w:before="0" w:after="283"/>
              <w:jc w:val="left"/>
              <w:rPr/>
            </w:pPr>
            <w:r>
              <w:rPr/>
              <w:t> </w:t>
            </w:r>
          </w:p>
        </w:tc>
        <w:tc>
          <w:tcPr>
            <w:tcW w:w="956"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r>
      <w:tr>
        <w:trPr/>
        <w:tc>
          <w:tcPr>
            <w:tcW w:w="2660" w:type="dxa"/>
            <w:tcBorders/>
            <w:shd w:fill="CCEE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Other intangibles</w:t>
            </w:r>
          </w:p>
        </w:tc>
        <w:tc>
          <w:tcPr>
            <w:tcW w:w="60" w:type="dxa"/>
            <w:tcBorders/>
            <w:shd w:fill="CCEEFF" w:val="clear"/>
            <w:vAlign w:val="bottom"/>
          </w:tcPr>
          <w:p>
            <w:pPr>
              <w:pStyle w:val="TableContents"/>
              <w:spacing w:before="0" w:after="283"/>
              <w:jc w:val="right"/>
              <w:rPr/>
            </w:pPr>
            <w:r>
              <w:rPr/>
              <w:t> </w:t>
            </w:r>
          </w:p>
        </w:tc>
        <w:tc>
          <w:tcPr>
            <w:tcW w:w="166" w:type="dxa"/>
            <w:tcBorders/>
            <w:shd w:fill="CCEEFF" w:val="clear"/>
            <w:vAlign w:val="bottom"/>
          </w:tcPr>
          <w:p>
            <w:pPr>
              <w:pStyle w:val="TableContents"/>
              <w:spacing w:before="0" w:after="283"/>
              <w:jc w:val="left"/>
              <w:rPr/>
            </w:pPr>
            <w:r>
              <w:rPr/>
              <w:t> </w:t>
            </w:r>
          </w:p>
        </w:tc>
        <w:tc>
          <w:tcPr>
            <w:tcW w:w="723"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2,972</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18" w:type="dxa"/>
            <w:tcBorders/>
            <w:shd w:fill="CCEEFF" w:val="clear"/>
            <w:vAlign w:val="bottom"/>
          </w:tcPr>
          <w:p>
            <w:pPr>
              <w:pStyle w:val="TableContents"/>
              <w:spacing w:before="0" w:after="283"/>
              <w:jc w:val="left"/>
              <w:rPr/>
            </w:pPr>
            <w:r>
              <w:rPr/>
              <w:t> </w:t>
            </w:r>
          </w:p>
        </w:tc>
        <w:tc>
          <w:tcPr>
            <w:tcW w:w="956"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2,972</w:t>
            </w:r>
          </w:p>
        </w:tc>
        <w:tc>
          <w:tcPr>
            <w:tcW w:w="95" w:type="dxa"/>
            <w:tcBorders/>
            <w:shd w:fill="CCEEFF" w:val="clear"/>
            <w:vAlign w:val="bottom"/>
          </w:tcPr>
          <w:p>
            <w:pPr>
              <w:pStyle w:val="TableContents"/>
              <w:spacing w:before="0" w:after="283"/>
              <w:jc w:val="left"/>
              <w:rPr/>
            </w:pPr>
            <w:r>
              <w:rPr/>
              <w:t> </w:t>
            </w:r>
          </w:p>
        </w:tc>
      </w:tr>
      <w:tr>
        <w:trPr/>
        <w:tc>
          <w:tcPr>
            <w:tcW w:w="2660" w:type="dxa"/>
            <w:tcBorders/>
            <w:shd w:fill="auto"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Less: Accumulated amortization</w:t>
            </w:r>
          </w:p>
        </w:tc>
        <w:tc>
          <w:tcPr>
            <w:tcW w:w="60" w:type="dxa"/>
            <w:tcBorders/>
            <w:shd w:fill="auto" w:val="clear"/>
            <w:vAlign w:val="bottom"/>
          </w:tcPr>
          <w:p>
            <w:pPr>
              <w:pStyle w:val="TableContents"/>
              <w:spacing w:before="0" w:after="283"/>
              <w:jc w:val="right"/>
              <w:rPr/>
            </w:pPr>
            <w:r>
              <w:rPr/>
              <w:t> </w:t>
            </w:r>
          </w:p>
        </w:tc>
        <w:tc>
          <w:tcPr>
            <w:tcW w:w="166"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723"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(2,030</w:t>
            </w:r>
          </w:p>
        </w:tc>
        <w:tc>
          <w:tcPr>
            <w:tcW w:w="80"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auto" w:val="clear"/>
            <w:vAlign w:val="bottom"/>
          </w:tcPr>
          <w:p>
            <w:pPr>
              <w:pStyle w:val="TableContents"/>
              <w:spacing w:before="0" w:after="283"/>
              <w:jc w:val="right"/>
              <w:rPr/>
            </w:pPr>
            <w:r>
              <w:rPr/>
              <w:t> </w:t>
            </w:r>
          </w:p>
        </w:tc>
        <w:tc>
          <w:tcPr>
            <w:tcW w:w="218"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956"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(1,882</w:t>
            </w:r>
          </w:p>
        </w:tc>
        <w:tc>
          <w:tcPr>
            <w:tcW w:w="95"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r>
      <w:tr>
        <w:trPr/>
        <w:tc>
          <w:tcPr>
            <w:tcW w:w="26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16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23"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942</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18"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56"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1,090</w:t>
            </w:r>
          </w:p>
        </w:tc>
        <w:tc>
          <w:tcPr>
            <w:tcW w:w="95" w:type="dxa"/>
            <w:tcBorders/>
            <w:shd w:fill="CCEEFF" w:val="clear"/>
            <w:vAlign w:val="bottom"/>
          </w:tcPr>
          <w:p>
            <w:pPr>
              <w:pStyle w:val="TableContents"/>
              <w:spacing w:before="0" w:after="283"/>
              <w:jc w:val="left"/>
              <w:rPr/>
            </w:pPr>
            <w:r>
              <w:rPr/>
              <w:t> </w:t>
            </w:r>
          </w:p>
        </w:tc>
      </w:tr>
      <w:tr>
        <w:trPr/>
        <w:tc>
          <w:tcPr>
            <w:tcW w:w="2660" w:type="dxa"/>
            <w:tcBorders/>
            <w:shd w:fill="auto"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Other intangible assets, net</w:t>
            </w:r>
          </w:p>
        </w:tc>
        <w:tc>
          <w:tcPr>
            <w:tcW w:w="60" w:type="dxa"/>
            <w:tcBorders/>
            <w:shd w:fill="auto" w:val="clear"/>
            <w:vAlign w:val="bottom"/>
          </w:tcPr>
          <w:p>
            <w:pPr>
              <w:pStyle w:val="TableContents"/>
              <w:spacing w:before="0" w:after="283"/>
              <w:jc w:val="right"/>
              <w:rPr/>
            </w:pPr>
            <w:r>
              <w:rPr/>
              <w:t> </w:t>
            </w:r>
          </w:p>
        </w:tc>
        <w:tc>
          <w:tcPr>
            <w:tcW w:w="166"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723"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3,988</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18"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956"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4,349</w:t>
            </w:r>
          </w:p>
        </w:tc>
        <w:tc>
          <w:tcPr>
            <w:tcW w:w="95" w:type="dxa"/>
            <w:tcBorders/>
            <w:shd w:fill="auto" w:val="clear"/>
            <w:vAlign w:val="bottom"/>
          </w:tcPr>
          <w:p>
            <w:pPr>
              <w:pStyle w:val="TableContents"/>
              <w:spacing w:before="0" w:after="0"/>
              <w:jc w:val="left"/>
              <w:rPr/>
            </w:pPr>
            <w:r>
              <w:rPr/>
              <w:t> </w:t>
            </w:r>
          </w:p>
        </w:tc>
      </w:tr>
    </w:tbl>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19</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b w:val="false"/>
            <w:i/>
            <w:color w:val="000000"/>
            <w:sz w:val="16"/>
          </w:rPr>
          <w:t>Table of Contents</w:t>
        </w:r>
      </w:hyperlink>
    </w:p>
    <w:p>
      <w:pPr>
        <w:pStyle w:val="TextBody"/>
        <w:spacing w:before="0" w:after="0"/>
        <w:jc w:val="left"/>
        <w:rPr/>
      </w:pPr>
      <w:r>
        <w:rPr/>
      </w:r>
    </w:p>
    <w:p>
      <w:pPr>
        <w:pStyle w:val="TextBody"/>
        <w:spacing w:before="0" w:after="0"/>
        <w:ind w:left="720" w:right="0" w:hanging="720"/>
        <w:jc w:val="both"/>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highlight w:val="white"/>
        </w:rPr>
        <w:t xml:space="preserve">5.  </w:t>
      </w:r>
      <w:r>
        <w:rPr>
          <w:rFonts w:ascii="Times New Roman" w:hAnsi="Times New Roman"/>
          <w:b/>
          <w:i w:val="false"/>
          <w:caps w:val="false"/>
          <w:smallCaps w:val="false"/>
          <w:color w:val="000000"/>
          <w:sz w:val="20"/>
        </w:rPr>
        <w:t>MORTGAGE SERVICING RIGHTS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table reflects the changes in fair value of the Company’s mortgage servicing rights asset included in the Company’s Consolidated Balance Sheets, and other information related to the serviced portfolio, for the periods or dates presented (dollars in thousands):</w:t>
      </w:r>
    </w:p>
    <w:p>
      <w:pPr>
        <w:pStyle w:val="TextBody"/>
        <w:spacing w:before="0" w:after="0"/>
        <w:jc w:val="left"/>
        <w:rPr/>
      </w:pPr>
      <w:r>
        <w:rPr/>
      </w:r>
    </w:p>
    <w:tbl>
      <w:tblPr>
        <w:tblW w:w="4131" w:type="dxa"/>
        <w:jc w:val="left"/>
        <w:tblInd w:w="0" w:type="dxa"/>
        <w:tblCellMar>
          <w:top w:w="0" w:type="dxa"/>
          <w:left w:w="0" w:type="dxa"/>
          <w:bottom w:w="0" w:type="dxa"/>
          <w:right w:w="0" w:type="dxa"/>
        </w:tblCellMar>
      </w:tblPr>
      <w:tblGrid>
        <w:gridCol w:w="1790"/>
        <w:gridCol w:w="60"/>
        <w:gridCol w:w="175"/>
        <w:gridCol w:w="830"/>
        <w:gridCol w:w="112"/>
        <w:gridCol w:w="84"/>
        <w:gridCol w:w="175"/>
        <w:gridCol w:w="830"/>
        <w:gridCol w:w="75"/>
      </w:tblGrid>
      <w:tr>
        <w:trPr/>
        <w:tc>
          <w:tcPr>
            <w:tcW w:w="17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06" w:type="dxa"/>
            <w:gridSpan w:val="6"/>
            <w:tcBorders>
              <w:bottom w:val="single" w:sz="12" w:space="0" w:color="000000"/>
            </w:tcBorders>
            <w:shd w:fill="auto" w:val="clear"/>
            <w:tcMar>
              <w:bottom w:w="28" w:type="dxa"/>
            </w:tcMar>
            <w:vAlign w:val="bottom"/>
          </w:tcPr>
          <w:p>
            <w:pPr>
              <w:pStyle w:val="TableContents"/>
              <w:spacing w:before="0" w:after="0"/>
              <w:jc w:val="center"/>
              <w:rPr>
                <w:b/>
              </w:rPr>
            </w:pPr>
            <w:r>
              <w:rPr>
                <w:b/>
              </w:rPr>
              <w:t>Three Months Ended</w:t>
            </w:r>
          </w:p>
          <w:p>
            <w:pPr>
              <w:pStyle w:val="TableContents"/>
              <w:spacing w:before="0" w:after="0"/>
              <w:jc w:val="center"/>
              <w:rPr>
                <w:b/>
              </w:rPr>
            </w:pPr>
            <w:r>
              <w:rPr>
                <w:b/>
              </w:rPr>
              <w:t>March 31,</w:t>
            </w:r>
          </w:p>
        </w:tc>
        <w:tc>
          <w:tcPr>
            <w:tcW w:w="75" w:type="dxa"/>
            <w:tcBorders/>
            <w:shd w:fill="auto" w:val="clear"/>
            <w:vAlign w:val="bottom"/>
          </w:tcPr>
          <w:p>
            <w:pPr>
              <w:pStyle w:val="TableContents"/>
              <w:spacing w:before="0" w:after="283"/>
              <w:jc w:val="left"/>
              <w:rPr/>
            </w:pPr>
            <w:r>
              <w:rPr/>
              <w:t> </w:t>
            </w:r>
          </w:p>
        </w:tc>
      </w:tr>
      <w:tr>
        <w:trPr/>
        <w:tc>
          <w:tcPr>
            <w:tcW w:w="17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0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2023</w:t>
            </w:r>
          </w:p>
        </w:tc>
        <w:tc>
          <w:tcPr>
            <w:tcW w:w="112" w:type="dxa"/>
            <w:tcBorders/>
            <w:shd w:fill="auto" w:val="clear"/>
            <w:vAlign w:val="bottom"/>
          </w:tcPr>
          <w:p>
            <w:pPr>
              <w:pStyle w:val="TableContents"/>
              <w:spacing w:before="0" w:after="283"/>
              <w:jc w:val="left"/>
              <w:rPr/>
            </w:pPr>
            <w:r>
              <w:rPr/>
              <w:t> </w:t>
            </w:r>
          </w:p>
        </w:tc>
        <w:tc>
          <w:tcPr>
            <w:tcW w:w="84" w:type="dxa"/>
            <w:tcBorders/>
            <w:shd w:fill="auto" w:val="clear"/>
            <w:vAlign w:val="bottom"/>
          </w:tcPr>
          <w:p>
            <w:pPr>
              <w:pStyle w:val="TableContents"/>
              <w:spacing w:before="0" w:after="283"/>
              <w:rPr/>
            </w:pPr>
            <w:r>
              <w:rPr/>
              <w:t> </w:t>
            </w:r>
          </w:p>
        </w:tc>
        <w:tc>
          <w:tcPr>
            <w:tcW w:w="100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2022</w:t>
            </w:r>
          </w:p>
        </w:tc>
        <w:tc>
          <w:tcPr>
            <w:tcW w:w="75" w:type="dxa"/>
            <w:tcBorders/>
            <w:shd w:fill="auto" w:val="clear"/>
            <w:vAlign w:val="bottom"/>
          </w:tcPr>
          <w:p>
            <w:pPr>
              <w:pStyle w:val="TableContents"/>
              <w:spacing w:before="0" w:after="283"/>
              <w:jc w:val="left"/>
              <w:rPr/>
            </w:pPr>
            <w:r>
              <w:rPr/>
              <w:t> </w:t>
            </w:r>
          </w:p>
        </w:tc>
      </w:tr>
      <w:tr>
        <w:trPr/>
        <w:tc>
          <w:tcPr>
            <w:tcW w:w="1790" w:type="dxa"/>
            <w:tcBorders/>
            <w:shd w:fill="CCEEFF" w:val="clear"/>
            <w:vAlign w:val="bottom"/>
          </w:tcPr>
          <w:p>
            <w:pPr>
              <w:pStyle w:val="TableContents"/>
              <w:spacing w:before="0" w:after="0"/>
              <w:ind w:left="144" w:right="0" w:hanging="144"/>
              <w:jc w:val="left"/>
              <w:rPr>
                <w:rFonts w:ascii="Times New Roman" w:hAnsi="Times New Roman"/>
                <w:sz w:val="20"/>
              </w:rPr>
            </w:pPr>
            <w:r>
              <w:rPr>
                <w:rFonts w:ascii="Times New Roman" w:hAnsi="Times New Roman"/>
                <w:sz w:val="20"/>
              </w:rPr>
              <w:t>Beginning balance</w:t>
            </w:r>
          </w:p>
        </w:tc>
        <w:tc>
          <w:tcPr>
            <w:tcW w:w="60" w:type="dxa"/>
            <w:tcBorders/>
            <w:shd w:fill="CCEEFF" w:val="clear"/>
            <w:vAlign w:val="bottom"/>
          </w:tcPr>
          <w:p>
            <w:pPr>
              <w:pStyle w:val="TableContents"/>
              <w:spacing w:before="0" w:after="283"/>
              <w:jc w:val="right"/>
              <w:rPr/>
            </w:pPr>
            <w:r>
              <w:rPr/>
              <w:t> </w:t>
            </w:r>
          </w:p>
        </w:tc>
        <w:tc>
          <w:tcPr>
            <w:tcW w:w="17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830"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27,474</w:t>
            </w:r>
          </w:p>
        </w:tc>
        <w:tc>
          <w:tcPr>
            <w:tcW w:w="112" w:type="dxa"/>
            <w:tcBorders/>
            <w:shd w:fill="CCEEFF" w:val="clear"/>
            <w:vAlign w:val="bottom"/>
          </w:tcPr>
          <w:p>
            <w:pPr>
              <w:pStyle w:val="TableContents"/>
              <w:spacing w:before="0" w:after="283"/>
              <w:jc w:val="left"/>
              <w:rPr/>
            </w:pPr>
            <w:r>
              <w:rPr/>
              <w:t> </w:t>
            </w:r>
          </w:p>
        </w:tc>
        <w:tc>
          <w:tcPr>
            <w:tcW w:w="84" w:type="dxa"/>
            <w:tcBorders/>
            <w:shd w:fill="CCEEFF" w:val="clear"/>
            <w:vAlign w:val="bottom"/>
          </w:tcPr>
          <w:p>
            <w:pPr>
              <w:pStyle w:val="TableContents"/>
              <w:spacing w:before="0" w:after="283"/>
              <w:jc w:val="right"/>
              <w:rPr/>
            </w:pPr>
            <w:r>
              <w:rPr/>
              <w:t> </w:t>
            </w:r>
          </w:p>
        </w:tc>
        <w:tc>
          <w:tcPr>
            <w:tcW w:w="17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830"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19,700</w:t>
            </w:r>
          </w:p>
        </w:tc>
        <w:tc>
          <w:tcPr>
            <w:tcW w:w="75" w:type="dxa"/>
            <w:tcBorders/>
            <w:shd w:fill="CCEEFF" w:val="clear"/>
            <w:vAlign w:val="bottom"/>
          </w:tcPr>
          <w:p>
            <w:pPr>
              <w:pStyle w:val="TableContents"/>
              <w:spacing w:before="0" w:after="283"/>
              <w:jc w:val="left"/>
              <w:rPr/>
            </w:pPr>
            <w:r>
              <w:rPr/>
              <w:t> </w:t>
            </w:r>
          </w:p>
        </w:tc>
      </w:tr>
      <w:tr>
        <w:trPr/>
        <w:tc>
          <w:tcPr>
            <w:tcW w:w="1790" w:type="dxa"/>
            <w:tcBorders/>
            <w:shd w:fill="auto" w:val="clear"/>
            <w:vAlign w:val="bottom"/>
          </w:tcPr>
          <w:p>
            <w:pPr>
              <w:pStyle w:val="TableContents"/>
              <w:spacing w:before="0" w:after="0"/>
              <w:ind w:left="144" w:right="0" w:hanging="144"/>
              <w:jc w:val="left"/>
              <w:rPr>
                <w:rFonts w:ascii="Times New Roman" w:hAnsi="Times New Roman"/>
                <w:sz w:val="20"/>
              </w:rPr>
            </w:pPr>
            <w:r>
              <w:rPr>
                <w:rFonts w:ascii="Times New Roman" w:hAnsi="Times New Roman"/>
                <w:sz w:val="20"/>
              </w:rPr>
              <w:t>Additions</w:t>
            </w:r>
          </w:p>
        </w:tc>
        <w:tc>
          <w:tcPr>
            <w:tcW w:w="60" w:type="dxa"/>
            <w:tcBorders/>
            <w:shd w:fill="auto" w:val="clear"/>
            <w:vAlign w:val="bottom"/>
          </w:tcPr>
          <w:p>
            <w:pPr>
              <w:pStyle w:val="TableContents"/>
              <w:spacing w:before="0" w:after="283"/>
              <w:jc w:val="right"/>
              <w:rPr/>
            </w:pPr>
            <w:r>
              <w:rPr/>
              <w:t> </w:t>
            </w:r>
          </w:p>
        </w:tc>
        <w:tc>
          <w:tcPr>
            <w:tcW w:w="175" w:type="dxa"/>
            <w:tcBorders/>
            <w:shd w:fill="auto" w:val="clear"/>
            <w:vAlign w:val="bottom"/>
          </w:tcPr>
          <w:p>
            <w:pPr>
              <w:pStyle w:val="TableContents"/>
              <w:spacing w:before="0" w:after="283"/>
              <w:jc w:val="left"/>
              <w:rPr/>
            </w:pPr>
            <w:r>
              <w:rPr/>
              <w:t> </w:t>
            </w:r>
          </w:p>
        </w:tc>
        <w:tc>
          <w:tcPr>
            <w:tcW w:w="830"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271</w:t>
            </w:r>
          </w:p>
        </w:tc>
        <w:tc>
          <w:tcPr>
            <w:tcW w:w="112" w:type="dxa"/>
            <w:tcBorders/>
            <w:shd w:fill="auto" w:val="clear"/>
            <w:vAlign w:val="bottom"/>
          </w:tcPr>
          <w:p>
            <w:pPr>
              <w:pStyle w:val="TableContents"/>
              <w:spacing w:before="0" w:after="283"/>
              <w:jc w:val="left"/>
              <w:rPr/>
            </w:pPr>
            <w:r>
              <w:rPr/>
              <w:t> </w:t>
            </w:r>
          </w:p>
        </w:tc>
        <w:tc>
          <w:tcPr>
            <w:tcW w:w="84" w:type="dxa"/>
            <w:tcBorders/>
            <w:shd w:fill="auto" w:val="clear"/>
            <w:vAlign w:val="bottom"/>
          </w:tcPr>
          <w:p>
            <w:pPr>
              <w:pStyle w:val="TableContents"/>
              <w:spacing w:before="0" w:after="283"/>
              <w:jc w:val="right"/>
              <w:rPr/>
            </w:pPr>
            <w:r>
              <w:rPr/>
              <w:t> </w:t>
            </w:r>
          </w:p>
        </w:tc>
        <w:tc>
          <w:tcPr>
            <w:tcW w:w="175" w:type="dxa"/>
            <w:tcBorders/>
            <w:shd w:fill="auto" w:val="clear"/>
            <w:vAlign w:val="bottom"/>
          </w:tcPr>
          <w:p>
            <w:pPr>
              <w:pStyle w:val="TableContents"/>
              <w:spacing w:before="0" w:after="283"/>
              <w:jc w:val="left"/>
              <w:rPr/>
            </w:pPr>
            <w:r>
              <w:rPr/>
              <w:t> </w:t>
            </w:r>
          </w:p>
        </w:tc>
        <w:tc>
          <w:tcPr>
            <w:tcW w:w="830"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1,250</w:t>
            </w:r>
          </w:p>
        </w:tc>
        <w:tc>
          <w:tcPr>
            <w:tcW w:w="75" w:type="dxa"/>
            <w:tcBorders/>
            <w:shd w:fill="auto" w:val="clear"/>
            <w:vAlign w:val="bottom"/>
          </w:tcPr>
          <w:p>
            <w:pPr>
              <w:pStyle w:val="TableContents"/>
              <w:spacing w:before="0" w:after="283"/>
              <w:jc w:val="left"/>
              <w:rPr/>
            </w:pPr>
            <w:r>
              <w:rPr/>
              <w:t> </w:t>
            </w:r>
          </w:p>
        </w:tc>
      </w:tr>
      <w:tr>
        <w:trPr/>
        <w:tc>
          <w:tcPr>
            <w:tcW w:w="1790" w:type="dxa"/>
            <w:tcBorders/>
            <w:shd w:fill="CCEEFF" w:val="clear"/>
            <w:vAlign w:val="bottom"/>
          </w:tcPr>
          <w:p>
            <w:pPr>
              <w:pStyle w:val="TableContents"/>
              <w:spacing w:before="0" w:after="0"/>
              <w:ind w:left="144" w:right="0" w:hanging="144"/>
              <w:jc w:val="left"/>
              <w:rPr>
                <w:rFonts w:ascii="Times New Roman" w:hAnsi="Times New Roman"/>
                <w:sz w:val="20"/>
              </w:rPr>
            </w:pPr>
            <w:r>
              <w:rPr>
                <w:rFonts w:ascii="Times New Roman" w:hAnsi="Times New Roman"/>
                <w:sz w:val="20"/>
              </w:rPr>
              <w:t>Valuation adjustment</w:t>
            </w:r>
          </w:p>
        </w:tc>
        <w:tc>
          <w:tcPr>
            <w:tcW w:w="60" w:type="dxa"/>
            <w:tcBorders/>
            <w:shd w:fill="CCEEFF" w:val="clear"/>
            <w:vAlign w:val="bottom"/>
          </w:tcPr>
          <w:p>
            <w:pPr>
              <w:pStyle w:val="TableContents"/>
              <w:spacing w:before="0" w:after="283"/>
              <w:jc w:val="right"/>
              <w:rPr/>
            </w:pPr>
            <w:r>
              <w:rPr/>
              <w:t> </w:t>
            </w:r>
          </w:p>
        </w:tc>
        <w:tc>
          <w:tcPr>
            <w:tcW w:w="17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(1,950</w:t>
            </w:r>
          </w:p>
        </w:tc>
        <w:tc>
          <w:tcPr>
            <w:tcW w:w="112"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84" w:type="dxa"/>
            <w:tcBorders/>
            <w:shd w:fill="CCEEFF" w:val="clear"/>
            <w:vAlign w:val="bottom"/>
          </w:tcPr>
          <w:p>
            <w:pPr>
              <w:pStyle w:val="TableContents"/>
              <w:spacing w:before="0" w:after="283"/>
              <w:jc w:val="right"/>
              <w:rPr/>
            </w:pPr>
            <w:r>
              <w:rPr/>
              <w:t> </w:t>
            </w:r>
          </w:p>
        </w:tc>
        <w:tc>
          <w:tcPr>
            <w:tcW w:w="17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4,475</w:t>
            </w:r>
          </w:p>
        </w:tc>
        <w:tc>
          <w:tcPr>
            <w:tcW w:w="75" w:type="dxa"/>
            <w:tcBorders/>
            <w:shd w:fill="CCEEFF" w:val="clear"/>
            <w:vAlign w:val="bottom"/>
          </w:tcPr>
          <w:p>
            <w:pPr>
              <w:pStyle w:val="TableContents"/>
              <w:spacing w:before="0" w:after="283"/>
              <w:jc w:val="left"/>
              <w:rPr/>
            </w:pPr>
            <w:r>
              <w:rPr/>
              <w:t> </w:t>
            </w:r>
          </w:p>
        </w:tc>
      </w:tr>
      <w:tr>
        <w:trPr/>
        <w:tc>
          <w:tcPr>
            <w:tcW w:w="1790" w:type="dxa"/>
            <w:tcBorders/>
            <w:shd w:fill="auto" w:val="clear"/>
            <w:vAlign w:val="bottom"/>
          </w:tcPr>
          <w:p>
            <w:pPr>
              <w:pStyle w:val="TableContents"/>
              <w:spacing w:before="0" w:after="0"/>
              <w:ind w:left="144" w:right="0" w:hanging="144"/>
              <w:jc w:val="left"/>
              <w:rPr>
                <w:rFonts w:ascii="Times New Roman" w:hAnsi="Times New Roman"/>
                <w:sz w:val="20"/>
              </w:rPr>
            </w:pPr>
            <w:r>
              <w:rPr>
                <w:rFonts w:ascii="Times New Roman" w:hAnsi="Times New Roman"/>
                <w:sz w:val="20"/>
              </w:rPr>
              <w:t>Ending balance</w:t>
            </w:r>
          </w:p>
        </w:tc>
        <w:tc>
          <w:tcPr>
            <w:tcW w:w="60" w:type="dxa"/>
            <w:tcBorders/>
            <w:shd w:fill="auto" w:val="clear"/>
            <w:vAlign w:val="bottom"/>
          </w:tcPr>
          <w:p>
            <w:pPr>
              <w:pStyle w:val="TableContents"/>
              <w:spacing w:before="0" w:after="283"/>
              <w:jc w:val="right"/>
              <w:rPr/>
            </w:pPr>
            <w:r>
              <w:rPr/>
              <w:t> </w:t>
            </w:r>
          </w:p>
        </w:tc>
        <w:tc>
          <w:tcPr>
            <w:tcW w:w="175"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830"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25,795</w:t>
            </w:r>
          </w:p>
        </w:tc>
        <w:tc>
          <w:tcPr>
            <w:tcW w:w="112" w:type="dxa"/>
            <w:tcBorders/>
            <w:shd w:fill="auto" w:val="clear"/>
            <w:vAlign w:val="bottom"/>
          </w:tcPr>
          <w:p>
            <w:pPr>
              <w:pStyle w:val="TableContents"/>
              <w:spacing w:before="0" w:after="283"/>
              <w:jc w:val="left"/>
              <w:rPr/>
            </w:pPr>
            <w:r>
              <w:rPr/>
              <w:t> </w:t>
            </w:r>
          </w:p>
        </w:tc>
        <w:tc>
          <w:tcPr>
            <w:tcW w:w="84" w:type="dxa"/>
            <w:tcBorders/>
            <w:shd w:fill="auto" w:val="clear"/>
            <w:vAlign w:val="bottom"/>
          </w:tcPr>
          <w:p>
            <w:pPr>
              <w:pStyle w:val="TableContents"/>
              <w:spacing w:before="0" w:after="283"/>
              <w:jc w:val="right"/>
              <w:rPr/>
            </w:pPr>
            <w:r>
              <w:rPr/>
              <w:t> </w:t>
            </w:r>
          </w:p>
        </w:tc>
        <w:tc>
          <w:tcPr>
            <w:tcW w:w="175"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830"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25,425</w:t>
            </w:r>
          </w:p>
        </w:tc>
        <w:tc>
          <w:tcPr>
            <w:tcW w:w="75" w:type="dxa"/>
            <w:tcBorders/>
            <w:shd w:fill="auto" w:val="clear"/>
            <w:vAlign w:val="bottom"/>
          </w:tcPr>
          <w:p>
            <w:pPr>
              <w:pStyle w:val="TableContents"/>
              <w:spacing w:before="0" w:after="283"/>
              <w:jc w:val="left"/>
              <w:rPr/>
            </w:pPr>
            <w:r>
              <w:rPr/>
              <w:t> </w:t>
            </w:r>
          </w:p>
        </w:tc>
      </w:tr>
    </w:tbl>
    <w:p>
      <w:pPr>
        <w:pStyle w:val="TextBody"/>
        <w:spacing w:before="0" w:after="0"/>
        <w:rPr/>
      </w:pPr>
      <w:r>
        <w:rPr/>
      </w:r>
    </w:p>
    <w:tbl>
      <w:tblPr>
        <w:tblW w:w="9248" w:type="dxa"/>
        <w:jc w:val="left"/>
        <w:tblInd w:w="0" w:type="dxa"/>
        <w:tblCellMar>
          <w:top w:w="0" w:type="dxa"/>
          <w:left w:w="0" w:type="dxa"/>
          <w:bottom w:w="0" w:type="dxa"/>
          <w:right w:w="0" w:type="dxa"/>
        </w:tblCellMar>
      </w:tblPr>
      <w:tblGrid>
        <w:gridCol w:w="6140"/>
        <w:gridCol w:w="60"/>
        <w:gridCol w:w="145"/>
        <w:gridCol w:w="984"/>
        <w:gridCol w:w="185"/>
        <w:gridCol w:w="60"/>
        <w:gridCol w:w="188"/>
        <w:gridCol w:w="1286"/>
        <w:gridCol w:w="200"/>
      </w:tblGrid>
      <w:tr>
        <w:trPr/>
        <w:tc>
          <w:tcPr>
            <w:tcW w:w="61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center"/>
              <w:rPr/>
            </w:pPr>
            <w:r>
              <w:rPr/>
              <w:t> </w:t>
            </w:r>
          </w:p>
        </w:tc>
        <w:tc>
          <w:tcPr>
            <w:tcW w:w="1129" w:type="dxa"/>
            <w:gridSpan w:val="2"/>
            <w:tcBorders/>
            <w:shd w:fill="auto" w:val="clear"/>
            <w:vAlign w:val="bottom"/>
          </w:tcPr>
          <w:p>
            <w:pPr>
              <w:pStyle w:val="TableContents"/>
              <w:spacing w:before="0" w:after="283"/>
              <w:jc w:val="center"/>
              <w:rPr>
                <w:b/>
              </w:rPr>
            </w:pPr>
            <w:r>
              <w:rPr>
                <w:b/>
              </w:rPr>
              <w:t xml:space="preserve">March 31, </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center"/>
              <w:rPr/>
            </w:pPr>
            <w:r>
              <w:rPr/>
              <w:t> </w:t>
            </w:r>
          </w:p>
        </w:tc>
        <w:tc>
          <w:tcPr>
            <w:tcW w:w="1474" w:type="dxa"/>
            <w:gridSpan w:val="2"/>
            <w:tcBorders/>
            <w:shd w:fill="auto" w:val="clear"/>
            <w:vAlign w:val="bottom"/>
          </w:tcPr>
          <w:p>
            <w:pPr>
              <w:pStyle w:val="TableContents"/>
              <w:spacing w:before="0" w:after="283"/>
              <w:jc w:val="center"/>
              <w:rPr>
                <w:b/>
              </w:rPr>
            </w:pPr>
            <w:r>
              <w:rPr>
                <w:b/>
              </w:rPr>
              <w:t xml:space="preserve">December 31, </w:t>
            </w:r>
          </w:p>
        </w:tc>
        <w:tc>
          <w:tcPr>
            <w:tcW w:w="200" w:type="dxa"/>
            <w:tcBorders/>
            <w:shd w:fill="auto" w:val="clear"/>
            <w:vAlign w:val="bottom"/>
          </w:tcPr>
          <w:p>
            <w:pPr>
              <w:pStyle w:val="TableContents"/>
              <w:spacing w:before="0" w:after="283"/>
              <w:jc w:val="left"/>
              <w:rPr/>
            </w:pPr>
            <w:r>
              <w:rPr/>
              <w:t> </w:t>
            </w:r>
          </w:p>
        </w:tc>
      </w:tr>
      <w:tr>
        <w:trPr/>
        <w:tc>
          <w:tcPr>
            <w:tcW w:w="61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center"/>
              <w:rPr/>
            </w:pPr>
            <w:r>
              <w:rPr/>
              <w:t> </w:t>
            </w:r>
          </w:p>
        </w:tc>
        <w:tc>
          <w:tcPr>
            <w:tcW w:w="14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984" w:type="dxa"/>
            <w:tcBorders>
              <w:bottom w:val="single" w:sz="12" w:space="0" w:color="000000"/>
            </w:tcBorders>
            <w:shd w:fill="auto" w:val="clear"/>
            <w:tcMar>
              <w:bottom w:w="28" w:type="dxa"/>
            </w:tcMar>
            <w:vAlign w:val="bottom"/>
          </w:tcPr>
          <w:p>
            <w:pPr>
              <w:pStyle w:val="TableContents"/>
              <w:spacing w:before="0" w:after="283"/>
              <w:jc w:val="center"/>
              <w:rPr>
                <w:b/>
              </w:rPr>
            </w:pPr>
            <w:r>
              <w:rPr>
                <w:b/>
              </w:rPr>
              <w:t>2023</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center"/>
              <w:rPr/>
            </w:pPr>
            <w:r>
              <w:rPr/>
              <w:t> </w:t>
            </w:r>
          </w:p>
        </w:tc>
        <w:tc>
          <w:tcPr>
            <w:tcW w:w="188"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1286" w:type="dxa"/>
            <w:tcBorders>
              <w:bottom w:val="single" w:sz="12" w:space="0" w:color="000000"/>
            </w:tcBorders>
            <w:shd w:fill="auto" w:val="clear"/>
            <w:tcMar>
              <w:bottom w:w="28" w:type="dxa"/>
            </w:tcMar>
            <w:vAlign w:val="bottom"/>
          </w:tcPr>
          <w:p>
            <w:pPr>
              <w:pStyle w:val="TableContents"/>
              <w:spacing w:before="0" w:after="283"/>
              <w:jc w:val="center"/>
              <w:rPr>
                <w:b/>
              </w:rPr>
            </w:pPr>
            <w:r>
              <w:rPr>
                <w:b/>
              </w:rPr>
              <w:t>2022</w:t>
            </w:r>
          </w:p>
        </w:tc>
        <w:tc>
          <w:tcPr>
            <w:tcW w:w="200" w:type="dxa"/>
            <w:tcBorders/>
            <w:shd w:fill="auto" w:val="clear"/>
            <w:vAlign w:val="bottom"/>
          </w:tcPr>
          <w:p>
            <w:pPr>
              <w:pStyle w:val="TableContents"/>
              <w:spacing w:before="0" w:after="283"/>
              <w:jc w:val="left"/>
              <w:rPr/>
            </w:pPr>
            <w:r>
              <w:rPr/>
              <w:t> </w:t>
            </w:r>
          </w:p>
        </w:tc>
      </w:tr>
      <w:tr>
        <w:trPr/>
        <w:tc>
          <w:tcPr>
            <w:tcW w:w="6140"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Mortgage loans serviced for others</w:t>
            </w:r>
          </w:p>
        </w:tc>
        <w:tc>
          <w:tcPr>
            <w:tcW w:w="60" w:type="dxa"/>
            <w:tcBorders/>
            <w:shd w:fill="CCEEFF" w:val="clear"/>
            <w:vAlign w:val="bottom"/>
          </w:tcPr>
          <w:p>
            <w:pPr>
              <w:pStyle w:val="TableContents"/>
              <w:spacing w:before="0" w:after="283"/>
              <w:jc w:val="right"/>
              <w:rPr/>
            </w:pPr>
            <w:r>
              <w:rPr/>
              <w:t> </w:t>
            </w:r>
          </w:p>
        </w:tc>
        <w:tc>
          <w:tcPr>
            <w:tcW w:w="14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984"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2,037,390</w:t>
            </w:r>
          </w:p>
        </w:tc>
        <w:tc>
          <w:tcPr>
            <w:tcW w:w="18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8"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1286"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2,046,490</w:t>
            </w:r>
          </w:p>
        </w:tc>
        <w:tc>
          <w:tcPr>
            <w:tcW w:w="200" w:type="dxa"/>
            <w:tcBorders/>
            <w:shd w:fill="CCEEFF" w:val="clear"/>
            <w:vAlign w:val="bottom"/>
          </w:tcPr>
          <w:p>
            <w:pPr>
              <w:pStyle w:val="TableContents"/>
              <w:spacing w:before="0" w:after="283"/>
              <w:jc w:val="left"/>
              <w:rPr/>
            </w:pPr>
            <w:r>
              <w:rPr/>
              <w:t> </w:t>
            </w:r>
          </w:p>
        </w:tc>
      </w:tr>
      <w:tr>
        <w:trPr/>
        <w:tc>
          <w:tcPr>
            <w:tcW w:w="6140"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Mortgage servicing rights assets as a percentage of serviced mortgage loans</w:t>
            </w:r>
          </w:p>
        </w:tc>
        <w:tc>
          <w:tcPr>
            <w:tcW w:w="60" w:type="dxa"/>
            <w:tcBorders/>
            <w:shd w:fill="auto" w:val="clear"/>
            <w:vAlign w:val="bottom"/>
          </w:tcPr>
          <w:p>
            <w:pPr>
              <w:pStyle w:val="TableContents"/>
              <w:spacing w:before="0" w:after="283"/>
              <w:jc w:val="right"/>
              <w:rPr/>
            </w:pPr>
            <w:r>
              <w:rPr/>
              <w:t> </w:t>
            </w:r>
          </w:p>
        </w:tc>
        <w:tc>
          <w:tcPr>
            <w:tcW w:w="145" w:type="dxa"/>
            <w:tcBorders/>
            <w:shd w:fill="auto" w:val="clear"/>
            <w:vAlign w:val="bottom"/>
          </w:tcPr>
          <w:p>
            <w:pPr>
              <w:pStyle w:val="TableContents"/>
              <w:spacing w:before="0" w:after="283"/>
              <w:jc w:val="left"/>
              <w:rPr/>
            </w:pPr>
            <w:r>
              <w:rPr/>
              <w:t> </w:t>
            </w:r>
          </w:p>
        </w:tc>
        <w:tc>
          <w:tcPr>
            <w:tcW w:w="984"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1.27</w:t>
            </w:r>
          </w:p>
        </w:tc>
        <w:tc>
          <w:tcPr>
            <w:tcW w:w="185"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auto" w:val="clear"/>
            <w:vAlign w:val="bottom"/>
          </w:tcPr>
          <w:p>
            <w:pPr>
              <w:pStyle w:val="TableContents"/>
              <w:spacing w:before="0" w:after="283"/>
              <w:jc w:val="right"/>
              <w:rPr/>
            </w:pPr>
            <w:r>
              <w:rPr/>
              <w:t> </w:t>
            </w:r>
          </w:p>
        </w:tc>
        <w:tc>
          <w:tcPr>
            <w:tcW w:w="188" w:type="dxa"/>
            <w:tcBorders/>
            <w:shd w:fill="auto" w:val="clear"/>
            <w:vAlign w:val="bottom"/>
          </w:tcPr>
          <w:p>
            <w:pPr>
              <w:pStyle w:val="TableContents"/>
              <w:spacing w:before="0" w:after="283"/>
              <w:jc w:val="left"/>
              <w:rPr/>
            </w:pPr>
            <w:r>
              <w:rPr/>
              <w:t> </w:t>
            </w:r>
          </w:p>
        </w:tc>
        <w:tc>
          <w:tcPr>
            <w:tcW w:w="1286"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1.34</w:t>
            </w:r>
          </w:p>
        </w:tc>
        <w:tc>
          <w:tcPr>
            <w:tcW w:w="200"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r>
    </w:tbl>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table reflects the key assumptions used in measuring the fair value of the Company’s mortgage servicing rights as of the dates indicated:</w:t>
      </w:r>
    </w:p>
    <w:p>
      <w:pPr>
        <w:pStyle w:val="TextBody"/>
        <w:spacing w:before="0" w:after="0"/>
        <w:jc w:val="left"/>
        <w:rPr/>
      </w:pPr>
      <w:r>
        <w:rPr/>
      </w:r>
    </w:p>
    <w:tbl>
      <w:tblPr>
        <w:tblW w:w="6158" w:type="dxa"/>
        <w:jc w:val="left"/>
        <w:tblInd w:w="0" w:type="dxa"/>
        <w:tblCellMar>
          <w:top w:w="0" w:type="dxa"/>
          <w:left w:w="0" w:type="dxa"/>
          <w:bottom w:w="0" w:type="dxa"/>
          <w:right w:w="0" w:type="dxa"/>
        </w:tblCellMar>
      </w:tblPr>
      <w:tblGrid>
        <w:gridCol w:w="3590"/>
        <w:gridCol w:w="60"/>
        <w:gridCol w:w="120"/>
        <w:gridCol w:w="769"/>
        <w:gridCol w:w="185"/>
        <w:gridCol w:w="60"/>
        <w:gridCol w:w="159"/>
        <w:gridCol w:w="1015"/>
        <w:gridCol w:w="200"/>
      </w:tblGrid>
      <w:tr>
        <w:trPr/>
        <w:tc>
          <w:tcPr>
            <w:tcW w:w="35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9" w:type="dxa"/>
            <w:gridSpan w:val="2"/>
            <w:tcBorders/>
            <w:shd w:fill="auto" w:val="clear"/>
            <w:vAlign w:val="bottom"/>
          </w:tcPr>
          <w:p>
            <w:pPr>
              <w:pStyle w:val="TableContents"/>
              <w:spacing w:before="0" w:after="0"/>
              <w:jc w:val="center"/>
              <w:rPr>
                <w:rFonts w:ascii="Times New Roman" w:hAnsi="Times New Roman"/>
                <w:b/>
                <w:sz w:val="20"/>
              </w:rPr>
            </w:pPr>
            <w:r>
              <w:rPr>
                <w:rFonts w:ascii="Times New Roman" w:hAnsi="Times New Roman"/>
                <w:b/>
                <w:sz w:val="20"/>
              </w:rPr>
              <w:t>March 31,</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74" w:type="dxa"/>
            <w:gridSpan w:val="2"/>
            <w:tcBorders/>
            <w:shd w:fill="auto" w:val="clear"/>
            <w:vAlign w:val="bottom"/>
          </w:tcPr>
          <w:p>
            <w:pPr>
              <w:pStyle w:val="TableContents"/>
              <w:spacing w:before="0" w:after="0"/>
              <w:jc w:val="center"/>
              <w:rPr>
                <w:rFonts w:ascii="Times New Roman" w:hAnsi="Times New Roman"/>
                <w:b/>
                <w:sz w:val="20"/>
              </w:rPr>
            </w:pPr>
            <w:r>
              <w:rPr>
                <w:rFonts w:ascii="Times New Roman" w:hAnsi="Times New Roman"/>
                <w:b/>
                <w:sz w:val="20"/>
              </w:rPr>
              <w:t>December 31,</w:t>
            </w:r>
          </w:p>
        </w:tc>
        <w:tc>
          <w:tcPr>
            <w:tcW w:w="200" w:type="dxa"/>
            <w:tcBorders/>
            <w:shd w:fill="auto" w:val="clear"/>
            <w:vAlign w:val="bottom"/>
          </w:tcPr>
          <w:p>
            <w:pPr>
              <w:pStyle w:val="TableContents"/>
              <w:spacing w:before="0" w:after="283"/>
              <w:jc w:val="left"/>
              <w:rPr/>
            </w:pPr>
            <w:r>
              <w:rPr/>
              <w:t> </w:t>
            </w:r>
          </w:p>
        </w:tc>
      </w:tr>
      <w:tr>
        <w:trPr/>
        <w:tc>
          <w:tcPr>
            <w:tcW w:w="359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89"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2023</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74"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2022</w:t>
            </w:r>
          </w:p>
        </w:tc>
        <w:tc>
          <w:tcPr>
            <w:tcW w:w="200" w:type="dxa"/>
            <w:tcBorders/>
            <w:shd w:fill="auto" w:val="clear"/>
            <w:vAlign w:val="bottom"/>
          </w:tcPr>
          <w:p>
            <w:pPr>
              <w:pStyle w:val="TableContents"/>
              <w:spacing w:before="0" w:after="283"/>
              <w:jc w:val="left"/>
              <w:rPr/>
            </w:pPr>
            <w:r>
              <w:rPr/>
              <w:t> </w:t>
            </w:r>
          </w:p>
        </w:tc>
      </w:tr>
      <w:tr>
        <w:trPr/>
        <w:tc>
          <w:tcPr>
            <w:tcW w:w="3590" w:type="dxa"/>
            <w:tcBorders/>
            <w:shd w:fill="CCEEFF" w:val="clear"/>
            <w:vAlign w:val="bottom"/>
          </w:tcPr>
          <w:p>
            <w:pPr>
              <w:pStyle w:val="TableContents"/>
              <w:spacing w:before="0" w:after="0"/>
              <w:ind w:left="144" w:right="0" w:hanging="144"/>
              <w:jc w:val="left"/>
              <w:rPr>
                <w:rFonts w:ascii="Times New Roman" w:hAnsi="Times New Roman"/>
                <w:sz w:val="20"/>
              </w:rPr>
            </w:pPr>
            <w:r>
              <w:rPr>
                <w:rFonts w:ascii="Times New Roman" w:hAnsi="Times New Roman"/>
                <w:sz w:val="20"/>
              </w:rPr>
              <w:t>Weighted average constant prepayment rate</w:t>
            </w:r>
          </w:p>
        </w:tc>
        <w:tc>
          <w:tcPr>
            <w:tcW w:w="60" w:type="dxa"/>
            <w:tcBorders/>
            <w:shd w:fill="CCEEFF" w:val="clear"/>
            <w:vAlign w:val="bottom"/>
          </w:tcPr>
          <w:p>
            <w:pPr>
              <w:pStyle w:val="TableContents"/>
              <w:spacing w:before="0" w:after="283"/>
              <w:jc w:val="right"/>
              <w:rPr/>
            </w:pPr>
            <w:r>
              <w:rPr/>
              <w:t> </w:t>
            </w:r>
          </w:p>
        </w:tc>
        <w:tc>
          <w:tcPr>
            <w:tcW w:w="120" w:type="dxa"/>
            <w:tcBorders/>
            <w:shd w:fill="CCEEFF" w:val="clear"/>
            <w:vAlign w:val="bottom"/>
          </w:tcPr>
          <w:p>
            <w:pPr>
              <w:pStyle w:val="TableContents"/>
              <w:spacing w:before="0" w:after="283"/>
              <w:jc w:val="left"/>
              <w:rPr/>
            </w:pPr>
            <w:r>
              <w:rPr/>
              <w:t> </w:t>
            </w:r>
          </w:p>
        </w:tc>
        <w:tc>
          <w:tcPr>
            <w:tcW w:w="769"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7.44</w:t>
            </w:r>
          </w:p>
        </w:tc>
        <w:tc>
          <w:tcPr>
            <w:tcW w:w="18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right"/>
              <w:rPr/>
            </w:pPr>
            <w:r>
              <w:rPr/>
              <w:t> </w:t>
            </w:r>
          </w:p>
        </w:tc>
        <w:tc>
          <w:tcPr>
            <w:tcW w:w="159" w:type="dxa"/>
            <w:tcBorders/>
            <w:shd w:fill="CCEEFF" w:val="clear"/>
            <w:vAlign w:val="bottom"/>
          </w:tcPr>
          <w:p>
            <w:pPr>
              <w:pStyle w:val="TableContents"/>
              <w:spacing w:before="0" w:after="283"/>
              <w:jc w:val="left"/>
              <w:rPr/>
            </w:pPr>
            <w:r>
              <w:rPr/>
              <w:t> </w:t>
            </w:r>
          </w:p>
        </w:tc>
        <w:tc>
          <w:tcPr>
            <w:tcW w:w="1015"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7.47</w:t>
            </w:r>
          </w:p>
        </w:tc>
        <w:tc>
          <w:tcPr>
            <w:tcW w:w="200"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r>
      <w:tr>
        <w:trPr/>
        <w:tc>
          <w:tcPr>
            <w:tcW w:w="3590" w:type="dxa"/>
            <w:tcBorders/>
            <w:shd w:fill="auto" w:val="clear"/>
            <w:vAlign w:val="bottom"/>
          </w:tcPr>
          <w:p>
            <w:pPr>
              <w:pStyle w:val="TableContents"/>
              <w:spacing w:before="0" w:after="0"/>
              <w:ind w:left="144" w:right="0" w:hanging="144"/>
              <w:jc w:val="left"/>
              <w:rPr>
                <w:rFonts w:ascii="Times New Roman" w:hAnsi="Times New Roman"/>
                <w:sz w:val="20"/>
              </w:rPr>
            </w:pPr>
            <w:r>
              <w:rPr>
                <w:rFonts w:ascii="Times New Roman" w:hAnsi="Times New Roman"/>
                <w:sz w:val="20"/>
              </w:rPr>
              <w:t>Weighted average discount rate</w:t>
            </w:r>
          </w:p>
        </w:tc>
        <w:tc>
          <w:tcPr>
            <w:tcW w:w="60" w:type="dxa"/>
            <w:tcBorders/>
            <w:shd w:fill="auto" w:val="clear"/>
            <w:vAlign w:val="bottom"/>
          </w:tcPr>
          <w:p>
            <w:pPr>
              <w:pStyle w:val="TableContents"/>
              <w:spacing w:before="0" w:after="283"/>
              <w:jc w:val="right"/>
              <w:rPr/>
            </w:pPr>
            <w:r>
              <w:rPr/>
              <w:t> </w:t>
            </w:r>
          </w:p>
        </w:tc>
        <w:tc>
          <w:tcPr>
            <w:tcW w:w="120" w:type="dxa"/>
            <w:tcBorders/>
            <w:shd w:fill="auto" w:val="clear"/>
            <w:vAlign w:val="bottom"/>
          </w:tcPr>
          <w:p>
            <w:pPr>
              <w:pStyle w:val="TableContents"/>
              <w:spacing w:before="0" w:after="283"/>
              <w:jc w:val="left"/>
              <w:rPr/>
            </w:pPr>
            <w:r>
              <w:rPr/>
              <w:t> </w:t>
            </w:r>
          </w:p>
        </w:tc>
        <w:tc>
          <w:tcPr>
            <w:tcW w:w="769"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9.65</w:t>
            </w:r>
          </w:p>
        </w:tc>
        <w:tc>
          <w:tcPr>
            <w:tcW w:w="185"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auto" w:val="clear"/>
            <w:vAlign w:val="bottom"/>
          </w:tcPr>
          <w:p>
            <w:pPr>
              <w:pStyle w:val="TableContents"/>
              <w:spacing w:before="0" w:after="283"/>
              <w:jc w:val="right"/>
              <w:rPr/>
            </w:pPr>
            <w:r>
              <w:rPr/>
              <w:t> </w:t>
            </w:r>
          </w:p>
        </w:tc>
        <w:tc>
          <w:tcPr>
            <w:tcW w:w="159" w:type="dxa"/>
            <w:tcBorders/>
            <w:shd w:fill="auto" w:val="clear"/>
            <w:vAlign w:val="bottom"/>
          </w:tcPr>
          <w:p>
            <w:pPr>
              <w:pStyle w:val="TableContents"/>
              <w:spacing w:before="0" w:after="283"/>
              <w:jc w:val="left"/>
              <w:rPr/>
            </w:pPr>
            <w:r>
              <w:rPr/>
              <w:t> </w:t>
            </w:r>
          </w:p>
        </w:tc>
        <w:tc>
          <w:tcPr>
            <w:tcW w:w="1015"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9.15</w:t>
            </w:r>
          </w:p>
        </w:tc>
        <w:tc>
          <w:tcPr>
            <w:tcW w:w="200"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r>
      <w:tr>
        <w:trPr/>
        <w:tc>
          <w:tcPr>
            <w:tcW w:w="3590" w:type="dxa"/>
            <w:tcBorders/>
            <w:shd w:fill="CCEEFF" w:val="clear"/>
            <w:vAlign w:val="bottom"/>
          </w:tcPr>
          <w:p>
            <w:pPr>
              <w:pStyle w:val="TableContents"/>
              <w:spacing w:before="0" w:after="0"/>
              <w:ind w:left="144" w:right="0" w:hanging="144"/>
              <w:jc w:val="left"/>
              <w:rPr>
                <w:rFonts w:ascii="Times New Roman" w:hAnsi="Times New Roman"/>
                <w:sz w:val="20"/>
              </w:rPr>
            </w:pPr>
            <w:r>
              <w:rPr>
                <w:rFonts w:ascii="Times New Roman" w:hAnsi="Times New Roman"/>
                <w:sz w:val="20"/>
              </w:rPr>
              <w:t>Weighted average life in years</w:t>
            </w:r>
          </w:p>
        </w:tc>
        <w:tc>
          <w:tcPr>
            <w:tcW w:w="60" w:type="dxa"/>
            <w:tcBorders/>
            <w:shd w:fill="CCEEFF" w:val="clear"/>
            <w:vAlign w:val="bottom"/>
          </w:tcPr>
          <w:p>
            <w:pPr>
              <w:pStyle w:val="TableContents"/>
              <w:spacing w:before="0" w:after="283"/>
              <w:jc w:val="right"/>
              <w:rPr/>
            </w:pPr>
            <w:r>
              <w:rPr/>
              <w:t> </w:t>
            </w:r>
          </w:p>
        </w:tc>
        <w:tc>
          <w:tcPr>
            <w:tcW w:w="120" w:type="dxa"/>
            <w:tcBorders/>
            <w:shd w:fill="CCEEFF" w:val="clear"/>
            <w:vAlign w:val="bottom"/>
          </w:tcPr>
          <w:p>
            <w:pPr>
              <w:pStyle w:val="TableContents"/>
              <w:spacing w:before="0" w:after="283"/>
              <w:jc w:val="left"/>
              <w:rPr/>
            </w:pPr>
            <w:r>
              <w:rPr/>
              <w:t> </w:t>
            </w:r>
          </w:p>
        </w:tc>
        <w:tc>
          <w:tcPr>
            <w:tcW w:w="769"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7.93</w:t>
            </w:r>
          </w:p>
        </w:tc>
        <w:tc>
          <w:tcPr>
            <w:tcW w:w="18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59" w:type="dxa"/>
            <w:tcBorders/>
            <w:shd w:fill="CCEEFF" w:val="clear"/>
            <w:vAlign w:val="bottom"/>
          </w:tcPr>
          <w:p>
            <w:pPr>
              <w:pStyle w:val="TableContents"/>
              <w:spacing w:before="0" w:after="283"/>
              <w:jc w:val="left"/>
              <w:rPr/>
            </w:pPr>
            <w:r>
              <w:rPr/>
              <w:t> </w:t>
            </w:r>
          </w:p>
        </w:tc>
        <w:tc>
          <w:tcPr>
            <w:tcW w:w="1015"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7.91</w:t>
            </w:r>
          </w:p>
        </w:tc>
        <w:tc>
          <w:tcPr>
            <w:tcW w:w="200" w:type="dxa"/>
            <w:tcBorders/>
            <w:shd w:fill="CCEEFF" w:val="clear"/>
            <w:vAlign w:val="bottom"/>
          </w:tcPr>
          <w:p>
            <w:pPr>
              <w:pStyle w:val="TableContents"/>
              <w:spacing w:before="0" w:after="283"/>
              <w:jc w:val="left"/>
              <w:rPr/>
            </w:pPr>
            <w:r>
              <w:rPr/>
              <w:t> </w:t>
            </w:r>
          </w:p>
        </w:tc>
      </w:tr>
    </w:tbl>
    <w:p>
      <w:pPr>
        <w:pStyle w:val="TextBody"/>
        <w:spacing w:before="0" w:after="0"/>
        <w:jc w:val="left"/>
        <w:rPr/>
      </w:pPr>
      <w:r>
        <w:rPr/>
      </w:r>
    </w:p>
    <w:p>
      <w:pPr>
        <w:pStyle w:val="TextBody"/>
        <w:spacing w:before="0" w:after="0"/>
        <w:jc w:val="left"/>
        <w:rPr>
          <w:rFonts w:ascii="Times New Roman" w:hAnsi="Times New Roman"/>
          <w:b/>
          <w:color w:val="000000"/>
          <w:sz w:val="20"/>
        </w:rPr>
      </w:pPr>
      <w:r>
        <w:rPr>
          <w:rFonts w:ascii="Times New Roman" w:hAnsi="Times New Roman"/>
          <w:b/>
          <w:color w:val="000000"/>
          <w:sz w:val="20"/>
        </w:rPr>
        <w:t>6.  BORROWING ARRANGEMENTS</w:t>
      </w:r>
    </w:p>
    <w:p>
      <w:pPr>
        <w:pStyle w:val="TextBody"/>
        <w:spacing w:before="0" w:after="0"/>
        <w:jc w:val="left"/>
        <w:rPr/>
      </w:pPr>
      <w:r>
        <w:rPr/>
      </w:r>
    </w:p>
    <w:p>
      <w:pPr>
        <w:pStyle w:val="TextBody"/>
        <w:spacing w:before="0" w:after="0"/>
        <w:jc w:val="both"/>
        <w:rPr>
          <w:rFonts w:ascii="Times New Roman" w:hAnsi="Times New Roman"/>
          <w:color w:val="000000"/>
          <w:sz w:val="20"/>
          <w:u w:val="single"/>
        </w:rPr>
      </w:pPr>
      <w:r>
        <w:rPr>
          <w:rFonts w:ascii="Times New Roman" w:hAnsi="Times New Roman"/>
          <w:color w:val="000000"/>
          <w:sz w:val="20"/>
          <w:u w:val="single"/>
        </w:rPr>
        <w:t>Subordinated Debt</w:t>
      </w:r>
    </w:p>
    <w:p>
      <w:pPr>
        <w:pStyle w:val="TextBody"/>
        <w:spacing w:before="0" w:after="0"/>
        <w:jc w:val="both"/>
        <w:rPr>
          <w:rFonts w:ascii="Times New Roman" w:hAnsi="Times New Roman"/>
          <w:color w:val="000000"/>
          <w:sz w:val="20"/>
        </w:rPr>
      </w:pPr>
      <w:r>
        <w:rPr>
          <w:rFonts w:ascii="Times New Roman" w:hAnsi="Times New Roman"/>
          <w:color w:val="000000"/>
          <w:sz w:val="20"/>
        </w:rPr>
        <w:t xml:space="preserve">In December 2018, the Company issued $26.5 million in subordinated debt notes. Notes totaling $12.4 million have a maturity date of December 2028 and a weighted average fixed rate of 5.74% for the first five years. The remaining $14.1 million of notes have a maturity date of December 2030 and a weighted average fixed rate of 6.41% for the first seven years. After the fixed rate periods, all notes will float at the </w:t>
      </w:r>
      <w:r>
        <w:rPr>
          <w:rFonts w:ascii="Times New Roman" w:hAnsi="Times New Roman"/>
          <w:i/>
          <w:color w:val="000000"/>
          <w:sz w:val="20"/>
        </w:rPr>
        <w:t>Wall Street Journal</w:t>
      </w:r>
      <w:r>
        <w:rPr>
          <w:rFonts w:ascii="Times New Roman" w:hAnsi="Times New Roman"/>
          <w:color w:val="000000"/>
          <w:sz w:val="20"/>
        </w:rPr>
        <w:t xml:space="preserve"> prime rate, with a floor of 4.0% and a ceiling of 7.5%. These notes pay interest quarterly, are unsecured, and may be called by the Company at any time after the remaining maturity is five years or less. Additionally, these notes are intended to qualify for Tier 2 capital treatment, subject to regulatory limitations.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b w:val="false"/>
          <w:i w:val="false"/>
          <w:caps w:val="false"/>
          <w:smallCaps w:val="false"/>
          <w:color w:val="000000"/>
          <w:sz w:val="20"/>
          <w:highlight w:val="white"/>
        </w:rPr>
        <w:t>On September 29, 2020, the Company issued $50.0 million in subordinated debt notes. Pr</w:t>
      </w:r>
      <w:r>
        <w:rPr>
          <w:rFonts w:ascii="Times New Roman" w:hAnsi="Times New Roman"/>
          <w:color w:val="000000"/>
          <w:sz w:val="20"/>
        </w:rPr>
        <w:t>oceeds were reduced by</w:t>
      </w:r>
      <w:r>
        <w:rPr>
          <w:rFonts w:ascii="Times New Roman" w:hAnsi="Times New Roman"/>
          <w:caps w:val="false"/>
          <w:smallCaps w:val="false"/>
          <w:color w:val="000000"/>
          <w:sz w:val="20"/>
          <w:highlight w:val="white"/>
        </w:rPr>
        <w:t xml:space="preserve"> </w:t>
      </w:r>
      <w:r>
        <w:rPr>
          <w:rFonts w:ascii="Times New Roman" w:hAnsi="Times New Roman"/>
          <w:b w:val="false"/>
          <w:i w:val="false"/>
          <w:caps w:val="false"/>
          <w:smallCaps w:val="false"/>
          <w:color w:val="000000"/>
          <w:sz w:val="20"/>
          <w:highlight w:val="white"/>
        </w:rPr>
        <w:t xml:space="preserve">approximately $926 thousand in debt issuance costs. </w:t>
      </w:r>
      <w:r>
        <w:rPr>
          <w:rFonts w:ascii="Times New Roman" w:hAnsi="Times New Roman"/>
          <w:color w:val="000000"/>
          <w:sz w:val="20"/>
        </w:rPr>
        <w:t>The notes have a maturity</w:t>
      </w:r>
      <w:r>
        <w:rPr>
          <w:rFonts w:ascii="Times New Roman" w:hAnsi="Times New Roman"/>
          <w:caps w:val="false"/>
          <w:smallCaps w:val="false"/>
          <w:color w:val="000000"/>
          <w:sz w:val="20"/>
          <w:highlight w:val="white"/>
        </w:rPr>
        <w:t xml:space="preserve"> </w:t>
      </w:r>
      <w:r>
        <w:rPr>
          <w:rFonts w:ascii="Times New Roman" w:hAnsi="Times New Roman"/>
          <w:b w:val="false"/>
          <w:i w:val="false"/>
          <w:caps w:val="false"/>
          <w:smallCaps w:val="false"/>
          <w:color w:val="000000"/>
          <w:sz w:val="20"/>
          <w:highlight w:val="white"/>
        </w:rPr>
        <w:t>date of September 2030 with a fixed rate of 4.50% for the first five years. After the expiration of the fixed rate period, the</w:t>
      </w:r>
      <w:r>
        <w:rPr>
          <w:rFonts w:ascii="Times New Roman" w:hAnsi="Times New Roman"/>
          <w:color w:val="000000"/>
          <w:sz w:val="20"/>
        </w:rPr>
        <w:t xml:space="preserve"> notes</w:t>
      </w:r>
      <w:r>
        <w:rPr>
          <w:rFonts w:ascii="Times New Roman" w:hAnsi="Times New Roman"/>
          <w:caps w:val="false"/>
          <w:smallCaps w:val="false"/>
          <w:color w:val="000000"/>
          <w:sz w:val="20"/>
          <w:highlight w:val="white"/>
        </w:rPr>
        <w:t xml:space="preserve"> </w:t>
      </w:r>
      <w:r>
        <w:rPr>
          <w:rFonts w:ascii="Times New Roman" w:hAnsi="Times New Roman"/>
          <w:b w:val="false"/>
          <w:i w:val="false"/>
          <w:caps w:val="false"/>
          <w:smallCaps w:val="false"/>
          <w:color w:val="000000"/>
          <w:sz w:val="20"/>
          <w:highlight w:val="white"/>
        </w:rPr>
        <w:t>will reset quarterly at a variable rate equal to the then current three-month Secured Overnight Financing Rate, as published by the Federal Reserve Bank of New York, plus 438 basis points. These</w:t>
      </w:r>
      <w:r>
        <w:rPr>
          <w:rFonts w:ascii="Times New Roman" w:hAnsi="Times New Roman"/>
          <w:color w:val="000000"/>
          <w:sz w:val="20"/>
        </w:rPr>
        <w:t xml:space="preserve"> notes</w:t>
      </w:r>
      <w:r>
        <w:rPr>
          <w:rFonts w:ascii="Times New Roman" w:hAnsi="Times New Roman"/>
          <w:caps w:val="false"/>
          <w:smallCaps w:val="false"/>
          <w:color w:val="000000"/>
          <w:sz w:val="20"/>
          <w:highlight w:val="white"/>
        </w:rPr>
        <w:t xml:space="preserve"> </w:t>
      </w:r>
      <w:r>
        <w:rPr>
          <w:rFonts w:ascii="Times New Roman" w:hAnsi="Times New Roman"/>
          <w:b w:val="false"/>
          <w:i w:val="false"/>
          <w:caps w:val="false"/>
          <w:smallCaps w:val="false"/>
          <w:color w:val="000000"/>
          <w:sz w:val="20"/>
          <w:highlight w:val="white"/>
        </w:rPr>
        <w:t xml:space="preserve">pay interest semi-annually, are unsecured, and may be called by the Company at any time after the remaining maturity is five years or less. Additionally, </w:t>
      </w:r>
      <w:r>
        <w:rPr>
          <w:rFonts w:ascii="Times New Roman" w:hAnsi="Times New Roman"/>
          <w:color w:val="000000"/>
          <w:sz w:val="20"/>
        </w:rPr>
        <w:t>these notes are intended to</w:t>
      </w:r>
      <w:r>
        <w:rPr>
          <w:rFonts w:ascii="Times New Roman" w:hAnsi="Times New Roman"/>
          <w:caps w:val="false"/>
          <w:smallCaps w:val="false"/>
          <w:color w:val="000000"/>
          <w:sz w:val="20"/>
          <w:highlight w:val="white"/>
        </w:rPr>
        <w:t xml:space="preserve"> </w:t>
      </w:r>
      <w:r>
        <w:rPr>
          <w:rFonts w:ascii="Times New Roman" w:hAnsi="Times New Roman"/>
          <w:b w:val="false"/>
          <w:i w:val="false"/>
          <w:caps w:val="false"/>
          <w:smallCaps w:val="false"/>
          <w:color w:val="000000"/>
          <w:sz w:val="20"/>
          <w:highlight w:val="white"/>
        </w:rPr>
        <w:t>qualify for Tier 2 capital treatment, subject to regulatory limitations.</w:t>
      </w:r>
      <w:r>
        <w:rPr>
          <w:rFonts w:ascii="Times New Roman" w:hAnsi="Times New Roman"/>
          <w:color w:val="000000"/>
          <w:sz w:val="20"/>
        </w:rPr>
        <w:t xml:space="preserve"> </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As of March 31, 2023, the total amount of subordinated notes outstanding was $76.5 million less approximately $465 thousand of remaining debt issuance costs for a total balance of $76.0 million. As of December 31, 2022, the total amount of subordinated notes outstanding was $76.5 million less approximately $511 thousand of remaining debt issuance costs for a total balance of $76.0 million.</w:t>
      </w:r>
    </w:p>
    <w:p>
      <w:pPr>
        <w:pStyle w:val="TextBody"/>
        <w:spacing w:before="0" w:after="0"/>
        <w:jc w:val="left"/>
        <w:rPr/>
      </w:pPr>
      <w:r>
        <w:rPr/>
      </w:r>
    </w:p>
    <w:p>
      <w:pPr>
        <w:pStyle w:val="TextBody"/>
        <w:spacing w:before="0" w:after="0"/>
        <w:jc w:val="both"/>
        <w:rPr>
          <w:rFonts w:ascii="Times New Roman" w:hAnsi="Times New Roman"/>
          <w:color w:val="000000"/>
          <w:sz w:val="20"/>
          <w:u w:val="single"/>
        </w:rPr>
      </w:pPr>
      <w:r>
        <w:rPr>
          <w:rFonts w:ascii="Times New Roman" w:hAnsi="Times New Roman"/>
          <w:color w:val="000000"/>
          <w:sz w:val="20"/>
          <w:u w:val="single"/>
        </w:rPr>
        <w:t>Notes Payable and Other Borrowings</w:t>
      </w:r>
    </w:p>
    <w:p>
      <w:pPr>
        <w:pStyle w:val="TextBody"/>
        <w:spacing w:before="0" w:after="0"/>
        <w:jc w:val="both"/>
        <w:rPr>
          <w:rFonts w:ascii="Times New Roman" w:hAnsi="Times New Roman"/>
          <w:color w:val="000000"/>
          <w:sz w:val="20"/>
        </w:rPr>
      </w:pPr>
      <w:r>
        <w:rPr>
          <w:rFonts w:ascii="Times New Roman" w:hAnsi="Times New Roman"/>
          <w:color w:val="000000"/>
          <w:sz w:val="20"/>
        </w:rPr>
        <w:t>As of March 31, 2023 and December 31, 2022, City Bank had no outstanding advances from the Federal Home Loan Bank of Dallas (“FHLB”).</w:t>
      </w:r>
    </w:p>
    <w:p>
      <w:pPr>
        <w:pStyle w:val="TextBody"/>
        <w:spacing w:before="0" w:after="0"/>
        <w:jc w:val="left"/>
        <w:rPr/>
      </w:pPr>
      <w:r>
        <w:rPr/>
      </w:r>
    </w:p>
    <w:p>
      <w:pPr>
        <w:pStyle w:val="TextBody"/>
        <w:spacing w:before="0" w:after="0"/>
        <w:jc w:val="left"/>
        <w:rPr>
          <w:rFonts w:ascii="Times New Roman" w:hAnsi="Times New Roman"/>
          <w:b/>
          <w:color w:val="000000"/>
          <w:sz w:val="20"/>
        </w:rPr>
      </w:pPr>
      <w:r>
        <w:rPr>
          <w:rFonts w:ascii="Times New Roman" w:hAnsi="Times New Roman"/>
          <w:b/>
          <w:color w:val="000000"/>
          <w:sz w:val="20"/>
        </w:rPr>
        <w:t>7.  STOCK-BASED COMPENSATION</w:t>
      </w:r>
    </w:p>
    <w:p>
      <w:pPr>
        <w:pStyle w:val="TextBody"/>
        <w:spacing w:before="0" w:after="0"/>
        <w:jc w:val="left"/>
        <w:rPr/>
      </w:pPr>
      <w:r>
        <w:rPr/>
      </w:r>
    </w:p>
    <w:p>
      <w:pPr>
        <w:pStyle w:val="TextBody"/>
        <w:spacing w:before="0" w:after="0"/>
        <w:jc w:val="both"/>
        <w:rPr>
          <w:rFonts w:ascii="Times New Roman" w:hAnsi="Times New Roman"/>
          <w:i/>
          <w:color w:val="000000"/>
          <w:sz w:val="20"/>
          <w:u w:val="single"/>
        </w:rPr>
      </w:pPr>
      <w:r>
        <w:rPr>
          <w:rFonts w:ascii="Times New Roman" w:hAnsi="Times New Roman"/>
          <w:i/>
          <w:color w:val="000000"/>
          <w:sz w:val="20"/>
          <w:u w:val="single"/>
        </w:rPr>
        <w:t>Equity Incentive Plan</w:t>
      </w:r>
    </w:p>
    <w:p>
      <w:pPr>
        <w:pStyle w:val="TextBody"/>
        <w:spacing w:before="0" w:after="0"/>
        <w:jc w:val="both"/>
        <w:rPr>
          <w:rFonts w:ascii="Times New Roman" w:hAnsi="Times New Roman"/>
          <w:color w:val="000000"/>
          <w:sz w:val="20"/>
        </w:rPr>
      </w:pPr>
      <w:r>
        <w:rPr>
          <w:rFonts w:ascii="Times New Roman" w:hAnsi="Times New Roman"/>
          <w:color w:val="000000"/>
          <w:sz w:val="20"/>
        </w:rPr>
        <w:t>The 2019 Equity Incentive Plan (“Plan”) was approved by the Company’s Board of Directors on January 16, 2019 and by its shareholders on March 6, 2019. The purpose of the Plan is to: (i) attract and retain the best available personnel for positions of substantial responsibility, (ii) provide additional incentive to employees, directors and consultants, and (iii) promote the success of the Company’s business. This Plan permits the grant of incentive stock options, non-statutory stock options, stock appreciation rights, restricted stock, restricted stock units, performance units, performance shares, and other stock-based awards. The maximum aggregate number of shares of common stock that may be issued pursuant to all awards under the Plan is 2,300,000. The maximum aggregate number of shares that may be issued under the Plan may be increased annually by up to 3% of the total issued and outstanding common shares of the Company at the beginning of each fiscal year.</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20</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b w:val="false"/>
            <w:i/>
            <w:color w:val="000000"/>
            <w:sz w:val="16"/>
          </w:rPr>
          <w:t>Table of Contents</w:t>
        </w:r>
      </w:hyperlink>
    </w:p>
    <w:p>
      <w:pPr>
        <w:pStyle w:val="TextBody"/>
        <w:spacing w:before="0" w:after="0"/>
        <w:jc w:val="both"/>
        <w:rPr>
          <w:rFonts w:ascii="Times New Roman" w:hAnsi="Times New Roman"/>
          <w:color w:val="000000"/>
          <w:sz w:val="20"/>
        </w:rPr>
      </w:pPr>
      <w:r>
        <w:rPr>
          <w:rFonts w:ascii="Times New Roman" w:hAnsi="Times New Roman"/>
          <w:color w:val="000000"/>
          <w:sz w:val="20"/>
        </w:rPr>
        <w:t>The fair value of each option award is estimated on the date of grant using the Black-Scholes model that uses the assumptions noted in the table below. Expected volatilities are based on historical volatilities of the Company’s common stock and similar peer company averages. The Company uses historical data to estimate option exercise and post-vesting termination behavior. The expected term of options granted represents the period of time that options granted are expected to be outstanding, which takes into account that the options are not transferable. The risk-free interest rate for the expected term of the option is based on the U.S. Treasury yield curve in effect at the time of the grant.</w:t>
      </w:r>
    </w:p>
    <w:p>
      <w:pPr>
        <w:pStyle w:val="TextBody"/>
        <w:spacing w:before="0" w:after="0"/>
        <w:jc w:val="left"/>
        <w:rPr/>
      </w:pPr>
      <w:r>
        <w:rPr/>
      </w:r>
    </w:p>
    <w:p>
      <w:pPr>
        <w:pStyle w:val="TextBody"/>
        <w:spacing w:before="0" w:after="0"/>
        <w:jc w:val="both"/>
        <w:rPr>
          <w:rFonts w:ascii="Times New Roman" w:hAnsi="Times New Roman"/>
          <w:i/>
          <w:color w:val="000000"/>
          <w:sz w:val="20"/>
          <w:u w:val="single"/>
        </w:rPr>
      </w:pPr>
      <w:r>
        <w:rPr>
          <w:rFonts w:ascii="Times New Roman" w:hAnsi="Times New Roman"/>
          <w:i/>
          <w:color w:val="000000"/>
          <w:sz w:val="20"/>
          <w:u w:val="single"/>
        </w:rPr>
        <w:t>Options</w:t>
      </w:r>
    </w:p>
    <w:p>
      <w:pPr>
        <w:pStyle w:val="TextBody"/>
        <w:spacing w:before="0" w:after="0"/>
        <w:jc w:val="both"/>
        <w:rPr>
          <w:rFonts w:ascii="Times New Roman" w:hAnsi="Times New Roman"/>
          <w:color w:val="000000"/>
          <w:sz w:val="20"/>
        </w:rPr>
      </w:pPr>
      <w:r>
        <w:rPr>
          <w:rFonts w:ascii="Times New Roman" w:hAnsi="Times New Roman"/>
          <w:color w:val="000000"/>
          <w:sz w:val="20"/>
        </w:rPr>
        <w:t>A summary of activity in the Plan during the period indicated is presented in the table below (dollars in thousands, except per share data):</w:t>
      </w:r>
    </w:p>
    <w:p>
      <w:pPr>
        <w:pStyle w:val="TextBody"/>
        <w:spacing w:before="0" w:after="0"/>
        <w:jc w:val="left"/>
        <w:rPr/>
      </w:pPr>
      <w:r>
        <w:rPr/>
      </w:r>
    </w:p>
    <w:tbl>
      <w:tblPr>
        <w:tblW w:w="9423" w:type="dxa"/>
        <w:jc w:val="left"/>
        <w:tblInd w:w="0" w:type="dxa"/>
        <w:tblCellMar>
          <w:top w:w="0" w:type="dxa"/>
          <w:left w:w="0" w:type="dxa"/>
          <w:bottom w:w="0" w:type="dxa"/>
          <w:right w:w="0" w:type="dxa"/>
        </w:tblCellMar>
      </w:tblPr>
      <w:tblGrid>
        <w:gridCol w:w="3080"/>
        <w:gridCol w:w="60"/>
        <w:gridCol w:w="60"/>
        <w:gridCol w:w="845"/>
        <w:gridCol w:w="80"/>
        <w:gridCol w:w="60"/>
        <w:gridCol w:w="329"/>
        <w:gridCol w:w="1281"/>
        <w:gridCol w:w="60"/>
        <w:gridCol w:w="60"/>
        <w:gridCol w:w="274"/>
        <w:gridCol w:w="1740"/>
        <w:gridCol w:w="60"/>
        <w:gridCol w:w="60"/>
        <w:gridCol w:w="261"/>
        <w:gridCol w:w="1018"/>
        <w:gridCol w:w="95"/>
      </w:tblGrid>
      <w:tr>
        <w:trPr/>
        <w:tc>
          <w:tcPr>
            <w:tcW w:w="3080" w:type="dxa"/>
            <w:tcBorders/>
            <w:shd w:fill="auto" w:val="clear"/>
            <w:vAlign w:val="bottom"/>
          </w:tcPr>
          <w:p>
            <w:pPr>
              <w:pStyle w:val="TableContents"/>
              <w:spacing w:before="0" w:after="283"/>
              <w:rPr/>
            </w:pPr>
            <w:r>
              <w:rPr/>
            </w:r>
          </w:p>
        </w:tc>
        <w:tc>
          <w:tcPr>
            <w:tcW w:w="60" w:type="dxa"/>
            <w:tcBorders/>
            <w:shd w:fill="auto" w:val="clear"/>
            <w:vAlign w:val="bottom"/>
          </w:tcPr>
          <w:p>
            <w:pPr>
              <w:pStyle w:val="TableContents"/>
              <w:spacing w:before="0" w:after="283"/>
              <w:rPr/>
            </w:pPr>
            <w:r>
              <w:rPr/>
              <w:t> </w:t>
            </w:r>
          </w:p>
        </w:tc>
        <w:tc>
          <w:tcPr>
            <w:tcW w:w="90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Number</w:t>
            </w:r>
          </w:p>
          <w:p>
            <w:pPr>
              <w:pStyle w:val="TableContents"/>
              <w:spacing w:before="0" w:after="0"/>
              <w:jc w:val="center"/>
              <w:rPr>
                <w:rFonts w:ascii="Times New Roman" w:hAnsi="Times New Roman"/>
                <w:b/>
                <w:sz w:val="20"/>
              </w:rPr>
            </w:pPr>
            <w:r>
              <w:rPr>
                <w:rFonts w:ascii="Times New Roman" w:hAnsi="Times New Roman"/>
                <w:b/>
                <w:sz w:val="20"/>
              </w:rPr>
              <w:t>of Shares</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61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Weighted-Average</w:t>
            </w:r>
          </w:p>
          <w:p>
            <w:pPr>
              <w:pStyle w:val="TableContents"/>
              <w:spacing w:before="0" w:after="0"/>
              <w:jc w:val="center"/>
              <w:rPr>
                <w:rFonts w:ascii="Times New Roman" w:hAnsi="Times New Roman"/>
                <w:b/>
                <w:sz w:val="20"/>
              </w:rPr>
            </w:pPr>
            <w:r>
              <w:rPr>
                <w:rFonts w:ascii="Times New Roman" w:hAnsi="Times New Roman"/>
                <w:b/>
                <w:sz w:val="20"/>
              </w:rPr>
              <w:t>Exercise Price</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014"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Weighted-Average</w:t>
            </w:r>
          </w:p>
          <w:p>
            <w:pPr>
              <w:pStyle w:val="TableContents"/>
              <w:spacing w:before="0" w:after="0"/>
              <w:jc w:val="center"/>
              <w:rPr>
                <w:rFonts w:ascii="Times New Roman" w:hAnsi="Times New Roman"/>
                <w:b/>
                <w:sz w:val="20"/>
              </w:rPr>
            </w:pPr>
            <w:r>
              <w:rPr>
                <w:rFonts w:ascii="Times New Roman" w:hAnsi="Times New Roman"/>
                <w:b/>
                <w:sz w:val="20"/>
              </w:rPr>
              <w:t>Remaining Contractual</w:t>
            </w:r>
          </w:p>
          <w:p>
            <w:pPr>
              <w:pStyle w:val="TableContents"/>
              <w:spacing w:before="0" w:after="0"/>
              <w:jc w:val="center"/>
              <w:rPr>
                <w:rFonts w:ascii="Times New Roman" w:hAnsi="Times New Roman"/>
                <w:b/>
                <w:sz w:val="20"/>
              </w:rPr>
            </w:pPr>
            <w:r>
              <w:rPr>
                <w:rFonts w:ascii="Times New Roman" w:hAnsi="Times New Roman"/>
                <w:b/>
                <w:sz w:val="20"/>
              </w:rPr>
              <w:t>Life in Years</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79"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Aggregate</w:t>
            </w:r>
          </w:p>
          <w:p>
            <w:pPr>
              <w:pStyle w:val="TableContents"/>
              <w:spacing w:before="0" w:after="0"/>
              <w:jc w:val="center"/>
              <w:rPr>
                <w:rFonts w:ascii="Times New Roman" w:hAnsi="Times New Roman"/>
                <w:b/>
                <w:sz w:val="20"/>
              </w:rPr>
            </w:pPr>
            <w:r>
              <w:rPr>
                <w:rFonts w:ascii="Times New Roman" w:hAnsi="Times New Roman"/>
                <w:b/>
                <w:sz w:val="20"/>
              </w:rPr>
              <w:t>Intrinsic Value</w:t>
            </w:r>
          </w:p>
        </w:tc>
        <w:tc>
          <w:tcPr>
            <w:tcW w:w="95" w:type="dxa"/>
            <w:tcBorders/>
            <w:shd w:fill="auto" w:val="clear"/>
            <w:vAlign w:val="bottom"/>
          </w:tcPr>
          <w:p>
            <w:pPr>
              <w:pStyle w:val="TableContents"/>
              <w:spacing w:before="0" w:after="283"/>
              <w:jc w:val="left"/>
              <w:rPr/>
            </w:pPr>
            <w:r>
              <w:rPr/>
              <w:t> </w:t>
            </w:r>
          </w:p>
        </w:tc>
      </w:tr>
      <w:tr>
        <w:trPr/>
        <w:tc>
          <w:tcPr>
            <w:tcW w:w="3080" w:type="dxa"/>
            <w:tcBorders/>
            <w:shd w:fill="auto" w:val="clear"/>
            <w:vAlign w:val="bottom"/>
          </w:tcPr>
          <w:p>
            <w:pPr>
              <w:pStyle w:val="TableContents"/>
              <w:spacing w:before="0" w:after="0"/>
              <w:ind w:left="180" w:right="0" w:hanging="0"/>
              <w:jc w:val="left"/>
              <w:rPr>
                <w:rFonts w:ascii="Times New Roman" w:hAnsi="Times New Roman"/>
                <w:sz w:val="20"/>
                <w:u w:val="single"/>
              </w:rPr>
            </w:pPr>
            <w:r>
              <w:rPr>
                <w:rFonts w:ascii="Times New Roman" w:hAnsi="Times New Roman"/>
                <w:sz w:val="20"/>
                <w:u w:val="single"/>
              </w:rPr>
              <w:t>Three Months Ended March 31, 2023</w:t>
            </w:r>
          </w:p>
        </w:tc>
        <w:tc>
          <w:tcPr>
            <w:tcW w:w="60" w:type="dxa"/>
            <w:tcBorders/>
            <w:shd w:fill="auto" w:val="clear"/>
            <w:vAlign w:val="bottom"/>
          </w:tcPr>
          <w:p>
            <w:pPr>
              <w:pStyle w:val="TableContents"/>
              <w:spacing w:before="0" w:after="283"/>
              <w:rPr/>
            </w:pPr>
            <w:r>
              <w:rPr/>
              <w:t> </w:t>
            </w:r>
          </w:p>
        </w:tc>
        <w:tc>
          <w:tcPr>
            <w:tcW w:w="905" w:type="dxa"/>
            <w:gridSpan w:val="2"/>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61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014"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79" w:type="dxa"/>
            <w:gridSpan w:val="2"/>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left"/>
              <w:rPr/>
            </w:pPr>
            <w:r>
              <w:rPr/>
              <w:t> </w:t>
            </w:r>
          </w:p>
        </w:tc>
      </w:tr>
      <w:tr>
        <w:trPr/>
        <w:tc>
          <w:tcPr>
            <w:tcW w:w="3080" w:type="dxa"/>
            <w:tcBorders/>
            <w:shd w:fill="CCEE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Outstanding at beginning of year:</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1,354,189</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329"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1281"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16.11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014" w:type="dxa"/>
            <w:gridSpan w:val="2"/>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61"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1018"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7,533</w:t>
            </w:r>
          </w:p>
        </w:tc>
        <w:tc>
          <w:tcPr>
            <w:tcW w:w="95" w:type="dxa"/>
            <w:tcBorders/>
            <w:shd w:fill="CCEEFF" w:val="clear"/>
            <w:vAlign w:val="bottom"/>
          </w:tcPr>
          <w:p>
            <w:pPr>
              <w:pStyle w:val="TableContents"/>
              <w:spacing w:before="0" w:after="283"/>
              <w:jc w:val="left"/>
              <w:rPr/>
            </w:pPr>
            <w:r>
              <w:rPr/>
              <w:t> </w:t>
            </w:r>
          </w:p>
        </w:tc>
      </w:tr>
      <w:tr>
        <w:trPr/>
        <w:tc>
          <w:tcPr>
            <w:tcW w:w="3080" w:type="dxa"/>
            <w:tcBorders/>
            <w:shd w:fill="auto" w:val="clear"/>
            <w:vAlign w:val="bottom"/>
          </w:tcPr>
          <w:p>
            <w:pPr>
              <w:pStyle w:val="TableContents"/>
              <w:spacing w:before="0" w:after="0"/>
              <w:ind w:left="288" w:right="0" w:hanging="144"/>
              <w:jc w:val="left"/>
              <w:rPr>
                <w:rFonts w:ascii="Times New Roman" w:hAnsi="Times New Roman"/>
                <w:sz w:val="20"/>
              </w:rPr>
            </w:pPr>
            <w:r>
              <w:rPr>
                <w:rFonts w:ascii="Times New Roman" w:hAnsi="Times New Roman"/>
                <w:sz w:val="20"/>
              </w:rPr>
              <w:t>Granted</w:t>
            </w:r>
          </w:p>
        </w:tc>
        <w:tc>
          <w:tcPr>
            <w:tcW w:w="6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47,816</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329" w:type="dxa"/>
            <w:tcBorders/>
            <w:shd w:fill="auto" w:val="clear"/>
            <w:vAlign w:val="bottom"/>
          </w:tcPr>
          <w:p>
            <w:pPr>
              <w:pStyle w:val="TableContents"/>
              <w:spacing w:before="0" w:after="283"/>
              <w:jc w:val="left"/>
              <w:rPr/>
            </w:pPr>
            <w:r>
              <w:rPr/>
              <w:t> </w:t>
            </w:r>
          </w:p>
        </w:tc>
        <w:tc>
          <w:tcPr>
            <w:tcW w:w="1281"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27.46</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014"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61" w:type="dxa"/>
            <w:tcBorders/>
            <w:shd w:fill="auto" w:val="clear"/>
            <w:vAlign w:val="bottom"/>
          </w:tcPr>
          <w:p>
            <w:pPr>
              <w:pStyle w:val="TableContents"/>
              <w:spacing w:before="0" w:after="283"/>
              <w:jc w:val="left"/>
              <w:rPr/>
            </w:pPr>
            <w:r>
              <w:rPr/>
              <w:t> </w:t>
            </w:r>
          </w:p>
        </w:tc>
        <w:tc>
          <w:tcPr>
            <w:tcW w:w="1018" w:type="dxa"/>
            <w:tcBorders/>
            <w:shd w:fill="auto" w:val="clear"/>
            <w:vAlign w:val="bottom"/>
          </w:tcPr>
          <w:p>
            <w:pPr>
              <w:pStyle w:val="TableContents"/>
              <w:spacing w:before="0" w:after="0"/>
              <w:jc w:val="right"/>
              <w:rPr/>
            </w:pPr>
            <w:r>
              <w:rPr/>
              <w:t>—</w:t>
            </w:r>
          </w:p>
        </w:tc>
        <w:tc>
          <w:tcPr>
            <w:tcW w:w="95" w:type="dxa"/>
            <w:tcBorders/>
            <w:shd w:fill="auto" w:val="clear"/>
            <w:vAlign w:val="bottom"/>
          </w:tcPr>
          <w:p>
            <w:pPr>
              <w:pStyle w:val="TableContents"/>
              <w:spacing w:before="0" w:after="283"/>
              <w:jc w:val="left"/>
              <w:rPr/>
            </w:pPr>
            <w:r>
              <w:rPr/>
              <w:t> </w:t>
            </w:r>
          </w:p>
        </w:tc>
      </w:tr>
      <w:tr>
        <w:trPr/>
        <w:tc>
          <w:tcPr>
            <w:tcW w:w="3080" w:type="dxa"/>
            <w:tcBorders/>
            <w:shd w:fill="CCEEFF" w:val="clear"/>
            <w:vAlign w:val="bottom"/>
          </w:tcPr>
          <w:p>
            <w:pPr>
              <w:pStyle w:val="TableContents"/>
              <w:spacing w:before="0" w:after="0"/>
              <w:ind w:left="288" w:right="0" w:hanging="144"/>
              <w:jc w:val="left"/>
              <w:rPr>
                <w:rFonts w:ascii="Times New Roman" w:hAnsi="Times New Roman"/>
                <w:sz w:val="20"/>
              </w:rPr>
            </w:pPr>
            <w:r>
              <w:rPr>
                <w:rFonts w:ascii="Times New Roman" w:hAnsi="Times New Roman"/>
                <w:sz w:val="20"/>
              </w:rPr>
              <w:t>Exercised</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(25,521</w:t>
            </w:r>
          </w:p>
        </w:tc>
        <w:tc>
          <w:tcPr>
            <w:tcW w:w="80"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right"/>
              <w:rPr/>
            </w:pPr>
            <w:r>
              <w:rPr/>
              <w:t> </w:t>
            </w:r>
          </w:p>
        </w:tc>
        <w:tc>
          <w:tcPr>
            <w:tcW w:w="329" w:type="dxa"/>
            <w:tcBorders/>
            <w:shd w:fill="CCEEFF" w:val="clear"/>
            <w:vAlign w:val="bottom"/>
          </w:tcPr>
          <w:p>
            <w:pPr>
              <w:pStyle w:val="TableContents"/>
              <w:spacing w:before="0" w:after="283"/>
              <w:jc w:val="left"/>
              <w:rPr/>
            </w:pPr>
            <w:r>
              <w:rPr/>
              <w:t> </w:t>
            </w:r>
          </w:p>
        </w:tc>
        <w:tc>
          <w:tcPr>
            <w:tcW w:w="1281"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12.75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014" w:type="dxa"/>
            <w:gridSpan w:val="2"/>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61" w:type="dxa"/>
            <w:tcBorders/>
            <w:shd w:fill="CCEEFF" w:val="clear"/>
            <w:vAlign w:val="bottom"/>
          </w:tcPr>
          <w:p>
            <w:pPr>
              <w:pStyle w:val="TableContents"/>
              <w:spacing w:before="0" w:after="283"/>
              <w:jc w:val="left"/>
              <w:rPr/>
            </w:pPr>
            <w:r>
              <w:rPr/>
              <w:t> </w:t>
            </w:r>
          </w:p>
        </w:tc>
        <w:tc>
          <w:tcPr>
            <w:tcW w:w="1018"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(221</w:t>
            </w:r>
          </w:p>
        </w:tc>
        <w:tc>
          <w:tcPr>
            <w:tcW w:w="9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r>
      <w:tr>
        <w:trPr/>
        <w:tc>
          <w:tcPr>
            <w:tcW w:w="3080" w:type="dxa"/>
            <w:tcBorders/>
            <w:shd w:fill="auto" w:val="clear"/>
            <w:vAlign w:val="bottom"/>
          </w:tcPr>
          <w:p>
            <w:pPr>
              <w:pStyle w:val="TableContents"/>
              <w:spacing w:before="0" w:after="0"/>
              <w:ind w:left="288" w:right="0" w:hanging="144"/>
              <w:jc w:val="left"/>
              <w:rPr>
                <w:rFonts w:ascii="Times New Roman" w:hAnsi="Times New Roman"/>
                <w:sz w:val="20"/>
              </w:rPr>
            </w:pPr>
            <w:r>
              <w:rPr>
                <w:rFonts w:ascii="Times New Roman" w:hAnsi="Times New Roman"/>
                <w:sz w:val="20"/>
              </w:rPr>
              <w:t>Forfeited</w:t>
            </w:r>
          </w:p>
        </w:tc>
        <w:tc>
          <w:tcPr>
            <w:tcW w:w="6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(1,125</w:t>
            </w:r>
          </w:p>
        </w:tc>
        <w:tc>
          <w:tcPr>
            <w:tcW w:w="80"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auto" w:val="clear"/>
            <w:vAlign w:val="bottom"/>
          </w:tcPr>
          <w:p>
            <w:pPr>
              <w:pStyle w:val="TableContents"/>
              <w:spacing w:before="0" w:after="283"/>
              <w:jc w:val="right"/>
              <w:rPr/>
            </w:pPr>
            <w:r>
              <w:rPr/>
              <w:t> </w:t>
            </w:r>
          </w:p>
        </w:tc>
        <w:tc>
          <w:tcPr>
            <w:tcW w:w="329" w:type="dxa"/>
            <w:tcBorders/>
            <w:shd w:fill="auto" w:val="clear"/>
            <w:vAlign w:val="bottom"/>
          </w:tcPr>
          <w:p>
            <w:pPr>
              <w:pStyle w:val="TableContents"/>
              <w:spacing w:before="0" w:after="283"/>
              <w:jc w:val="left"/>
              <w:rPr/>
            </w:pPr>
            <w:r>
              <w:rPr/>
              <w:t> </w:t>
            </w:r>
          </w:p>
        </w:tc>
        <w:tc>
          <w:tcPr>
            <w:tcW w:w="1281"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20.19</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014"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61" w:type="dxa"/>
            <w:tcBorders/>
            <w:shd w:fill="auto" w:val="clear"/>
            <w:vAlign w:val="bottom"/>
          </w:tcPr>
          <w:p>
            <w:pPr>
              <w:pStyle w:val="TableContents"/>
              <w:spacing w:before="0" w:after="283"/>
              <w:jc w:val="left"/>
              <w:rPr/>
            </w:pPr>
            <w:r>
              <w:rPr/>
              <w:t> </w:t>
            </w:r>
          </w:p>
        </w:tc>
        <w:tc>
          <w:tcPr>
            <w:tcW w:w="1018"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(2</w:t>
            </w:r>
          </w:p>
        </w:tc>
        <w:tc>
          <w:tcPr>
            <w:tcW w:w="95"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r>
      <w:tr>
        <w:trPr/>
        <w:tc>
          <w:tcPr>
            <w:tcW w:w="3080" w:type="dxa"/>
            <w:tcBorders/>
            <w:shd w:fill="CCEEFF" w:val="clear"/>
            <w:vAlign w:val="bottom"/>
          </w:tcPr>
          <w:p>
            <w:pPr>
              <w:pStyle w:val="TableContents"/>
              <w:spacing w:before="0" w:after="0"/>
              <w:ind w:left="288" w:right="0" w:hanging="144"/>
              <w:jc w:val="left"/>
              <w:rPr>
                <w:rFonts w:ascii="Times New Roman" w:hAnsi="Times New Roman"/>
                <w:sz w:val="20"/>
              </w:rPr>
            </w:pPr>
            <w:r>
              <w:rPr>
                <w:rFonts w:ascii="Times New Roman" w:hAnsi="Times New Roman"/>
                <w:sz w:val="20"/>
              </w:rPr>
              <w:t>Expired</w:t>
            </w:r>
          </w:p>
        </w:tc>
        <w:tc>
          <w:tcPr>
            <w:tcW w:w="60" w:type="dxa"/>
            <w:tcBorders/>
            <w:shd w:fill="CCEEFF" w:val="clear"/>
            <w:vAlign w:val="bottom"/>
          </w:tcPr>
          <w:p>
            <w:pPr>
              <w:pStyle w:val="TableContents"/>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spacing w:before="0" w:after="0"/>
              <w:jc w:val="right"/>
              <w:rPr/>
            </w:pPr>
            <w:r>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329" w:type="dxa"/>
            <w:tcBorders/>
            <w:shd w:fill="CCEEFF" w:val="clear"/>
            <w:vAlign w:val="bottom"/>
          </w:tcPr>
          <w:p>
            <w:pPr>
              <w:pStyle w:val="TableContents"/>
              <w:spacing w:before="0" w:after="283"/>
              <w:jc w:val="left"/>
              <w:rPr/>
            </w:pPr>
            <w:r>
              <w:rPr/>
              <w:t> </w:t>
            </w:r>
          </w:p>
        </w:tc>
        <w:tc>
          <w:tcPr>
            <w:tcW w:w="1281"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2014" w:type="dxa"/>
            <w:gridSpan w:val="2"/>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6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8" w:type="dxa"/>
            <w:tcBorders>
              <w:bottom w:val="single" w:sz="12" w:space="0" w:color="000000"/>
            </w:tcBorders>
            <w:shd w:fill="CCEEFF" w:val="clear"/>
            <w:tcMar>
              <w:bottom w:w="28" w:type="dxa"/>
            </w:tcMar>
            <w:vAlign w:val="bottom"/>
          </w:tcPr>
          <w:p>
            <w:pPr>
              <w:pStyle w:val="TableContents"/>
              <w:spacing w:before="0" w:after="0"/>
              <w:jc w:val="right"/>
              <w:rPr/>
            </w:pPr>
            <w:r>
              <w:rPr/>
              <w:t>—</w:t>
            </w:r>
          </w:p>
        </w:tc>
        <w:tc>
          <w:tcPr>
            <w:tcW w:w="95" w:type="dxa"/>
            <w:tcBorders/>
            <w:shd w:fill="CCEEFF" w:val="clear"/>
            <w:vAlign w:val="bottom"/>
          </w:tcPr>
          <w:p>
            <w:pPr>
              <w:pStyle w:val="TableContents"/>
              <w:spacing w:before="0" w:after="283"/>
              <w:jc w:val="left"/>
              <w:rPr/>
            </w:pPr>
            <w:r>
              <w:rPr/>
              <w:t> </w:t>
            </w:r>
          </w:p>
        </w:tc>
      </w:tr>
      <w:tr>
        <w:trPr/>
        <w:tc>
          <w:tcPr>
            <w:tcW w:w="30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329" w:type="dxa"/>
            <w:tcBorders/>
            <w:shd w:fill="auto" w:val="clear"/>
            <w:vAlign w:val="bottom"/>
          </w:tcPr>
          <w:p>
            <w:pPr>
              <w:pStyle w:val="TableContents"/>
              <w:spacing w:before="0" w:after="283"/>
              <w:jc w:val="left"/>
              <w:rPr/>
            </w:pPr>
            <w:r>
              <w:rPr/>
              <w:t> </w:t>
            </w:r>
          </w:p>
        </w:tc>
        <w:tc>
          <w:tcPr>
            <w:tcW w:w="1281"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014"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61" w:type="dxa"/>
            <w:tcBorders/>
            <w:shd w:fill="auto" w:val="clear"/>
            <w:vAlign w:val="bottom"/>
          </w:tcPr>
          <w:p>
            <w:pPr>
              <w:pStyle w:val="TableContents"/>
              <w:spacing w:before="0" w:after="283"/>
              <w:jc w:val="left"/>
              <w:rPr/>
            </w:pPr>
            <w:r>
              <w:rPr/>
              <w:t> </w:t>
            </w:r>
          </w:p>
        </w:tc>
        <w:tc>
          <w:tcPr>
            <w:tcW w:w="1018"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r>
      <w:tr>
        <w:trPr/>
        <w:tc>
          <w:tcPr>
            <w:tcW w:w="3080" w:type="dxa"/>
            <w:tcBorders/>
            <w:shd w:fill="CCEEFF" w:val="cle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Balance, March 31, 2023</w:t>
            </w:r>
          </w:p>
        </w:tc>
        <w:tc>
          <w:tcPr>
            <w:tcW w:w="60" w:type="dxa"/>
            <w:tcBorders/>
            <w:shd w:fill="CCEEFF" w:val="clear"/>
            <w:vAlign w:val="bottom"/>
          </w:tcPr>
          <w:p>
            <w:pPr>
              <w:pStyle w:val="TableContents"/>
              <w:spacing w:before="0" w:after="283"/>
              <w:jc w:val="right"/>
              <w:rPr/>
            </w:pPr>
            <w:r>
              <w:rPr/>
              <w:t> </w:t>
            </w:r>
          </w:p>
        </w:tc>
        <w:tc>
          <w:tcPr>
            <w:tcW w:w="60"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845"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1,375,359</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329"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1281"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16.57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74"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740"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5.59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61"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1018"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7,310</w:t>
            </w:r>
          </w:p>
        </w:tc>
        <w:tc>
          <w:tcPr>
            <w:tcW w:w="95" w:type="dxa"/>
            <w:tcBorders/>
            <w:shd w:fill="CCEEFF" w:val="clear"/>
            <w:vAlign w:val="bottom"/>
          </w:tcPr>
          <w:p>
            <w:pPr>
              <w:pStyle w:val="TableContents"/>
              <w:spacing w:before="0" w:after="283"/>
              <w:jc w:val="left"/>
              <w:rPr/>
            </w:pPr>
            <w:r>
              <w:rPr/>
              <w:t> </w:t>
            </w:r>
          </w:p>
        </w:tc>
      </w:tr>
      <w:tr>
        <w:trPr/>
        <w:tc>
          <w:tcPr>
            <w:tcW w:w="30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329" w:type="dxa"/>
            <w:tcBorders/>
            <w:shd w:fill="auto" w:val="clear"/>
            <w:vAlign w:val="bottom"/>
          </w:tcPr>
          <w:p>
            <w:pPr>
              <w:pStyle w:val="TableContents"/>
              <w:spacing w:before="0" w:after="283"/>
              <w:jc w:val="left"/>
              <w:rPr/>
            </w:pPr>
            <w:r>
              <w:rPr/>
              <w:t> </w:t>
            </w:r>
          </w:p>
        </w:tc>
        <w:tc>
          <w:tcPr>
            <w:tcW w:w="1281"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74" w:type="dxa"/>
            <w:tcBorders/>
            <w:shd w:fill="auto" w:val="clear"/>
            <w:vAlign w:val="bottom"/>
          </w:tcPr>
          <w:p>
            <w:pPr>
              <w:pStyle w:val="TableContents"/>
              <w:spacing w:before="0" w:after="283"/>
              <w:jc w:val="left"/>
              <w:rPr/>
            </w:pPr>
            <w:r>
              <w:rPr/>
              <w:t> </w:t>
            </w:r>
          </w:p>
        </w:tc>
        <w:tc>
          <w:tcPr>
            <w:tcW w:w="174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61" w:type="dxa"/>
            <w:tcBorders/>
            <w:shd w:fill="auto" w:val="clear"/>
            <w:vAlign w:val="bottom"/>
          </w:tcPr>
          <w:p>
            <w:pPr>
              <w:pStyle w:val="TableContents"/>
              <w:spacing w:before="0" w:after="283"/>
              <w:jc w:val="left"/>
              <w:rPr/>
            </w:pPr>
            <w:r>
              <w:rPr/>
              <w:t> </w:t>
            </w:r>
          </w:p>
        </w:tc>
        <w:tc>
          <w:tcPr>
            <w:tcW w:w="1018"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r>
      <w:tr>
        <w:trPr/>
        <w:tc>
          <w:tcPr>
            <w:tcW w:w="3080" w:type="dxa"/>
            <w:tcBorders/>
            <w:shd w:fill="CCEE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Exercisable at end of period</w:t>
            </w:r>
          </w:p>
        </w:tc>
        <w:tc>
          <w:tcPr>
            <w:tcW w:w="60" w:type="dxa"/>
            <w:tcBorders/>
            <w:shd w:fill="CCEEFF" w:val="clear"/>
            <w:vAlign w:val="bottom"/>
          </w:tcPr>
          <w:p>
            <w:pPr>
              <w:pStyle w:val="TableContents"/>
              <w:spacing w:before="0" w:after="283"/>
              <w:jc w:val="right"/>
              <w:rPr/>
            </w:pPr>
            <w:r>
              <w:rPr/>
              <w:t> </w:t>
            </w:r>
          </w:p>
        </w:tc>
        <w:tc>
          <w:tcPr>
            <w:tcW w:w="60"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845"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1,146,610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329"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1281"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15.31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74"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740"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5.07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61"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1018"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7,096</w:t>
            </w:r>
          </w:p>
        </w:tc>
        <w:tc>
          <w:tcPr>
            <w:tcW w:w="95" w:type="dxa"/>
            <w:tcBorders/>
            <w:shd w:fill="CCEEFF" w:val="clear"/>
            <w:vAlign w:val="bottom"/>
          </w:tcPr>
          <w:p>
            <w:pPr>
              <w:pStyle w:val="TableContents"/>
              <w:spacing w:before="0" w:after="283"/>
              <w:jc w:val="left"/>
              <w:rPr/>
            </w:pPr>
            <w:r>
              <w:rPr/>
              <w:t> </w:t>
            </w:r>
          </w:p>
        </w:tc>
      </w:tr>
      <w:tr>
        <w:trPr/>
        <w:tc>
          <w:tcPr>
            <w:tcW w:w="30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329" w:type="dxa"/>
            <w:tcBorders/>
            <w:shd w:fill="auto" w:val="clear"/>
            <w:vAlign w:val="bottom"/>
          </w:tcPr>
          <w:p>
            <w:pPr>
              <w:pStyle w:val="TableContents"/>
              <w:spacing w:before="0" w:after="283"/>
              <w:jc w:val="left"/>
              <w:rPr/>
            </w:pPr>
            <w:r>
              <w:rPr/>
              <w:t> </w:t>
            </w:r>
          </w:p>
        </w:tc>
        <w:tc>
          <w:tcPr>
            <w:tcW w:w="1281"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74" w:type="dxa"/>
            <w:tcBorders/>
            <w:shd w:fill="auto" w:val="clear"/>
            <w:vAlign w:val="bottom"/>
          </w:tcPr>
          <w:p>
            <w:pPr>
              <w:pStyle w:val="TableContents"/>
              <w:spacing w:before="0" w:after="283"/>
              <w:jc w:val="left"/>
              <w:rPr/>
            </w:pPr>
            <w:r>
              <w:rPr/>
              <w:t> </w:t>
            </w:r>
          </w:p>
        </w:tc>
        <w:tc>
          <w:tcPr>
            <w:tcW w:w="174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61" w:type="dxa"/>
            <w:tcBorders/>
            <w:shd w:fill="auto" w:val="clear"/>
            <w:vAlign w:val="bottom"/>
          </w:tcPr>
          <w:p>
            <w:pPr>
              <w:pStyle w:val="TableContents"/>
              <w:spacing w:before="0" w:after="283"/>
              <w:jc w:val="left"/>
              <w:rPr/>
            </w:pPr>
            <w:r>
              <w:rPr/>
              <w:t> </w:t>
            </w:r>
          </w:p>
        </w:tc>
        <w:tc>
          <w:tcPr>
            <w:tcW w:w="1018"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r>
      <w:tr>
        <w:trPr/>
        <w:tc>
          <w:tcPr>
            <w:tcW w:w="3080" w:type="dxa"/>
            <w:tcBorders/>
            <w:shd w:fill="CCEE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Vested at end of period</w:t>
            </w:r>
          </w:p>
        </w:tc>
        <w:tc>
          <w:tcPr>
            <w:tcW w:w="60" w:type="dxa"/>
            <w:tcBorders/>
            <w:shd w:fill="CCEEFF" w:val="clear"/>
            <w:vAlign w:val="bottom"/>
          </w:tcPr>
          <w:p>
            <w:pPr>
              <w:pStyle w:val="TableContents"/>
              <w:spacing w:before="0" w:after="283"/>
              <w:jc w:val="right"/>
              <w:rPr/>
            </w:pPr>
            <w:r>
              <w:rPr/>
              <w:t> </w:t>
            </w:r>
          </w:p>
        </w:tc>
        <w:tc>
          <w:tcPr>
            <w:tcW w:w="60"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845"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1,146,610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329"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1281"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15.31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74"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740"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5.07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61"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1018"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7,096</w:t>
            </w:r>
          </w:p>
        </w:tc>
        <w:tc>
          <w:tcPr>
            <w:tcW w:w="95" w:type="dxa"/>
            <w:tcBorders/>
            <w:shd w:fill="CCEEFF" w:val="clear"/>
            <w:vAlign w:val="bottom"/>
          </w:tcPr>
          <w:p>
            <w:pPr>
              <w:pStyle w:val="TableContents"/>
              <w:spacing w:before="0" w:after="283"/>
              <w:jc w:val="left"/>
              <w:rPr/>
            </w:pPr>
            <w:r>
              <w:rPr/>
              <w:t> </w:t>
            </w:r>
          </w:p>
        </w:tc>
      </w:tr>
    </w:tbl>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A summary of assumptions used to calculate the fair values of the awards granted during the periods noted is presented below:</w:t>
      </w:r>
    </w:p>
    <w:p>
      <w:pPr>
        <w:pStyle w:val="TextBody"/>
        <w:spacing w:before="0" w:after="0"/>
        <w:jc w:val="left"/>
        <w:rPr/>
      </w:pPr>
      <w:r>
        <w:rPr/>
      </w:r>
    </w:p>
    <w:tbl>
      <w:tblPr>
        <w:tblW w:w="6463" w:type="dxa"/>
        <w:jc w:val="left"/>
        <w:tblInd w:w="0" w:type="dxa"/>
        <w:tblCellMar>
          <w:top w:w="0" w:type="dxa"/>
          <w:left w:w="0" w:type="dxa"/>
          <w:bottom w:w="0" w:type="dxa"/>
          <w:right w:w="0" w:type="dxa"/>
        </w:tblCellMar>
      </w:tblPr>
      <w:tblGrid>
        <w:gridCol w:w="3155"/>
        <w:gridCol w:w="60"/>
        <w:gridCol w:w="128"/>
        <w:gridCol w:w="1406"/>
        <w:gridCol w:w="60"/>
        <w:gridCol w:w="60"/>
        <w:gridCol w:w="286"/>
        <w:gridCol w:w="1248"/>
        <w:gridCol w:w="60"/>
      </w:tblGrid>
      <w:tr>
        <w:trPr/>
        <w:tc>
          <w:tcPr>
            <w:tcW w:w="3155" w:type="dxa"/>
            <w:tcBorders/>
            <w:shd w:fill="auto" w:val="clear"/>
            <w:vAlign w:val="bottom"/>
          </w:tcPr>
          <w:p>
            <w:pPr>
              <w:pStyle w:val="TableContents"/>
              <w:spacing w:before="0" w:after="283"/>
              <w:rPr/>
            </w:pPr>
            <w:r>
              <w:rPr/>
            </w:r>
          </w:p>
        </w:tc>
        <w:tc>
          <w:tcPr>
            <w:tcW w:w="60" w:type="dxa"/>
            <w:tcBorders/>
            <w:shd w:fill="auto" w:val="clear"/>
            <w:vAlign w:val="bottom"/>
          </w:tcPr>
          <w:p>
            <w:pPr>
              <w:pStyle w:val="TableContents"/>
              <w:spacing w:before="0" w:after="283"/>
              <w:rPr/>
            </w:pPr>
            <w:r>
              <w:rPr/>
              <w:t> </w:t>
            </w:r>
          </w:p>
        </w:tc>
        <w:tc>
          <w:tcPr>
            <w:tcW w:w="3188" w:type="dxa"/>
            <w:gridSpan w:val="6"/>
            <w:tcBorders>
              <w:bottom w:val="single" w:sz="12" w:space="0" w:color="000000"/>
            </w:tcBorders>
            <w:shd w:fill="auto" w:val="clear"/>
            <w:tcMar>
              <w:bottom w:w="28" w:type="dxa"/>
            </w:tcMar>
            <w:vAlign w:val="bottom"/>
          </w:tcPr>
          <w:p>
            <w:pPr>
              <w:pStyle w:val="TableContents"/>
              <w:spacing w:before="0" w:after="0"/>
              <w:jc w:val="center"/>
              <w:rPr>
                <w:b/>
              </w:rPr>
            </w:pPr>
            <w:r>
              <w:rPr>
                <w:b/>
              </w:rPr>
              <w:t>Three Months Ended</w:t>
            </w:r>
          </w:p>
          <w:p>
            <w:pPr>
              <w:pStyle w:val="TableContents"/>
              <w:spacing w:before="0" w:after="0"/>
              <w:jc w:val="center"/>
              <w:rPr>
                <w:b/>
              </w:rPr>
            </w:pPr>
            <w:r>
              <w:rPr>
                <w:b/>
              </w:rPr>
              <w:t>March 31,</w:t>
            </w:r>
          </w:p>
        </w:tc>
        <w:tc>
          <w:tcPr>
            <w:tcW w:w="60" w:type="dxa"/>
            <w:tcBorders/>
            <w:shd w:fill="auto" w:val="clear"/>
            <w:vAlign w:val="bottom"/>
          </w:tcPr>
          <w:p>
            <w:pPr>
              <w:pStyle w:val="TableContents"/>
              <w:spacing w:before="0" w:after="283"/>
              <w:jc w:val="left"/>
              <w:rPr/>
            </w:pPr>
            <w:r>
              <w:rPr/>
              <w:t> </w:t>
            </w:r>
          </w:p>
        </w:tc>
      </w:tr>
      <w:tr>
        <w:trPr/>
        <w:tc>
          <w:tcPr>
            <w:tcW w:w="3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3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2023</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53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2022</w:t>
            </w:r>
          </w:p>
        </w:tc>
        <w:tc>
          <w:tcPr>
            <w:tcW w:w="60" w:type="dxa"/>
            <w:tcBorders/>
            <w:shd w:fill="auto" w:val="clear"/>
            <w:vAlign w:val="bottom"/>
          </w:tcPr>
          <w:p>
            <w:pPr>
              <w:pStyle w:val="TableContents"/>
              <w:spacing w:before="0" w:after="283"/>
              <w:jc w:val="left"/>
              <w:rPr/>
            </w:pPr>
            <w:r>
              <w:rPr/>
              <w:t> </w:t>
            </w:r>
          </w:p>
        </w:tc>
      </w:tr>
      <w:tr>
        <w:trPr/>
        <w:tc>
          <w:tcPr>
            <w:tcW w:w="3155" w:type="dxa"/>
            <w:tcBorders/>
            <w:shd w:fill="CCEE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Expected volatility</w:t>
            </w:r>
          </w:p>
        </w:tc>
        <w:tc>
          <w:tcPr>
            <w:tcW w:w="60" w:type="dxa"/>
            <w:tcBorders/>
            <w:shd w:fill="CCEEFF" w:val="clear"/>
            <w:vAlign w:val="bottom"/>
          </w:tcPr>
          <w:p>
            <w:pPr>
              <w:pStyle w:val="TableContents"/>
              <w:spacing w:before="0" w:after="283"/>
              <w:rPr/>
            </w:pPr>
            <w:r>
              <w:rPr/>
              <w:t> </w:t>
            </w:r>
          </w:p>
        </w:tc>
        <w:tc>
          <w:tcPr>
            <w:tcW w:w="1534" w:type="dxa"/>
            <w:gridSpan w:val="2"/>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39.13% to 39.68%</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534" w:type="dxa"/>
            <w:gridSpan w:val="2"/>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40.20% to 40.29%</w:t>
            </w:r>
          </w:p>
        </w:tc>
        <w:tc>
          <w:tcPr>
            <w:tcW w:w="60" w:type="dxa"/>
            <w:tcBorders/>
            <w:shd w:fill="CCEEFF" w:val="clear"/>
            <w:vAlign w:val="bottom"/>
          </w:tcPr>
          <w:p>
            <w:pPr>
              <w:pStyle w:val="TableContents"/>
              <w:spacing w:before="0" w:after="283"/>
              <w:jc w:val="left"/>
              <w:rPr/>
            </w:pPr>
            <w:r>
              <w:rPr/>
              <w:t> </w:t>
            </w:r>
          </w:p>
        </w:tc>
      </w:tr>
      <w:tr>
        <w:trPr/>
        <w:tc>
          <w:tcPr>
            <w:tcW w:w="3155" w:type="dxa"/>
            <w:tcBorders/>
            <w:shd w:fill="auto"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Expected dividend yield</w:t>
            </w:r>
          </w:p>
        </w:tc>
        <w:tc>
          <w:tcPr>
            <w:tcW w:w="60" w:type="dxa"/>
            <w:tcBorders/>
            <w:shd w:fill="auto" w:val="clear"/>
            <w:vAlign w:val="bottom"/>
          </w:tcPr>
          <w:p>
            <w:pPr>
              <w:pStyle w:val="TableContents"/>
              <w:spacing w:before="0" w:after="283"/>
              <w:jc w:val="right"/>
              <w:rPr/>
            </w:pPr>
            <w:r>
              <w:rPr/>
              <w:t> </w:t>
            </w:r>
          </w:p>
        </w:tc>
        <w:tc>
          <w:tcPr>
            <w:tcW w:w="128" w:type="dxa"/>
            <w:tcBorders/>
            <w:shd w:fill="auto" w:val="clear"/>
            <w:vAlign w:val="bottom"/>
          </w:tcPr>
          <w:p>
            <w:pPr>
              <w:pStyle w:val="TableContents"/>
              <w:spacing w:before="0" w:after="283"/>
              <w:jc w:val="left"/>
              <w:rPr/>
            </w:pPr>
            <w:r>
              <w:rPr/>
              <w:t> </w:t>
            </w:r>
          </w:p>
        </w:tc>
        <w:tc>
          <w:tcPr>
            <w:tcW w:w="1406"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 xml:space="preserve">1.74% to 1.90% </w:t>
            </w:r>
          </w:p>
        </w:tc>
        <w:tc>
          <w:tcPr>
            <w:tcW w:w="60"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r>
          </w:p>
        </w:tc>
        <w:tc>
          <w:tcPr>
            <w:tcW w:w="60" w:type="dxa"/>
            <w:tcBorders/>
            <w:shd w:fill="auto" w:val="clear"/>
            <w:vAlign w:val="bottom"/>
          </w:tcPr>
          <w:p>
            <w:pPr>
              <w:pStyle w:val="TableContents"/>
              <w:spacing w:before="0" w:after="283"/>
              <w:jc w:val="right"/>
              <w:rPr/>
            </w:pPr>
            <w:r>
              <w:rPr/>
              <w:t> </w:t>
            </w:r>
          </w:p>
        </w:tc>
        <w:tc>
          <w:tcPr>
            <w:tcW w:w="286" w:type="dxa"/>
            <w:tcBorders/>
            <w:shd w:fill="auto" w:val="clear"/>
            <w:vAlign w:val="bottom"/>
          </w:tcPr>
          <w:p>
            <w:pPr>
              <w:pStyle w:val="TableContents"/>
              <w:spacing w:before="0" w:after="283"/>
              <w:jc w:val="left"/>
              <w:rPr/>
            </w:pPr>
            <w:r>
              <w:rPr/>
              <w:t> </w:t>
            </w:r>
          </w:p>
        </w:tc>
        <w:tc>
          <w:tcPr>
            <w:tcW w:w="1248"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1.30%</w:t>
            </w:r>
          </w:p>
        </w:tc>
        <w:tc>
          <w:tcPr>
            <w:tcW w:w="60"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r>
          </w:p>
        </w:tc>
      </w:tr>
      <w:tr>
        <w:trPr/>
        <w:tc>
          <w:tcPr>
            <w:tcW w:w="3155" w:type="dxa"/>
            <w:tcBorders/>
            <w:shd w:fill="CCEE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Expected term (years)</w:t>
            </w:r>
          </w:p>
        </w:tc>
        <w:tc>
          <w:tcPr>
            <w:tcW w:w="60" w:type="dxa"/>
            <w:tcBorders/>
            <w:shd w:fill="CCEEFF" w:val="clear"/>
            <w:vAlign w:val="bottom"/>
          </w:tcPr>
          <w:p>
            <w:pPr>
              <w:pStyle w:val="TableContents"/>
              <w:spacing w:before="0" w:after="283"/>
              <w:rPr/>
            </w:pPr>
            <w:r>
              <w:rPr/>
              <w:t> </w:t>
            </w:r>
          </w:p>
        </w:tc>
        <w:tc>
          <w:tcPr>
            <w:tcW w:w="1534" w:type="dxa"/>
            <w:gridSpan w:val="2"/>
            <w:tcBorders/>
            <w:shd w:fill="CCEE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6.1 to 6.3</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534" w:type="dxa"/>
            <w:gridSpan w:val="2"/>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 xml:space="preserve">6.1 to 6.3 </w:t>
            </w:r>
          </w:p>
        </w:tc>
        <w:tc>
          <w:tcPr>
            <w:tcW w:w="60" w:type="dxa"/>
            <w:tcBorders/>
            <w:shd w:fill="CCEEFF" w:val="clear"/>
            <w:vAlign w:val="bottom"/>
          </w:tcPr>
          <w:p>
            <w:pPr>
              <w:pStyle w:val="TableContents"/>
              <w:spacing w:before="0" w:after="283"/>
              <w:jc w:val="left"/>
              <w:rPr/>
            </w:pPr>
            <w:r>
              <w:rPr/>
              <w:t> </w:t>
            </w:r>
          </w:p>
        </w:tc>
      </w:tr>
      <w:tr>
        <w:trPr/>
        <w:tc>
          <w:tcPr>
            <w:tcW w:w="3155" w:type="dxa"/>
            <w:tcBorders/>
            <w:shd w:fill="auto"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Risk-free interest rate</w:t>
            </w:r>
          </w:p>
        </w:tc>
        <w:tc>
          <w:tcPr>
            <w:tcW w:w="60" w:type="dxa"/>
            <w:tcBorders/>
            <w:shd w:fill="auto" w:val="clear"/>
            <w:vAlign w:val="bottom"/>
          </w:tcPr>
          <w:p>
            <w:pPr>
              <w:pStyle w:val="TableContents"/>
              <w:spacing w:before="0" w:after="283"/>
              <w:rPr/>
            </w:pPr>
            <w:r>
              <w:rPr/>
              <w:t> </w:t>
            </w:r>
          </w:p>
        </w:tc>
        <w:tc>
          <w:tcPr>
            <w:tcW w:w="1534" w:type="dxa"/>
            <w:gridSpan w:val="2"/>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3.91% to 3.98%</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534" w:type="dxa"/>
            <w:gridSpan w:val="2"/>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1.56% to 1.95%</w:t>
            </w:r>
          </w:p>
        </w:tc>
        <w:tc>
          <w:tcPr>
            <w:tcW w:w="60" w:type="dxa"/>
            <w:tcBorders/>
            <w:shd w:fill="auto" w:val="clear"/>
            <w:vAlign w:val="bottom"/>
          </w:tcPr>
          <w:p>
            <w:pPr>
              <w:pStyle w:val="TableContents"/>
              <w:spacing w:before="0" w:after="283"/>
              <w:jc w:val="left"/>
              <w:rPr/>
            </w:pPr>
            <w:r>
              <w:rPr/>
              <w:t> </w:t>
            </w:r>
          </w:p>
        </w:tc>
      </w:tr>
      <w:tr>
        <w:trPr/>
        <w:tc>
          <w:tcPr>
            <w:tcW w:w="3155" w:type="dxa"/>
            <w:tcBorders/>
            <w:shd w:fill="CCEE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Weighted average grant date fair value</w:t>
            </w:r>
          </w:p>
        </w:tc>
        <w:tc>
          <w:tcPr>
            <w:tcW w:w="60" w:type="dxa"/>
            <w:tcBorders/>
            <w:shd w:fill="CCEEFF" w:val="clear"/>
            <w:vAlign w:val="bottom"/>
          </w:tcPr>
          <w:p>
            <w:pPr>
              <w:pStyle w:val="TableContents"/>
              <w:spacing w:before="0" w:after="283"/>
              <w:jc w:val="right"/>
              <w:rPr/>
            </w:pPr>
            <w:r>
              <w:rPr/>
              <w:t> </w:t>
            </w:r>
          </w:p>
        </w:tc>
        <w:tc>
          <w:tcPr>
            <w:tcW w:w="128"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1406"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10.26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86"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1248"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10.54</w:t>
            </w:r>
          </w:p>
        </w:tc>
        <w:tc>
          <w:tcPr>
            <w:tcW w:w="60" w:type="dxa"/>
            <w:tcBorders/>
            <w:shd w:fill="CCEEFF" w:val="clear"/>
            <w:vAlign w:val="bottom"/>
          </w:tcPr>
          <w:p>
            <w:pPr>
              <w:pStyle w:val="TableContents"/>
              <w:spacing w:before="0" w:after="283"/>
              <w:jc w:val="left"/>
              <w:rPr/>
            </w:pPr>
            <w:r>
              <w:rPr/>
              <w:t> </w:t>
            </w:r>
          </w:p>
        </w:tc>
      </w:tr>
    </w:tbl>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total intrinsic value of options exercised during the three months ended March 31, 2023 and March 31, 2022 was $275 thousand and $74 thousand, respectively.</w:t>
      </w:r>
    </w:p>
    <w:p>
      <w:pPr>
        <w:pStyle w:val="TextBody"/>
        <w:spacing w:before="0" w:after="0"/>
        <w:jc w:val="left"/>
        <w:rPr/>
      </w:pPr>
      <w:r>
        <w:rPr/>
      </w:r>
    </w:p>
    <w:p>
      <w:pPr>
        <w:pStyle w:val="TextBody"/>
        <w:spacing w:before="0" w:after="0"/>
        <w:jc w:val="both"/>
        <w:rPr>
          <w:rFonts w:ascii="Times New Roman" w:hAnsi="Times New Roman"/>
          <w:i/>
          <w:color w:val="000000"/>
          <w:sz w:val="20"/>
          <w:u w:val="single"/>
        </w:rPr>
      </w:pPr>
      <w:r>
        <w:rPr>
          <w:rFonts w:ascii="Times New Roman" w:hAnsi="Times New Roman"/>
          <w:i/>
          <w:color w:val="000000"/>
          <w:sz w:val="20"/>
          <w:u w:val="single"/>
        </w:rPr>
        <w:t>Restricted Stock Awards and Units</w:t>
      </w:r>
    </w:p>
    <w:p>
      <w:pPr>
        <w:pStyle w:val="TextBody"/>
        <w:spacing w:before="0" w:after="0"/>
        <w:jc w:val="both"/>
        <w:rPr>
          <w:rFonts w:ascii="Times New Roman" w:hAnsi="Times New Roman"/>
          <w:color w:val="000000"/>
          <w:sz w:val="20"/>
        </w:rPr>
      </w:pPr>
      <w:r>
        <w:rPr>
          <w:rFonts w:ascii="Times New Roman" w:hAnsi="Times New Roman"/>
          <w:color w:val="000000"/>
          <w:sz w:val="20"/>
        </w:rPr>
        <w:t>A summary of activity in the Plan during the period indicated is presented in the table below:</w:t>
      </w:r>
    </w:p>
    <w:p>
      <w:pPr>
        <w:pStyle w:val="TextBody"/>
        <w:spacing w:before="0" w:after="0"/>
        <w:jc w:val="left"/>
        <w:rPr/>
      </w:pPr>
      <w:r>
        <w:rPr/>
      </w:r>
    </w:p>
    <w:tbl>
      <w:tblPr>
        <w:tblW w:w="5764" w:type="dxa"/>
        <w:jc w:val="left"/>
        <w:tblInd w:w="0" w:type="dxa"/>
        <w:tblCellMar>
          <w:top w:w="0" w:type="dxa"/>
          <w:left w:w="0" w:type="dxa"/>
          <w:bottom w:w="0" w:type="dxa"/>
          <w:right w:w="0" w:type="dxa"/>
        </w:tblCellMar>
      </w:tblPr>
      <w:tblGrid>
        <w:gridCol w:w="3080"/>
        <w:gridCol w:w="60"/>
        <w:gridCol w:w="63"/>
        <w:gridCol w:w="736"/>
        <w:gridCol w:w="80"/>
        <w:gridCol w:w="60"/>
        <w:gridCol w:w="329"/>
        <w:gridCol w:w="1281"/>
        <w:gridCol w:w="75"/>
      </w:tblGrid>
      <w:tr>
        <w:trPr/>
        <w:tc>
          <w:tcPr>
            <w:tcW w:w="308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799"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Number</w:t>
            </w:r>
          </w:p>
          <w:p>
            <w:pPr>
              <w:pStyle w:val="TableContents"/>
              <w:spacing w:before="0" w:after="0"/>
              <w:jc w:val="center"/>
              <w:rPr>
                <w:rFonts w:ascii="Times New Roman" w:hAnsi="Times New Roman"/>
                <w:b/>
                <w:sz w:val="20"/>
              </w:rPr>
            </w:pPr>
            <w:r>
              <w:rPr>
                <w:rFonts w:ascii="Times New Roman" w:hAnsi="Times New Roman"/>
                <w:b/>
                <w:sz w:val="20"/>
              </w:rPr>
              <w:t>of Shares</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61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Weighted-Average</w:t>
            </w:r>
          </w:p>
          <w:p>
            <w:pPr>
              <w:pStyle w:val="TableContents"/>
              <w:spacing w:before="0" w:after="0"/>
              <w:jc w:val="center"/>
              <w:rPr>
                <w:rFonts w:ascii="Times New Roman" w:hAnsi="Times New Roman"/>
                <w:b/>
                <w:sz w:val="20"/>
              </w:rPr>
            </w:pPr>
            <w:r>
              <w:rPr>
                <w:rFonts w:ascii="Times New Roman" w:hAnsi="Times New Roman"/>
                <w:b/>
                <w:sz w:val="20"/>
              </w:rPr>
              <w:t>Grant Date</w:t>
            </w:r>
          </w:p>
          <w:p>
            <w:pPr>
              <w:pStyle w:val="TableContents"/>
              <w:spacing w:before="0" w:after="0"/>
              <w:jc w:val="center"/>
              <w:rPr>
                <w:rFonts w:ascii="Times New Roman" w:hAnsi="Times New Roman"/>
                <w:b/>
                <w:sz w:val="20"/>
              </w:rPr>
            </w:pPr>
            <w:r>
              <w:rPr>
                <w:rFonts w:ascii="Times New Roman" w:hAnsi="Times New Roman"/>
                <w:b/>
                <w:sz w:val="20"/>
              </w:rPr>
              <w:t>Fair Value</w:t>
            </w:r>
          </w:p>
        </w:tc>
        <w:tc>
          <w:tcPr>
            <w:tcW w:w="75" w:type="dxa"/>
            <w:tcBorders/>
            <w:shd w:fill="auto" w:val="clear"/>
            <w:vAlign w:val="bottom"/>
          </w:tcPr>
          <w:p>
            <w:pPr>
              <w:pStyle w:val="TableContents"/>
              <w:spacing w:before="0" w:after="283"/>
              <w:jc w:val="left"/>
              <w:rPr/>
            </w:pPr>
            <w:r>
              <w:rPr/>
              <w:t> </w:t>
            </w:r>
          </w:p>
        </w:tc>
      </w:tr>
      <w:tr>
        <w:trPr/>
        <w:tc>
          <w:tcPr>
            <w:tcW w:w="3080" w:type="dxa"/>
            <w:tcBorders/>
            <w:shd w:fill="auto" w:val="clear"/>
            <w:vAlign w:val="bottom"/>
          </w:tcPr>
          <w:p>
            <w:pPr>
              <w:pStyle w:val="TableContents"/>
              <w:spacing w:before="0" w:after="0"/>
              <w:ind w:left="180" w:right="0" w:hanging="0"/>
              <w:jc w:val="left"/>
              <w:rPr>
                <w:rFonts w:ascii="Times New Roman" w:hAnsi="Times New Roman"/>
                <w:sz w:val="20"/>
                <w:u w:val="single"/>
              </w:rPr>
            </w:pPr>
            <w:r>
              <w:rPr>
                <w:rFonts w:ascii="Times New Roman" w:hAnsi="Times New Roman"/>
                <w:sz w:val="20"/>
                <w:u w:val="single"/>
              </w:rPr>
              <w:t>Three Months Ended March 31, 2023</w:t>
            </w:r>
          </w:p>
        </w:tc>
        <w:tc>
          <w:tcPr>
            <w:tcW w:w="60" w:type="dxa"/>
            <w:tcBorders/>
            <w:shd w:fill="auto" w:val="clear"/>
            <w:vAlign w:val="bottom"/>
          </w:tcPr>
          <w:p>
            <w:pPr>
              <w:pStyle w:val="TableContents"/>
              <w:spacing w:before="0" w:after="283"/>
              <w:rPr/>
            </w:pPr>
            <w:r>
              <w:rPr/>
              <w:t> </w:t>
            </w:r>
          </w:p>
        </w:tc>
        <w:tc>
          <w:tcPr>
            <w:tcW w:w="799" w:type="dxa"/>
            <w:gridSpan w:val="2"/>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610"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jc w:val="left"/>
              <w:rPr/>
            </w:pPr>
            <w:r>
              <w:rPr/>
              <w:t> </w:t>
            </w:r>
          </w:p>
        </w:tc>
      </w:tr>
      <w:tr>
        <w:trPr/>
        <w:tc>
          <w:tcPr>
            <w:tcW w:w="3080" w:type="dxa"/>
            <w:tcBorders/>
            <w:shd w:fill="CCEE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Outstanding at beginning of year:</w:t>
            </w:r>
          </w:p>
        </w:tc>
        <w:tc>
          <w:tcPr>
            <w:tcW w:w="60" w:type="dxa"/>
            <w:tcBorders/>
            <w:shd w:fill="CCEEFF" w:val="clear"/>
            <w:vAlign w:val="bottom"/>
          </w:tcPr>
          <w:p>
            <w:pPr>
              <w:pStyle w:val="TableContents"/>
              <w:spacing w:before="0" w:after="283"/>
              <w:jc w:val="right"/>
              <w:rPr/>
            </w:pPr>
            <w:r>
              <w:rPr/>
              <w:t> </w:t>
            </w:r>
          </w:p>
        </w:tc>
        <w:tc>
          <w:tcPr>
            <w:tcW w:w="63" w:type="dxa"/>
            <w:tcBorders/>
            <w:shd w:fill="CCEEFF" w:val="clear"/>
            <w:vAlign w:val="bottom"/>
          </w:tcPr>
          <w:p>
            <w:pPr>
              <w:pStyle w:val="TableContents"/>
              <w:spacing w:before="0" w:after="283"/>
              <w:jc w:val="left"/>
              <w:rPr/>
            </w:pPr>
            <w:r>
              <w:rPr/>
              <w:t> </w:t>
            </w:r>
          </w:p>
        </w:tc>
        <w:tc>
          <w:tcPr>
            <w:tcW w:w="736"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84,342</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329"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1281"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26.76</w:t>
            </w:r>
          </w:p>
        </w:tc>
        <w:tc>
          <w:tcPr>
            <w:tcW w:w="75" w:type="dxa"/>
            <w:tcBorders/>
            <w:shd w:fill="CCEEFF" w:val="clear"/>
            <w:vAlign w:val="bottom"/>
          </w:tcPr>
          <w:p>
            <w:pPr>
              <w:pStyle w:val="TableContents"/>
              <w:spacing w:before="0" w:after="283"/>
              <w:jc w:val="left"/>
              <w:rPr/>
            </w:pPr>
            <w:r>
              <w:rPr/>
              <w:t> </w:t>
            </w:r>
          </w:p>
        </w:tc>
      </w:tr>
      <w:tr>
        <w:trPr/>
        <w:tc>
          <w:tcPr>
            <w:tcW w:w="3080" w:type="dxa"/>
            <w:tcBorders/>
            <w:shd w:fill="auto" w:val="clear"/>
            <w:vAlign w:val="bottom"/>
          </w:tcPr>
          <w:p>
            <w:pPr>
              <w:pStyle w:val="TableContents"/>
              <w:spacing w:before="0" w:after="0"/>
              <w:ind w:left="288" w:right="0" w:hanging="144"/>
              <w:jc w:val="left"/>
              <w:rPr>
                <w:rFonts w:ascii="Times New Roman" w:hAnsi="Times New Roman"/>
                <w:sz w:val="20"/>
              </w:rPr>
            </w:pPr>
            <w:r>
              <w:rPr>
                <w:rFonts w:ascii="Times New Roman" w:hAnsi="Times New Roman"/>
                <w:sz w:val="20"/>
              </w:rPr>
              <w:t>Granted</w:t>
            </w:r>
          </w:p>
        </w:tc>
        <w:tc>
          <w:tcPr>
            <w:tcW w:w="60" w:type="dxa"/>
            <w:tcBorders/>
            <w:shd w:fill="auto" w:val="clear"/>
            <w:vAlign w:val="bottom"/>
          </w:tcPr>
          <w:p>
            <w:pPr>
              <w:pStyle w:val="TableContents"/>
              <w:spacing w:before="0" w:after="283"/>
              <w:jc w:val="right"/>
              <w:rPr/>
            </w:pPr>
            <w:r>
              <w:rPr/>
              <w:t> </w:t>
            </w:r>
          </w:p>
        </w:tc>
        <w:tc>
          <w:tcPr>
            <w:tcW w:w="63" w:type="dxa"/>
            <w:tcBorders/>
            <w:shd w:fill="auto" w:val="clear"/>
            <w:vAlign w:val="bottom"/>
          </w:tcPr>
          <w:p>
            <w:pPr>
              <w:pStyle w:val="TableContents"/>
              <w:spacing w:before="0" w:after="283"/>
              <w:jc w:val="left"/>
              <w:rPr/>
            </w:pPr>
            <w:r>
              <w:rPr/>
              <w:t> </w:t>
            </w:r>
          </w:p>
        </w:tc>
        <w:tc>
          <w:tcPr>
            <w:tcW w:w="736"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85,127</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329" w:type="dxa"/>
            <w:tcBorders/>
            <w:shd w:fill="auto" w:val="clear"/>
            <w:vAlign w:val="bottom"/>
          </w:tcPr>
          <w:p>
            <w:pPr>
              <w:pStyle w:val="TableContents"/>
              <w:spacing w:before="0" w:after="283"/>
              <w:jc w:val="left"/>
              <w:rPr/>
            </w:pPr>
            <w:r>
              <w:rPr/>
              <w:t> </w:t>
            </w:r>
          </w:p>
        </w:tc>
        <w:tc>
          <w:tcPr>
            <w:tcW w:w="1281"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25.33</w:t>
            </w:r>
          </w:p>
        </w:tc>
        <w:tc>
          <w:tcPr>
            <w:tcW w:w="75" w:type="dxa"/>
            <w:tcBorders/>
            <w:shd w:fill="auto" w:val="clear"/>
            <w:vAlign w:val="bottom"/>
          </w:tcPr>
          <w:p>
            <w:pPr>
              <w:pStyle w:val="TableContents"/>
              <w:spacing w:before="0" w:after="283"/>
              <w:jc w:val="left"/>
              <w:rPr/>
            </w:pPr>
            <w:r>
              <w:rPr/>
              <w:t> </w:t>
            </w:r>
          </w:p>
        </w:tc>
      </w:tr>
      <w:tr>
        <w:trPr/>
        <w:tc>
          <w:tcPr>
            <w:tcW w:w="3080" w:type="dxa"/>
            <w:tcBorders/>
            <w:shd w:fill="CCEEFF" w:val="clear"/>
            <w:vAlign w:val="bottom"/>
          </w:tcPr>
          <w:p>
            <w:pPr>
              <w:pStyle w:val="TableContents"/>
              <w:spacing w:before="0" w:after="0"/>
              <w:ind w:left="288" w:right="0" w:hanging="144"/>
              <w:jc w:val="left"/>
              <w:rPr>
                <w:rFonts w:ascii="Times New Roman" w:hAnsi="Times New Roman"/>
                <w:sz w:val="20"/>
              </w:rPr>
            </w:pPr>
            <w:r>
              <w:rPr>
                <w:rFonts w:ascii="Times New Roman" w:hAnsi="Times New Roman"/>
                <w:sz w:val="20"/>
              </w:rPr>
              <w:t>Vested</w:t>
            </w:r>
          </w:p>
        </w:tc>
        <w:tc>
          <w:tcPr>
            <w:tcW w:w="60" w:type="dxa"/>
            <w:tcBorders/>
            <w:shd w:fill="CCEEFF" w:val="clear"/>
            <w:vAlign w:val="bottom"/>
          </w:tcPr>
          <w:p>
            <w:pPr>
              <w:pStyle w:val="TableContents"/>
              <w:spacing w:before="0" w:after="283"/>
              <w:jc w:val="right"/>
              <w:rPr/>
            </w:pPr>
            <w:r>
              <w:rPr/>
              <w:t> </w:t>
            </w:r>
          </w:p>
        </w:tc>
        <w:tc>
          <w:tcPr>
            <w:tcW w:w="63" w:type="dxa"/>
            <w:tcBorders/>
            <w:shd w:fill="CCEEFF" w:val="clear"/>
            <w:vAlign w:val="bottom"/>
          </w:tcPr>
          <w:p>
            <w:pPr>
              <w:pStyle w:val="TableContents"/>
              <w:spacing w:before="0" w:after="283"/>
              <w:jc w:val="left"/>
              <w:rPr/>
            </w:pPr>
            <w:r>
              <w:rPr/>
              <w:t> </w:t>
            </w:r>
          </w:p>
        </w:tc>
        <w:tc>
          <w:tcPr>
            <w:tcW w:w="736"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(37,319</w:t>
            </w:r>
          </w:p>
        </w:tc>
        <w:tc>
          <w:tcPr>
            <w:tcW w:w="80"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right"/>
              <w:rPr/>
            </w:pPr>
            <w:r>
              <w:rPr/>
              <w:t> </w:t>
            </w:r>
          </w:p>
        </w:tc>
        <w:tc>
          <w:tcPr>
            <w:tcW w:w="329" w:type="dxa"/>
            <w:tcBorders/>
            <w:shd w:fill="CCEEFF" w:val="clear"/>
            <w:vAlign w:val="bottom"/>
          </w:tcPr>
          <w:p>
            <w:pPr>
              <w:pStyle w:val="TableContents"/>
              <w:spacing w:before="0" w:after="283"/>
              <w:jc w:val="left"/>
              <w:rPr/>
            </w:pPr>
            <w:r>
              <w:rPr/>
              <w:t> </w:t>
            </w:r>
          </w:p>
        </w:tc>
        <w:tc>
          <w:tcPr>
            <w:tcW w:w="1281"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24.30</w:t>
            </w:r>
          </w:p>
        </w:tc>
        <w:tc>
          <w:tcPr>
            <w:tcW w:w="75" w:type="dxa"/>
            <w:tcBorders/>
            <w:shd w:fill="CCEEFF" w:val="clear"/>
            <w:vAlign w:val="bottom"/>
          </w:tcPr>
          <w:p>
            <w:pPr>
              <w:pStyle w:val="TableContents"/>
              <w:spacing w:before="0" w:after="283"/>
              <w:jc w:val="left"/>
              <w:rPr/>
            </w:pPr>
            <w:r>
              <w:rPr/>
              <w:t> </w:t>
            </w:r>
          </w:p>
        </w:tc>
      </w:tr>
      <w:tr>
        <w:trPr/>
        <w:tc>
          <w:tcPr>
            <w:tcW w:w="3080" w:type="dxa"/>
            <w:tcBorders/>
            <w:shd w:fill="auto" w:val="clear"/>
            <w:vAlign w:val="bottom"/>
          </w:tcPr>
          <w:p>
            <w:pPr>
              <w:pStyle w:val="TableContents"/>
              <w:spacing w:before="0" w:after="0"/>
              <w:ind w:left="288" w:right="0" w:hanging="144"/>
              <w:jc w:val="left"/>
              <w:rPr>
                <w:rFonts w:ascii="Times New Roman" w:hAnsi="Times New Roman"/>
                <w:sz w:val="20"/>
              </w:rPr>
            </w:pPr>
            <w:r>
              <w:rPr>
                <w:rFonts w:ascii="Times New Roman" w:hAnsi="Times New Roman"/>
                <w:sz w:val="20"/>
              </w:rPr>
              <w:t>Forfeited</w:t>
            </w:r>
          </w:p>
        </w:tc>
        <w:tc>
          <w:tcPr>
            <w:tcW w:w="60" w:type="dxa"/>
            <w:tcBorders/>
            <w:shd w:fill="auto" w:val="clear"/>
            <w:vAlign w:val="bottom"/>
          </w:tcPr>
          <w:p>
            <w:pPr>
              <w:pStyle w:val="TableContents"/>
              <w:spacing w:before="0" w:after="283"/>
              <w:jc w:val="right"/>
              <w:rPr/>
            </w:pPr>
            <w:r>
              <w:rPr/>
              <w:t> </w:t>
            </w:r>
          </w:p>
        </w:tc>
        <w:tc>
          <w:tcPr>
            <w:tcW w:w="63"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736"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(1,120</w:t>
            </w:r>
          </w:p>
        </w:tc>
        <w:tc>
          <w:tcPr>
            <w:tcW w:w="80"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auto" w:val="clear"/>
            <w:vAlign w:val="bottom"/>
          </w:tcPr>
          <w:p>
            <w:pPr>
              <w:pStyle w:val="TableContents"/>
              <w:spacing w:before="0" w:after="283"/>
              <w:jc w:val="right"/>
              <w:rPr/>
            </w:pPr>
            <w:r>
              <w:rPr/>
              <w:t> </w:t>
            </w:r>
          </w:p>
        </w:tc>
        <w:tc>
          <w:tcPr>
            <w:tcW w:w="329" w:type="dxa"/>
            <w:tcBorders/>
            <w:shd w:fill="auto" w:val="clear"/>
            <w:vAlign w:val="bottom"/>
          </w:tcPr>
          <w:p>
            <w:pPr>
              <w:pStyle w:val="TableContents"/>
              <w:spacing w:before="0" w:after="283"/>
              <w:jc w:val="left"/>
              <w:rPr/>
            </w:pPr>
            <w:r>
              <w:rPr/>
              <w:t> </w:t>
            </w:r>
          </w:p>
        </w:tc>
        <w:tc>
          <w:tcPr>
            <w:tcW w:w="1281"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24.16</w:t>
            </w:r>
          </w:p>
        </w:tc>
        <w:tc>
          <w:tcPr>
            <w:tcW w:w="75" w:type="dxa"/>
            <w:tcBorders/>
            <w:shd w:fill="auto" w:val="clear"/>
            <w:vAlign w:val="bottom"/>
          </w:tcPr>
          <w:p>
            <w:pPr>
              <w:pStyle w:val="TableContents"/>
              <w:spacing w:before="0" w:after="283"/>
              <w:jc w:val="left"/>
              <w:rPr/>
            </w:pPr>
            <w:r>
              <w:rPr/>
              <w:t> </w:t>
            </w:r>
          </w:p>
        </w:tc>
      </w:tr>
      <w:tr>
        <w:trPr/>
        <w:tc>
          <w:tcPr>
            <w:tcW w:w="308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63" w:type="dxa"/>
            <w:tcBorders/>
            <w:shd w:fill="CCEEFF" w:val="clear"/>
            <w:vAlign w:val="bottom"/>
          </w:tcPr>
          <w:p>
            <w:pPr>
              <w:pStyle w:val="TableContents"/>
              <w:spacing w:before="0" w:after="283"/>
              <w:jc w:val="left"/>
              <w:rPr/>
            </w:pPr>
            <w:r>
              <w:rPr/>
              <w:t> </w:t>
            </w:r>
          </w:p>
        </w:tc>
        <w:tc>
          <w:tcPr>
            <w:tcW w:w="736"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329" w:type="dxa"/>
            <w:tcBorders/>
            <w:shd w:fill="CCEEFF" w:val="clear"/>
            <w:vAlign w:val="bottom"/>
          </w:tcPr>
          <w:p>
            <w:pPr>
              <w:pStyle w:val="TableContents"/>
              <w:spacing w:before="0" w:after="283"/>
              <w:jc w:val="left"/>
              <w:rPr/>
            </w:pPr>
            <w:r>
              <w:rPr/>
              <w:t> </w:t>
            </w:r>
          </w:p>
        </w:tc>
        <w:tc>
          <w:tcPr>
            <w:tcW w:w="1281"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jc w:val="left"/>
              <w:rPr/>
            </w:pPr>
            <w:r>
              <w:rPr/>
              <w:t> </w:t>
            </w:r>
          </w:p>
        </w:tc>
      </w:tr>
      <w:tr>
        <w:trPr/>
        <w:tc>
          <w:tcPr>
            <w:tcW w:w="3080" w:type="dxa"/>
            <w:tcBorders/>
            <w:shd w:fill="auto" w:val="clear"/>
            <w:vAlign w:val="bottom"/>
          </w:tcPr>
          <w:p>
            <w:pPr>
              <w:pStyle w:val="TableContents"/>
              <w:spacing w:before="0" w:after="0"/>
              <w:ind w:left="180" w:right="0" w:hanging="0"/>
              <w:jc w:val="left"/>
              <w:rPr>
                <w:rFonts w:ascii="Times New Roman" w:hAnsi="Times New Roman"/>
                <w:sz w:val="20"/>
              </w:rPr>
            </w:pPr>
            <w:r>
              <w:rPr>
                <w:rFonts w:ascii="Times New Roman" w:hAnsi="Times New Roman"/>
                <w:sz w:val="20"/>
              </w:rPr>
              <w:t>Balance, March 31, 2023</w:t>
            </w:r>
          </w:p>
        </w:tc>
        <w:tc>
          <w:tcPr>
            <w:tcW w:w="60" w:type="dxa"/>
            <w:tcBorders/>
            <w:shd w:fill="auto" w:val="clear"/>
            <w:vAlign w:val="bottom"/>
          </w:tcPr>
          <w:p>
            <w:pPr>
              <w:pStyle w:val="TableContents"/>
              <w:spacing w:before="0" w:after="283"/>
              <w:jc w:val="right"/>
              <w:rPr/>
            </w:pPr>
            <w:r>
              <w:rPr/>
              <w:t> </w:t>
            </w:r>
          </w:p>
        </w:tc>
        <w:tc>
          <w:tcPr>
            <w:tcW w:w="63" w:type="dxa"/>
            <w:tcBorders>
              <w:bottom w:val="double" w:sz="8" w:space="0" w:color="000000"/>
            </w:tcBorders>
            <w:shd w:fill="auto" w:val="clear"/>
            <w:tcMar>
              <w:bottom w:w="28" w:type="dxa"/>
            </w:tcMar>
            <w:vAlign w:val="bottom"/>
          </w:tcPr>
          <w:p>
            <w:pPr>
              <w:pStyle w:val="TableContents"/>
              <w:spacing w:before="0" w:after="283"/>
              <w:jc w:val="left"/>
              <w:rPr/>
            </w:pPr>
            <w:r>
              <w:rPr/>
              <w:t> </w:t>
            </w:r>
          </w:p>
        </w:tc>
        <w:tc>
          <w:tcPr>
            <w:tcW w:w="736"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131,030</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329" w:type="dxa"/>
            <w:tcBorders>
              <w:bottom w:val="double" w:sz="8" w:space="0" w:color="000000"/>
            </w:tcBorders>
            <w:shd w:fill="auto" w:val="clear"/>
            <w:tcMar>
              <w:bottom w:w="28" w:type="dxa"/>
            </w:tcM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1281"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26.56</w:t>
            </w:r>
          </w:p>
        </w:tc>
        <w:tc>
          <w:tcPr>
            <w:tcW w:w="75" w:type="dxa"/>
            <w:tcBorders/>
            <w:shd w:fill="auto" w:val="clear"/>
            <w:vAlign w:val="bottom"/>
          </w:tcPr>
          <w:p>
            <w:pPr>
              <w:pStyle w:val="TableContents"/>
              <w:spacing w:before="0" w:after="283"/>
              <w:jc w:val="left"/>
              <w:rPr/>
            </w:pPr>
            <w:r>
              <w:rPr/>
              <w:t> </w:t>
            </w:r>
          </w:p>
        </w:tc>
      </w:tr>
    </w:tbl>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Restricted stock units granted under the Plan typically vest from one to four years, but vesting periods may vary. Compensation expense for these grants will be recognized over the vesting period of the awards based on the fair value of the stock at the issue date.</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total unrecognized compensation cost for the awards outstanding under the Plan at March 31, 2023 was $4.6 million and will be recognized over a weighted average remaining period of 1.83 years. The total fair value of restricted stock units vested during each of the three months ended March 31, 2023 and March 31, 2022 was $907 thousand and $464 thousand, respectively.</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21</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b w:val="false"/>
            <w:i/>
            <w:color w:val="000000"/>
            <w:sz w:val="16"/>
          </w:rPr>
          <w:t>Table of Contents</w:t>
        </w:r>
      </w:hyperlink>
    </w:p>
    <w:p>
      <w:pPr>
        <w:pStyle w:val="TextBody"/>
        <w:spacing w:before="0" w:after="0"/>
        <w:jc w:val="left"/>
        <w:rPr>
          <w:rFonts w:ascii="Times New Roman" w:hAnsi="Times New Roman"/>
          <w:b/>
          <w:color w:val="000000"/>
          <w:sz w:val="20"/>
        </w:rPr>
      </w:pPr>
      <w:r>
        <w:rPr>
          <w:rFonts w:ascii="Times New Roman" w:hAnsi="Times New Roman"/>
          <w:b/>
          <w:color w:val="000000"/>
          <w:sz w:val="20"/>
        </w:rPr>
        <w:t>8.  OFF-BALANCE-SHEET ACTIVITIES, COMMITMENTS AND CONTINGENCIES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b w:val="false"/>
          <w:i/>
          <w:caps w:val="false"/>
          <w:smallCaps w:val="false"/>
          <w:color w:val="000000"/>
          <w:sz w:val="20"/>
          <w:highlight w:val="white"/>
          <w:u w:val="single"/>
        </w:rPr>
        <w:t>Financial instruments with off-balance-sheet risk</w:t>
      </w:r>
      <w:r>
        <w:rPr>
          <w:rFonts w:ascii="Times New Roman" w:hAnsi="Times New Roman"/>
          <w:caps w:val="false"/>
          <w:smallCaps w:val="false"/>
          <w:color w:val="000000"/>
          <w:sz w:val="20"/>
          <w:highlight w:val="white"/>
        </w:rPr>
        <w:t xml:space="preserve"> </w:t>
      </w:r>
      <w:r>
        <w:rPr>
          <w:rFonts w:ascii="Times New Roman" w:hAnsi="Times New Roman"/>
          <w:b w:val="false"/>
          <w:i w:val="false"/>
          <w:caps w:val="false"/>
          <w:smallCaps w:val="false"/>
          <w:color w:val="000000"/>
          <w:sz w:val="20"/>
          <w:highlight w:val="white"/>
        </w:rPr>
        <w:t>- The Company is a party to financial instruments with off-balance-sheet risk in the normal course of business to meet the financing needs of its customers. These financial instruments include commitments to extend credit and standby letters of credit. Such commitments involve, to varying degrees, elements of credit and interest rate risk in excess of the amount recognized in the Company’s consolidated financial statements. The Company’s exposure to credit loss is represented by the contractual amount of these commitments. The Company follows the same credit policies in making commitments as it does for recorded instruments.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Financial instruments whose contract amounts represent credit risk outstanding at the dates indicated follow (dollars in thousands):</w:t>
      </w:r>
    </w:p>
    <w:p>
      <w:pPr>
        <w:pStyle w:val="TextBody"/>
        <w:spacing w:before="0" w:after="0"/>
        <w:jc w:val="left"/>
        <w:rPr/>
      </w:pPr>
      <w:r>
        <w:rPr/>
      </w:r>
    </w:p>
    <w:tbl>
      <w:tblPr>
        <w:tblW w:w="8623" w:type="dxa"/>
        <w:jc w:val="left"/>
        <w:tblInd w:w="0" w:type="dxa"/>
        <w:tblCellMar>
          <w:top w:w="0" w:type="dxa"/>
          <w:left w:w="0" w:type="dxa"/>
          <w:bottom w:w="0" w:type="dxa"/>
          <w:right w:w="0" w:type="dxa"/>
        </w:tblCellMar>
      </w:tblPr>
      <w:tblGrid>
        <w:gridCol w:w="6305"/>
        <w:gridCol w:w="60"/>
        <w:gridCol w:w="135"/>
        <w:gridCol w:w="754"/>
        <w:gridCol w:w="60"/>
        <w:gridCol w:w="60"/>
        <w:gridCol w:w="178"/>
        <w:gridCol w:w="996"/>
        <w:gridCol w:w="75"/>
      </w:tblGrid>
      <w:tr>
        <w:trPr/>
        <w:tc>
          <w:tcPr>
            <w:tcW w:w="630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89"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March 31,</w:t>
            </w:r>
          </w:p>
          <w:p>
            <w:pPr>
              <w:pStyle w:val="TableContents"/>
              <w:spacing w:before="0" w:after="0"/>
              <w:jc w:val="center"/>
              <w:rPr>
                <w:rFonts w:ascii="Times New Roman" w:hAnsi="Times New Roman"/>
                <w:b/>
                <w:sz w:val="20"/>
              </w:rPr>
            </w:pPr>
            <w:r>
              <w:rPr>
                <w:rFonts w:ascii="Times New Roman" w:hAnsi="Times New Roman"/>
                <w:b/>
                <w:sz w:val="20"/>
              </w:rPr>
              <w:t>2023</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74"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December 31,</w:t>
            </w:r>
          </w:p>
          <w:p>
            <w:pPr>
              <w:pStyle w:val="TableContents"/>
              <w:spacing w:before="0" w:after="0"/>
              <w:jc w:val="center"/>
              <w:rPr>
                <w:rFonts w:ascii="Times New Roman" w:hAnsi="Times New Roman"/>
                <w:b/>
                <w:sz w:val="20"/>
              </w:rPr>
            </w:pPr>
            <w:r>
              <w:rPr>
                <w:rFonts w:ascii="Times New Roman" w:hAnsi="Times New Roman"/>
                <w:b/>
                <w:sz w:val="20"/>
              </w:rPr>
              <w:t>2022</w:t>
            </w:r>
          </w:p>
        </w:tc>
        <w:tc>
          <w:tcPr>
            <w:tcW w:w="75" w:type="dxa"/>
            <w:tcBorders/>
            <w:shd w:fill="auto" w:val="clear"/>
            <w:vAlign w:val="bottom"/>
          </w:tcPr>
          <w:p>
            <w:pPr>
              <w:pStyle w:val="TableContents"/>
              <w:spacing w:before="0" w:after="283"/>
              <w:jc w:val="left"/>
              <w:rPr/>
            </w:pPr>
            <w:r>
              <w:rPr/>
              <w:t> </w:t>
            </w:r>
          </w:p>
        </w:tc>
      </w:tr>
      <w:tr>
        <w:trPr/>
        <w:tc>
          <w:tcPr>
            <w:tcW w:w="6305" w:type="dxa"/>
            <w:tcBorders/>
            <w:shd w:fill="CCEE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Commitments to grant loans and unfunded commitments under lines of credit</w:t>
            </w:r>
          </w:p>
        </w:tc>
        <w:tc>
          <w:tcPr>
            <w:tcW w:w="60" w:type="dxa"/>
            <w:tcBorders/>
            <w:shd w:fill="CCEEFF" w:val="clear"/>
            <w:vAlign w:val="bottom"/>
          </w:tcPr>
          <w:p>
            <w:pPr>
              <w:pStyle w:val="TableContents"/>
              <w:spacing w:before="0" w:after="283"/>
              <w:jc w:val="right"/>
              <w:rPr/>
            </w:pPr>
            <w:r>
              <w:rPr/>
              <w:t> </w:t>
            </w:r>
          </w:p>
        </w:tc>
        <w:tc>
          <w:tcPr>
            <w:tcW w:w="13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754"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720,851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78"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996"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682,296</w:t>
            </w:r>
          </w:p>
        </w:tc>
        <w:tc>
          <w:tcPr>
            <w:tcW w:w="75" w:type="dxa"/>
            <w:tcBorders/>
            <w:shd w:fill="CCEEFF" w:val="clear"/>
            <w:vAlign w:val="bottom"/>
          </w:tcPr>
          <w:p>
            <w:pPr>
              <w:pStyle w:val="TableContents"/>
              <w:spacing w:before="0" w:after="283"/>
              <w:jc w:val="left"/>
              <w:rPr/>
            </w:pPr>
            <w:r>
              <w:rPr/>
              <w:t> </w:t>
            </w:r>
          </w:p>
        </w:tc>
      </w:tr>
      <w:tr>
        <w:trPr/>
        <w:tc>
          <w:tcPr>
            <w:tcW w:w="6305" w:type="dxa"/>
            <w:tcBorders/>
            <w:shd w:fill="auto"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Standby letters of credit</w:t>
            </w:r>
          </w:p>
        </w:tc>
        <w:tc>
          <w:tcPr>
            <w:tcW w:w="60" w:type="dxa"/>
            <w:tcBorders/>
            <w:shd w:fill="auto" w:val="clear"/>
            <w:vAlign w:val="bottom"/>
          </w:tcPr>
          <w:p>
            <w:pPr>
              <w:pStyle w:val="TableContents"/>
              <w:spacing w:before="0" w:after="283"/>
              <w:jc w:val="right"/>
              <w:rPr/>
            </w:pPr>
            <w:r>
              <w:rPr/>
              <w:t> </w:t>
            </w:r>
          </w:p>
        </w:tc>
        <w:tc>
          <w:tcPr>
            <w:tcW w:w="135" w:type="dxa"/>
            <w:tcBorders/>
            <w:shd w:fill="auto" w:val="clear"/>
            <w:vAlign w:val="bottom"/>
          </w:tcPr>
          <w:p>
            <w:pPr>
              <w:pStyle w:val="TableContents"/>
              <w:spacing w:before="0" w:after="283"/>
              <w:jc w:val="left"/>
              <w:rPr/>
            </w:pPr>
            <w:r>
              <w:rPr/>
              <w:t> </w:t>
            </w:r>
          </w:p>
        </w:tc>
        <w:tc>
          <w:tcPr>
            <w:tcW w:w="754"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12,821</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78" w:type="dxa"/>
            <w:tcBorders/>
            <w:shd w:fill="auto" w:val="clear"/>
            <w:vAlign w:val="bottom"/>
          </w:tcPr>
          <w:p>
            <w:pPr>
              <w:pStyle w:val="TableContents"/>
              <w:spacing w:before="0" w:after="283"/>
              <w:jc w:val="left"/>
              <w:rPr/>
            </w:pPr>
            <w:r>
              <w:rPr/>
              <w:t> </w:t>
            </w:r>
          </w:p>
        </w:tc>
        <w:tc>
          <w:tcPr>
            <w:tcW w:w="996"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13,864</w:t>
            </w:r>
          </w:p>
        </w:tc>
        <w:tc>
          <w:tcPr>
            <w:tcW w:w="75" w:type="dxa"/>
            <w:tcBorders/>
            <w:shd w:fill="auto" w:val="clear"/>
            <w:vAlign w:val="bottom"/>
          </w:tcPr>
          <w:p>
            <w:pPr>
              <w:pStyle w:val="TableContents"/>
              <w:spacing w:before="0" w:after="283"/>
              <w:jc w:val="left"/>
              <w:rPr/>
            </w:pPr>
            <w:r>
              <w:rPr/>
              <w:t> </w:t>
            </w:r>
          </w:p>
        </w:tc>
      </w:tr>
    </w:tbl>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Commitments to grant loans and extend credit are agreements to lend to a customer as long as there is no violation of any condition established in the contract. Commitments generally have fixed expiration dates or other termination clauses and may require payment of a fee. The commitments for lines of credit may expire without being drawn upon. Therefore, the total commitment amounts do not necessarily represent future cash requirements. The amount of collateral obtained, if it is deemed necessary by the Company, is based on management’s credit evaluation of the customer.</w:t>
      </w:r>
    </w:p>
    <w:p>
      <w:pPr>
        <w:pStyle w:val="TextBody"/>
        <w:spacing w:before="0" w:after="0"/>
        <w:jc w:val="left"/>
        <w:rPr/>
      </w:pPr>
      <w:r>
        <w:rPr/>
      </w:r>
    </w:p>
    <w:p>
      <w:pPr>
        <w:pStyle w:val="TextBody"/>
        <w:spacing w:before="0" w:after="0"/>
        <w:jc w:val="both"/>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Standby letters of credit are conditional commitments issued by the Company to guarantee the performance of a customer to a third party. Those letters of credit are primarily issued to support public and private borrowing arrangements. Essentially all letters of credit issued have expiration dates within one year. The credit risk involved in issuing letters of credit is essentially the same as that involved in extending loan facilities to customers. The Company requires collateral supporting those commitments if deemed necessary.</w:t>
      </w:r>
    </w:p>
    <w:p>
      <w:pPr>
        <w:pStyle w:val="TextBody"/>
        <w:spacing w:before="0" w:after="0"/>
        <w:jc w:val="both"/>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r>
    </w:p>
    <w:p>
      <w:pPr>
        <w:pStyle w:val="TextBody"/>
        <w:spacing w:before="0" w:after="0"/>
        <w:jc w:val="both"/>
        <w:rPr>
          <w:rFonts w:ascii="Times New Roman" w:hAnsi="Times New Roman"/>
          <w:color w:val="000000"/>
          <w:sz w:val="20"/>
        </w:rPr>
      </w:pPr>
      <w:r>
        <w:rPr>
          <w:rFonts w:ascii="Times New Roman" w:hAnsi="Times New Roman"/>
          <w:i/>
          <w:color w:val="000000"/>
          <w:sz w:val="20"/>
          <w:u w:val="single"/>
        </w:rPr>
        <w:t>FHLB Letters of Credit</w:t>
      </w:r>
      <w:r>
        <w:rPr>
          <w:rFonts w:ascii="Times New Roman" w:hAnsi="Times New Roman"/>
          <w:color w:val="000000"/>
          <w:sz w:val="20"/>
        </w:rPr>
        <w:t> - The Company may use FHLB letters of credit to pledge to certain public deposits. There were no FHLB letters of credit outstanding at March 31, 2023 or December 31, 2022.</w:t>
      </w:r>
    </w:p>
    <w:p>
      <w:pPr>
        <w:pStyle w:val="TextBody"/>
        <w:spacing w:before="0" w:after="0"/>
        <w:jc w:val="left"/>
        <w:rPr/>
      </w:pPr>
      <w:r>
        <w:rPr/>
      </w:r>
    </w:p>
    <w:p>
      <w:pPr>
        <w:pStyle w:val="TextBody"/>
        <w:spacing w:before="0" w:after="0"/>
        <w:jc w:val="left"/>
        <w:rPr/>
      </w:pPr>
      <w:r>
        <w:rPr/>
      </w:r>
    </w:p>
    <w:p>
      <w:pPr>
        <w:pStyle w:val="TextBody"/>
        <w:spacing w:before="0" w:after="0"/>
        <w:ind w:left="720" w:right="0" w:hanging="720"/>
        <w:jc w:val="both"/>
        <w:rPr>
          <w:rFonts w:ascii="Times New Roman" w:hAnsi="Times New Roman"/>
          <w:b/>
          <w:i w:val="false"/>
          <w:caps w:val="false"/>
          <w:smallCaps w:val="false"/>
          <w:color w:val="000000"/>
          <w:spacing w:val="0"/>
          <w:sz w:val="20"/>
          <w:highlight w:val="white"/>
        </w:rPr>
      </w:pPr>
      <w:r>
        <w:rPr>
          <w:rFonts w:ascii="Times New Roman" w:hAnsi="Times New Roman"/>
          <w:b/>
          <w:i w:val="false"/>
          <w:caps w:val="false"/>
          <w:smallCaps w:val="false"/>
          <w:color w:val="000000"/>
          <w:spacing w:val="0"/>
          <w:sz w:val="20"/>
          <w:highlight w:val="white"/>
        </w:rPr>
        <w:t>9.  LEASES</w:t>
      </w:r>
    </w:p>
    <w:p>
      <w:pPr>
        <w:pStyle w:val="TextBody"/>
        <w:spacing w:before="0" w:after="0"/>
        <w:jc w:val="left"/>
        <w:rPr/>
      </w:pPr>
      <w:r>
        <w:rPr/>
      </w:r>
    </w:p>
    <w:p>
      <w:pPr>
        <w:pStyle w:val="TextBody"/>
        <w:spacing w:before="0" w:after="0"/>
        <w:ind w:left="720" w:right="0" w:hanging="720"/>
        <w:jc w:val="both"/>
        <w:rPr>
          <w:rFonts w:ascii="Times New Roman" w:hAnsi="Times New Roman"/>
          <w:b/>
          <w:i w:val="false"/>
          <w:caps w:val="false"/>
          <w:smallCaps w:val="false"/>
          <w:color w:val="000000"/>
          <w:spacing w:val="0"/>
          <w:sz w:val="20"/>
          <w:highlight w:val="white"/>
        </w:rPr>
      </w:pPr>
      <w:r>
        <w:rPr>
          <w:rFonts w:ascii="Times New Roman" w:hAnsi="Times New Roman"/>
          <w:b/>
          <w:i w:val="false"/>
          <w:caps w:val="false"/>
          <w:smallCaps w:val="false"/>
          <w:color w:val="000000"/>
          <w:spacing w:val="0"/>
          <w:sz w:val="20"/>
          <w:highlight w:val="white"/>
        </w:rPr>
      </w:r>
    </w:p>
    <w:p>
      <w:pPr>
        <w:pStyle w:val="TextBody"/>
        <w:spacing w:before="0" w:after="0"/>
        <w:ind w:left="720" w:right="0" w:hanging="720"/>
        <w:jc w:val="both"/>
        <w:rPr>
          <w:rFonts w:ascii="Times New Roman;Times;serif" w:hAnsi="Times New Roman;Times;serif"/>
          <w:b w:val="false"/>
          <w:i/>
          <w:caps w:val="false"/>
          <w:smallCaps w:val="false"/>
          <w:color w:val="000000"/>
          <w:spacing w:val="0"/>
          <w:sz w:val="20"/>
          <w:highlight w:val="white"/>
          <w:u w:val="single"/>
        </w:rPr>
      </w:pPr>
      <w:r>
        <w:rPr>
          <w:rFonts w:ascii="Times New Roman;Times;serif" w:hAnsi="Times New Roman;Times;serif"/>
          <w:b w:val="false"/>
          <w:i/>
          <w:caps w:val="false"/>
          <w:smallCaps w:val="false"/>
          <w:color w:val="000000"/>
          <w:spacing w:val="0"/>
          <w:sz w:val="20"/>
          <w:highlight w:val="white"/>
          <w:u w:val="single"/>
        </w:rPr>
        <w:t>Lessee Arrangements</w:t>
      </w:r>
    </w:p>
    <w:p>
      <w:pPr>
        <w:pStyle w:val="TextBody"/>
        <w:spacing w:before="0" w:after="0"/>
        <w:jc w:val="left"/>
        <w:rPr/>
      </w:pPr>
      <w:r>
        <w:rPr/>
      </w:r>
    </w:p>
    <w:p>
      <w:pPr>
        <w:pStyle w:val="TextBody"/>
        <w:widowControl/>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spacing w:before="0" w:after="0"/>
        <w:jc w:val="left"/>
        <w:rPr/>
      </w:pPr>
      <w:r>
        <w:rPr/>
      </w:r>
    </w:p>
    <w:p>
      <w:pPr>
        <w:pStyle w:val="TextBody"/>
        <w:spacing w:before="0" w:after="0"/>
        <w:ind w:left="0" w:right="0" w:hanging="0"/>
        <w:jc w:val="both"/>
        <w:rPr>
          <w:rFonts w:ascii="Times New Roman" w:hAnsi="Times New Roman"/>
          <w:b w:val="false"/>
          <w:i w:val="false"/>
          <w:caps w:val="false"/>
          <w:smallCaps w:val="false"/>
          <w:color w:val="000000"/>
          <w:spacing w:val="0"/>
          <w:sz w:val="20"/>
          <w:highlight w:val="white"/>
        </w:rPr>
      </w:pPr>
      <w:r>
        <w:rPr>
          <w:rFonts w:ascii="Times New Roman" w:hAnsi="Times New Roman"/>
          <w:b w:val="false"/>
          <w:i w:val="false"/>
          <w:caps w:val="false"/>
          <w:smallCaps w:val="false"/>
          <w:color w:val="000000"/>
          <w:spacing w:val="0"/>
          <w:sz w:val="20"/>
          <w:highlight w:val="white"/>
        </w:rPr>
        <w:t>The Company leases space, primarily for branch facilities and small equipment under operating leases. The Company’s leases often include one or more options to renew at the Company’s discretion, and some of the Company’s leases include options to terminate within one year. When it is reasonably certain that the Company will exercise the option to renew or extend the lease term, that option is included in estimating the value of the ROU asset and lease liability. The Company’s leases contain customary restrictions and covenants and do not contain any residual value guarantees. The Company has certain intercompany leases and subleases between its subsidiaries, and these transactions and balances have been eliminated in consolidation and are not reflected in the tables and information presented below. As of March 31, 2023 and December 31, 2022, the Company had no finance leases.</w:t>
      </w:r>
    </w:p>
    <w:p>
      <w:pPr>
        <w:pStyle w:val="TextBody"/>
        <w:spacing w:before="0" w:after="0"/>
        <w:jc w:val="left"/>
        <w:rPr/>
      </w:pPr>
      <w:r>
        <w:rPr/>
      </w:r>
    </w:p>
    <w:p>
      <w:pPr>
        <w:pStyle w:val="TextBody"/>
        <w:widowControl/>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spacing w:before="0" w:after="0"/>
        <w:jc w:val="left"/>
        <w:rPr/>
      </w:pPr>
      <w:r>
        <w:rPr/>
      </w:r>
    </w:p>
    <w:p>
      <w:pPr>
        <w:pStyle w:val="TextBody"/>
        <w:spacing w:before="0" w:after="0"/>
        <w:ind w:left="0" w:right="0" w:hanging="0"/>
        <w:jc w:val="both"/>
        <w:rPr>
          <w:rFonts w:ascii="Times New Roman" w:hAnsi="Times New Roman"/>
          <w:b w:val="false"/>
          <w:i w:val="false"/>
          <w:caps w:val="false"/>
          <w:smallCaps w:val="false"/>
          <w:color w:val="000000"/>
          <w:spacing w:val="0"/>
          <w:sz w:val="20"/>
          <w:highlight w:val="white"/>
        </w:rPr>
      </w:pPr>
      <w:r>
        <w:rPr>
          <w:rFonts w:ascii="Times New Roman" w:hAnsi="Times New Roman"/>
          <w:b w:val="false"/>
          <w:i w:val="false"/>
          <w:caps w:val="false"/>
          <w:smallCaps w:val="false"/>
          <w:color w:val="000000"/>
          <w:spacing w:val="0"/>
          <w:sz w:val="20"/>
          <w:highlight w:val="white"/>
        </w:rPr>
        <w:t>The balance sheet components of the Company’s leases are as follows (in thousands):</w:t>
      </w:r>
    </w:p>
    <w:p>
      <w:pPr>
        <w:pStyle w:val="TextBody"/>
        <w:spacing w:before="0" w:after="0"/>
        <w:jc w:val="left"/>
        <w:rPr/>
      </w:pPr>
      <w:r>
        <w:rPr/>
      </w:r>
    </w:p>
    <w:p>
      <w:pPr>
        <w:pStyle w:val="TextBody"/>
        <w:widowControl/>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tbl>
      <w:tblPr>
        <w:tblW w:w="9149" w:type="dxa"/>
        <w:jc w:val="left"/>
        <w:tblInd w:w="0" w:type="dxa"/>
        <w:tblCellMar>
          <w:top w:w="0" w:type="dxa"/>
          <w:left w:w="0" w:type="dxa"/>
          <w:bottom w:w="0" w:type="dxa"/>
          <w:right w:w="0" w:type="dxa"/>
        </w:tblCellMar>
      </w:tblPr>
      <w:tblGrid>
        <w:gridCol w:w="6350"/>
        <w:gridCol w:w="60"/>
        <w:gridCol w:w="230"/>
        <w:gridCol w:w="899"/>
        <w:gridCol w:w="60"/>
        <w:gridCol w:w="60"/>
        <w:gridCol w:w="283"/>
        <w:gridCol w:w="1132"/>
        <w:gridCol w:w="75"/>
      </w:tblGrid>
      <w:tr>
        <w:trPr/>
        <w:tc>
          <w:tcPr>
            <w:tcW w:w="6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9"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rPr>
            </w:pPr>
            <w:r>
              <w:rPr>
                <w:rFonts w:ascii="Times New Roman" w:hAnsi="Times New Roman"/>
                <w:b/>
                <w:color w:val="000000"/>
              </w:rPr>
              <w:t xml:space="preserve">March 31, </w:t>
            </w:r>
          </w:p>
          <w:p>
            <w:pPr>
              <w:pStyle w:val="TableContents"/>
              <w:spacing w:before="0" w:after="0"/>
              <w:jc w:val="center"/>
              <w:rPr>
                <w:rFonts w:ascii="Times New Roman" w:hAnsi="Times New Roman"/>
                <w:b/>
                <w:color w:val="000000"/>
                <w:sz w:val="20"/>
              </w:rPr>
            </w:pPr>
            <w:r>
              <w:rPr>
                <w:rFonts w:ascii="Times New Roman" w:hAnsi="Times New Roman"/>
                <w:b/>
                <w:color w:val="000000"/>
                <w:sz w:val="20"/>
              </w:rPr>
              <w:t xml:space="preserve">2023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left"/>
              <w:rPr/>
            </w:pPr>
            <w:r>
              <w:rPr/>
              <w:t> </w:t>
            </w:r>
          </w:p>
        </w:tc>
        <w:tc>
          <w:tcPr>
            <w:tcW w:w="1415"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December 31,</w:t>
            </w:r>
          </w:p>
          <w:p>
            <w:pPr>
              <w:pStyle w:val="TableContents"/>
              <w:spacing w:before="0" w:after="0"/>
              <w:jc w:val="center"/>
              <w:rPr>
                <w:b/>
              </w:rPr>
            </w:pPr>
            <w:r>
              <w:rPr>
                <w:b/>
              </w:rPr>
              <w:t>2022</w:t>
            </w:r>
          </w:p>
        </w:tc>
        <w:tc>
          <w:tcPr>
            <w:tcW w:w="75" w:type="dxa"/>
            <w:tcBorders/>
            <w:shd w:fill="auto" w:val="clear"/>
            <w:vAlign w:val="bottom"/>
          </w:tcPr>
          <w:p>
            <w:pPr>
              <w:pStyle w:val="TableContents"/>
              <w:spacing w:before="0" w:after="283"/>
              <w:jc w:val="left"/>
              <w:rPr/>
            </w:pPr>
            <w:r>
              <w:rPr/>
              <w:t> </w:t>
            </w:r>
          </w:p>
        </w:tc>
      </w:tr>
      <w:tr>
        <w:trPr/>
        <w:tc>
          <w:tcPr>
            <w:tcW w:w="6350" w:type="dxa"/>
            <w:tcBorders/>
            <w:shd w:fill="CCEEFF" w:val="clear"/>
            <w:vAlign w:val="bottom"/>
          </w:tcPr>
          <w:p>
            <w:pPr>
              <w:pStyle w:val="TableContents"/>
              <w:spacing w:before="0" w:after="0"/>
              <w:ind w:left="180" w:right="0" w:hanging="0"/>
              <w:rPr>
                <w:rFonts w:ascii="Times New Roman" w:hAnsi="Times New Roman"/>
                <w:color w:val="000000"/>
                <w:sz w:val="20"/>
              </w:rPr>
            </w:pPr>
            <w:r>
              <w:rPr>
                <w:rFonts w:ascii="Times New Roman" w:hAnsi="Times New Roman"/>
                <w:color w:val="000000"/>
                <w:sz w:val="20"/>
              </w:rPr>
              <w:t>Operating lease right of use assets (included in Other assets)</w:t>
            </w:r>
          </w:p>
        </w:tc>
        <w:tc>
          <w:tcPr>
            <w:tcW w:w="60" w:type="dxa"/>
            <w:tcBorders/>
            <w:shd w:fill="CCEEFF" w:val="clear"/>
            <w:vAlign w:val="bottom"/>
          </w:tcPr>
          <w:p>
            <w:pPr>
              <w:pStyle w:val="TableContents"/>
              <w:spacing w:before="0" w:after="283"/>
              <w:jc w:val="right"/>
              <w:rPr/>
            </w:pPr>
            <w:r>
              <w:rPr/>
              <w:t> </w:t>
            </w:r>
          </w:p>
        </w:tc>
        <w:tc>
          <w:tcPr>
            <w:tcW w:w="230"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899"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7,871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left"/>
              <w:rPr/>
            </w:pPr>
            <w:r>
              <w:rPr/>
              <w:t> </w:t>
            </w:r>
          </w:p>
        </w:tc>
        <w:tc>
          <w:tcPr>
            <w:tcW w:w="283" w:type="dxa"/>
            <w:tcBorders/>
            <w:shd w:fill="CCEEFF" w:val="clear"/>
            <w:vAlign w:val="bottom"/>
          </w:tcPr>
          <w:p>
            <w:pPr>
              <w:pStyle w:val="TableContents"/>
              <w:spacing w:before="0" w:after="283"/>
              <w:jc w:val="left"/>
              <w:rPr/>
            </w:pPr>
            <w:r>
              <w:rPr/>
              <w:t>$</w:t>
            </w:r>
          </w:p>
        </w:tc>
        <w:tc>
          <w:tcPr>
            <w:tcW w:w="1132" w:type="dxa"/>
            <w:tcBorders/>
            <w:shd w:fill="CCEEFF" w:val="clear"/>
            <w:vAlign w:val="bottom"/>
          </w:tcPr>
          <w:p>
            <w:pPr>
              <w:pStyle w:val="TableContents"/>
              <w:spacing w:before="0" w:after="283"/>
              <w:jc w:val="right"/>
              <w:rPr/>
            </w:pPr>
            <w:r>
              <w:rPr/>
              <w:t>7,938</w:t>
            </w:r>
          </w:p>
        </w:tc>
        <w:tc>
          <w:tcPr>
            <w:tcW w:w="75" w:type="dxa"/>
            <w:tcBorders/>
            <w:shd w:fill="CCEEFF" w:val="clear"/>
            <w:vAlign w:val="bottom"/>
          </w:tcPr>
          <w:p>
            <w:pPr>
              <w:pStyle w:val="TableContents"/>
              <w:spacing w:before="0" w:after="283"/>
              <w:jc w:val="left"/>
              <w:rPr/>
            </w:pPr>
            <w:r>
              <w:rPr/>
              <w:t> </w:t>
            </w:r>
          </w:p>
        </w:tc>
      </w:tr>
      <w:tr>
        <w:trPr/>
        <w:tc>
          <w:tcPr>
            <w:tcW w:w="6350" w:type="dxa"/>
            <w:tcBorders/>
            <w:shd w:fill="auto" w:val="clear"/>
            <w:vAlign w:val="bottom"/>
          </w:tcPr>
          <w:p>
            <w:pPr>
              <w:pStyle w:val="TableContents"/>
              <w:spacing w:before="0" w:after="0"/>
              <w:ind w:left="180" w:right="0" w:hanging="0"/>
              <w:rPr>
                <w:rFonts w:ascii="Times New Roman" w:hAnsi="Times New Roman"/>
                <w:color w:val="000000"/>
                <w:sz w:val="20"/>
              </w:rPr>
            </w:pPr>
            <w:r>
              <w:rPr>
                <w:rFonts w:ascii="Times New Roman" w:hAnsi="Times New Roman"/>
                <w:color w:val="000000"/>
                <w:sz w:val="20"/>
              </w:rPr>
              <w:t>Operating lease liabilities (included in Accrued expenses and other liabilities)</w:t>
            </w:r>
          </w:p>
        </w:tc>
        <w:tc>
          <w:tcPr>
            <w:tcW w:w="60" w:type="dxa"/>
            <w:tcBorders/>
            <w:shd w:fill="auto" w:val="clear"/>
            <w:vAlign w:val="bottom"/>
          </w:tcPr>
          <w:p>
            <w:pPr>
              <w:pStyle w:val="TableContents"/>
              <w:spacing w:before="0" w:after="283"/>
              <w:jc w:val="right"/>
              <w:rPr/>
            </w:pPr>
            <w:r>
              <w:rPr/>
              <w:t> </w:t>
            </w:r>
          </w:p>
        </w:tc>
        <w:tc>
          <w:tcPr>
            <w:tcW w:w="230" w:type="dxa"/>
            <w:tcBorders/>
            <w:shd w:fill="auto" w:val="clear"/>
            <w:vAlign w:val="bottom"/>
          </w:tcPr>
          <w:p>
            <w:pPr>
              <w:pStyle w:val="TableContents"/>
              <w:spacing w:before="0" w:after="283"/>
              <w:jc w:val="left"/>
              <w:rPr/>
            </w:pPr>
            <w:r>
              <w:rPr/>
              <w:t> </w:t>
            </w:r>
          </w:p>
        </w:tc>
        <w:tc>
          <w:tcPr>
            <w:tcW w:w="899"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8,829</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left"/>
              <w:rPr/>
            </w:pPr>
            <w:r>
              <w:rPr/>
              <w:t> </w:t>
            </w:r>
          </w:p>
        </w:tc>
        <w:tc>
          <w:tcPr>
            <w:tcW w:w="283" w:type="dxa"/>
            <w:tcBorders/>
            <w:shd w:fill="auto" w:val="clear"/>
            <w:vAlign w:val="bottom"/>
          </w:tcPr>
          <w:p>
            <w:pPr>
              <w:pStyle w:val="TableContents"/>
              <w:spacing w:before="0" w:after="283"/>
              <w:jc w:val="left"/>
              <w:rPr/>
            </w:pPr>
            <w:r>
              <w:rPr/>
              <w:t> </w:t>
            </w:r>
          </w:p>
        </w:tc>
        <w:tc>
          <w:tcPr>
            <w:tcW w:w="1132" w:type="dxa"/>
            <w:tcBorders/>
            <w:shd w:fill="auto" w:val="clear"/>
            <w:vAlign w:val="bottom"/>
          </w:tcPr>
          <w:p>
            <w:pPr>
              <w:pStyle w:val="TableContents"/>
              <w:spacing w:before="0" w:after="283"/>
              <w:jc w:val="right"/>
              <w:rPr/>
            </w:pPr>
            <w:r>
              <w:rPr/>
              <w:t>8,897</w:t>
            </w:r>
          </w:p>
        </w:tc>
        <w:tc>
          <w:tcPr>
            <w:tcW w:w="75" w:type="dxa"/>
            <w:tcBorders/>
            <w:shd w:fill="auto" w:val="clear"/>
            <w:vAlign w:val="bottom"/>
          </w:tcPr>
          <w:p>
            <w:pPr>
              <w:pStyle w:val="TableContents"/>
              <w:spacing w:before="0" w:after="283"/>
              <w:jc w:val="left"/>
              <w:rPr/>
            </w:pPr>
            <w:r>
              <w:rPr/>
              <w:t> </w:t>
            </w:r>
          </w:p>
        </w:tc>
      </w:tr>
    </w:tbl>
    <w:p>
      <w:pPr>
        <w:pStyle w:val="TextBody"/>
        <w:spacing w:before="0" w:after="0"/>
        <w:jc w:val="left"/>
        <w:rPr/>
      </w:pPr>
      <w:r>
        <w:rPr/>
      </w:r>
    </w:p>
    <w:p>
      <w:pPr>
        <w:pStyle w:val="TextBody"/>
        <w:widowControl/>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spacing w:before="0" w:after="0"/>
        <w:jc w:val="left"/>
        <w:rPr/>
      </w:pPr>
      <w:r>
        <w:rPr/>
      </w:r>
    </w:p>
    <w:p>
      <w:pPr>
        <w:pStyle w:val="TextBody"/>
        <w:spacing w:before="0" w:after="0"/>
        <w:ind w:left="0" w:right="0" w:hanging="0"/>
        <w:jc w:val="both"/>
        <w:rPr>
          <w:rFonts w:ascii="Times New Roman" w:hAnsi="Times New Roman"/>
          <w:b w:val="false"/>
          <w:i w:val="false"/>
          <w:caps w:val="false"/>
          <w:smallCaps w:val="false"/>
          <w:color w:val="000000"/>
          <w:spacing w:val="0"/>
          <w:sz w:val="20"/>
          <w:highlight w:val="white"/>
        </w:rPr>
      </w:pPr>
      <w:r>
        <w:rPr>
          <w:rFonts w:ascii="Times New Roman" w:hAnsi="Times New Roman"/>
          <w:b w:val="false"/>
          <w:i w:val="false"/>
          <w:caps w:val="false"/>
          <w:smallCaps w:val="false"/>
          <w:color w:val="000000"/>
          <w:spacing w:val="0"/>
          <w:sz w:val="20"/>
          <w:highlight w:val="white"/>
        </w:rPr>
        <w:t xml:space="preserve">The Company does not generally enter into leases which contain variable payments, other than due to the passage of time. Operating lease costs, including short-term lease costs were $705 thousand and $597 </w:t>
      </w:r>
      <w:r>
        <w:rPr>
          <w:rFonts w:ascii="Times New Roman;Times;serif" w:hAnsi="Times New Roman;Times;serif"/>
          <w:b w:val="false"/>
          <w:i w:val="false"/>
          <w:caps w:val="false"/>
          <w:smallCaps w:val="false"/>
          <w:color w:val="000000"/>
          <w:spacing w:val="0"/>
          <w:sz w:val="20"/>
          <w:highlight w:val="white"/>
        </w:rPr>
        <w:t>thousand, respectively,</w:t>
      </w:r>
      <w:r>
        <w:rPr>
          <w:rFonts w:ascii="Times New Roman" w:hAnsi="Times New Roman"/>
          <w:b w:val="false"/>
          <w:i w:val="false"/>
          <w:caps w:val="false"/>
          <w:smallCaps w:val="false"/>
          <w:color w:val="000000"/>
          <w:spacing w:val="0"/>
          <w:sz w:val="20"/>
          <w:highlight w:val="white"/>
        </w:rPr>
        <w:t xml:space="preserve"> for the three months ended March 31, 2023 and 2022.</w:t>
      </w:r>
    </w:p>
    <w:p>
      <w:pPr>
        <w:pStyle w:val="TextBody"/>
        <w:spacing w:before="0" w:after="0"/>
        <w:jc w:val="left"/>
        <w:rPr/>
      </w:pPr>
      <w:r>
        <w:rPr/>
      </w:r>
    </w:p>
    <w:p>
      <w:pPr>
        <w:pStyle w:val="TextBody"/>
        <w:spacing w:before="0" w:after="0"/>
        <w:ind w:left="0" w:right="0" w:hanging="0"/>
        <w:jc w:val="both"/>
        <w:rPr>
          <w:rFonts w:ascii="Times New Roman" w:hAnsi="Times New Roman"/>
          <w:b w:val="false"/>
          <w:i w:val="false"/>
          <w:caps w:val="false"/>
          <w:smallCaps w:val="false"/>
          <w:color w:val="000000"/>
          <w:spacing w:val="0"/>
          <w:sz w:val="20"/>
          <w:highlight w:val="white"/>
        </w:rPr>
      </w:pPr>
      <w:r>
        <w:rPr>
          <w:rFonts w:ascii="Times New Roman" w:hAnsi="Times New Roman"/>
          <w:b w:val="false"/>
          <w:i w:val="false"/>
          <w:caps w:val="false"/>
          <w:smallCaps w:val="false"/>
          <w:color w:val="000000"/>
          <w:spacing w:val="0"/>
          <w:sz w:val="20"/>
          <w:highlight w:val="white"/>
        </w:rPr>
      </w:r>
    </w:p>
    <w:p>
      <w:pPr>
        <w:pStyle w:val="TextBody"/>
        <w:spacing w:before="0" w:after="0"/>
        <w:jc w:val="left"/>
        <w:rPr/>
      </w:pPr>
      <w:r>
        <w:rPr/>
      </w:r>
    </w:p>
    <w:p>
      <w:pPr>
        <w:pStyle w:val="TextBody"/>
        <w:spacing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Supplemental cash flow information related to leases is as follows (in thousands):</w:t>
      </w:r>
    </w:p>
    <w:p>
      <w:pPr>
        <w:pStyle w:val="TextBody"/>
        <w:spacing w:before="0" w:after="0"/>
        <w:ind w:left="0" w:right="0" w:hanging="0"/>
        <w:jc w:val="left"/>
        <w:rPr>
          <w:rFonts w:ascii="Times New Roman" w:hAnsi="Times New Roman"/>
          <w:sz w:val="20"/>
        </w:rPr>
      </w:pPr>
      <w:r>
        <w:rPr>
          <w:rFonts w:ascii="Times New Roman" w:hAnsi="Times New Roman"/>
          <w:sz w:val="20"/>
        </w:rPr>
      </w:r>
    </w:p>
    <w:tbl>
      <w:tblPr>
        <w:tblW w:w="7718" w:type="dxa"/>
        <w:jc w:val="left"/>
        <w:tblInd w:w="0" w:type="dxa"/>
        <w:tblCellMar>
          <w:top w:w="0" w:type="dxa"/>
          <w:left w:w="0" w:type="dxa"/>
          <w:bottom w:w="0" w:type="dxa"/>
          <w:right w:w="0" w:type="dxa"/>
        </w:tblCellMar>
      </w:tblPr>
      <w:tblGrid>
        <w:gridCol w:w="5765"/>
        <w:gridCol w:w="60"/>
        <w:gridCol w:w="227"/>
        <w:gridCol w:w="608"/>
        <w:gridCol w:w="109"/>
        <w:gridCol w:w="109"/>
        <w:gridCol w:w="308"/>
        <w:gridCol w:w="472"/>
        <w:gridCol w:w="60"/>
      </w:tblGrid>
      <w:tr>
        <w:trPr/>
        <w:tc>
          <w:tcPr>
            <w:tcW w:w="5765" w:type="dxa"/>
            <w:tcBorders/>
            <w:shd w:fill="auto" w:val="clear"/>
            <w:vAlign w:val="bottom"/>
          </w:tcPr>
          <w:p>
            <w:pPr>
              <w:pStyle w:val="TableContents"/>
              <w:spacing w:before="0" w:after="0"/>
              <w:jc w:val="left"/>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1833" w:type="dxa"/>
            <w:gridSpan w:val="6"/>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20"/>
              </w:rPr>
            </w:pPr>
            <w:r>
              <w:rPr>
                <w:rFonts w:ascii="Times New Roman" w:hAnsi="Times New Roman"/>
                <w:b/>
                <w:color w:val="000000"/>
                <w:sz w:val="20"/>
              </w:rPr>
              <w:t xml:space="preserve">Three Months Ended </w:t>
            </w:r>
          </w:p>
          <w:p>
            <w:pPr>
              <w:pStyle w:val="TableContents"/>
              <w:spacing w:before="0" w:after="0"/>
              <w:jc w:val="center"/>
              <w:rPr>
                <w:rFonts w:ascii="Times New Roman" w:hAnsi="Times New Roman"/>
                <w:b/>
                <w:color w:val="000000"/>
                <w:sz w:val="20"/>
              </w:rPr>
            </w:pPr>
            <w:r>
              <w:rPr>
                <w:rFonts w:ascii="Times New Roman" w:hAnsi="Times New Roman"/>
                <w:b/>
                <w:color w:val="000000"/>
                <w:sz w:val="20"/>
              </w:rPr>
              <w:t>March 31,</w:t>
            </w:r>
          </w:p>
        </w:tc>
        <w:tc>
          <w:tcPr>
            <w:tcW w:w="60" w:type="dxa"/>
            <w:tcBorders/>
            <w:shd w:fill="auto" w:val="clear"/>
            <w:vAlign w:val="bottom"/>
          </w:tcPr>
          <w:p>
            <w:pPr>
              <w:pStyle w:val="TableContents"/>
              <w:spacing w:before="0" w:after="283"/>
              <w:jc w:val="left"/>
              <w:rPr/>
            </w:pPr>
            <w:r>
              <w:rPr/>
              <w:t> </w:t>
            </w:r>
          </w:p>
        </w:tc>
      </w:tr>
      <w:tr>
        <w:trPr/>
        <w:tc>
          <w:tcPr>
            <w:tcW w:w="5765" w:type="dxa"/>
            <w:tcBorders/>
            <w:shd w:fill="auto" w:val="clear"/>
            <w:vAlign w:val="bottom"/>
          </w:tcPr>
          <w:p>
            <w:pPr>
              <w:pStyle w:val="TableContents"/>
              <w:spacing w:before="0" w:after="0"/>
              <w:jc w:val="left"/>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83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20"/>
              </w:rPr>
            </w:pPr>
            <w:r>
              <w:rPr>
                <w:rFonts w:ascii="Times New Roman" w:hAnsi="Times New Roman"/>
                <w:b/>
                <w:color w:val="000000"/>
                <w:sz w:val="20"/>
              </w:rPr>
              <w:t>2023</w:t>
            </w:r>
          </w:p>
        </w:tc>
        <w:tc>
          <w:tcPr>
            <w:tcW w:w="109"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jc w:val="left"/>
              <w:rPr/>
            </w:pPr>
            <w:r>
              <w:rPr/>
              <w:t> </w:t>
            </w:r>
          </w:p>
        </w:tc>
        <w:tc>
          <w:tcPr>
            <w:tcW w:w="780" w:type="dxa"/>
            <w:gridSpan w:val="2"/>
            <w:tcBorders>
              <w:bottom w:val="single" w:sz="12" w:space="0" w:color="000000"/>
            </w:tcBorders>
            <w:shd w:fill="auto" w:val="clear"/>
            <w:tcMar>
              <w:bottom w:w="28" w:type="dxa"/>
            </w:tcMar>
            <w:vAlign w:val="bottom"/>
          </w:tcPr>
          <w:p>
            <w:pPr>
              <w:pStyle w:val="TableContents"/>
              <w:spacing w:before="0" w:after="283"/>
              <w:jc w:val="center"/>
              <w:rPr/>
            </w:pPr>
            <w:r>
              <w:rPr/>
              <w:t> </w:t>
            </w:r>
            <w:r>
              <w:rPr>
                <w:rFonts w:ascii="Times New Roman" w:hAnsi="Times New Roman"/>
                <w:b/>
                <w:sz w:val="20"/>
              </w:rPr>
              <w:t>2022</w:t>
            </w:r>
          </w:p>
        </w:tc>
        <w:tc>
          <w:tcPr>
            <w:tcW w:w="60" w:type="dxa"/>
            <w:tcBorders/>
            <w:shd w:fill="auto" w:val="clear"/>
            <w:vAlign w:val="bottom"/>
          </w:tcPr>
          <w:p>
            <w:pPr>
              <w:pStyle w:val="TableContents"/>
              <w:spacing w:before="0" w:after="283"/>
              <w:jc w:val="left"/>
              <w:rPr/>
            </w:pPr>
            <w:r>
              <w:rPr/>
              <w:t> </w:t>
            </w:r>
          </w:p>
        </w:tc>
      </w:tr>
      <w:tr>
        <w:trPr/>
        <w:tc>
          <w:tcPr>
            <w:tcW w:w="5765" w:type="dxa"/>
            <w:tcBorders/>
            <w:shd w:fill="auto" w:val="clear"/>
            <w:vAlign w:val="bottom"/>
          </w:tcPr>
          <w:p>
            <w:pPr>
              <w:pStyle w:val="TableContents"/>
              <w:spacing w:before="0" w:after="0"/>
              <w:ind w:left="180" w:right="0" w:hanging="180"/>
              <w:jc w:val="left"/>
              <w:rPr>
                <w:rFonts w:ascii="Times New Roman" w:hAnsi="Times New Roman"/>
                <w:color w:val="000000"/>
                <w:sz w:val="20"/>
              </w:rPr>
            </w:pPr>
            <w:r>
              <w:rPr>
                <w:rFonts w:ascii="Times New Roman" w:hAnsi="Times New Roman"/>
                <w:color w:val="000000"/>
                <w:sz w:val="20"/>
              </w:rPr>
              <w:t>Cash paid for amounts included in the measurement of lease liabilities:</w:t>
            </w:r>
          </w:p>
        </w:tc>
        <w:tc>
          <w:tcPr>
            <w:tcW w:w="60" w:type="dxa"/>
            <w:tcBorders/>
            <w:shd w:fill="auto" w:val="clear"/>
            <w:vAlign w:val="bottom"/>
          </w:tcPr>
          <w:p>
            <w:pPr>
              <w:pStyle w:val="TableContents"/>
              <w:spacing w:before="0" w:after="283"/>
              <w:rPr/>
            </w:pPr>
            <w:r>
              <w:rPr/>
              <w:t> </w:t>
            </w:r>
          </w:p>
        </w:tc>
        <w:tc>
          <w:tcPr>
            <w:tcW w:w="835" w:type="dxa"/>
            <w:gridSpan w:val="2"/>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jc w:val="left"/>
              <w:rPr/>
            </w:pPr>
            <w:r>
              <w:rPr/>
              <w:t> </w:t>
            </w:r>
          </w:p>
        </w:tc>
        <w:tc>
          <w:tcPr>
            <w:tcW w:w="780" w:type="dxa"/>
            <w:gridSpan w:val="2"/>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left"/>
              <w:rPr/>
            </w:pPr>
            <w:r>
              <w:rPr/>
              <w:t> </w:t>
            </w:r>
          </w:p>
        </w:tc>
      </w:tr>
      <w:tr>
        <w:trPr/>
        <w:tc>
          <w:tcPr>
            <w:tcW w:w="5765" w:type="dxa"/>
            <w:tcBorders/>
            <w:shd w:fill="CCEEFF" w:val="clear"/>
            <w:vAlign w:val="bottom"/>
          </w:tcPr>
          <w:p>
            <w:pPr>
              <w:pStyle w:val="TableContents"/>
              <w:spacing w:before="0" w:after="0"/>
              <w:ind w:left="360" w:right="0" w:hanging="180"/>
              <w:jc w:val="left"/>
              <w:rPr>
                <w:rFonts w:ascii="Times New Roman" w:hAnsi="Times New Roman"/>
                <w:color w:val="000000"/>
                <w:sz w:val="20"/>
              </w:rPr>
            </w:pPr>
            <w:r>
              <w:rPr>
                <w:rFonts w:ascii="Times New Roman" w:hAnsi="Times New Roman"/>
                <w:color w:val="000000"/>
                <w:sz w:val="20"/>
              </w:rPr>
              <w:t>Operating cash flows from operating leases</w:t>
            </w:r>
          </w:p>
        </w:tc>
        <w:tc>
          <w:tcPr>
            <w:tcW w:w="60" w:type="dxa"/>
            <w:tcBorders/>
            <w:shd w:fill="CCEEFF" w:val="clear"/>
            <w:vAlign w:val="bottom"/>
          </w:tcPr>
          <w:p>
            <w:pPr>
              <w:pStyle w:val="TableContents"/>
              <w:spacing w:before="0" w:after="283"/>
              <w:jc w:val="right"/>
              <w:rPr/>
            </w:pPr>
            <w:r>
              <w:rPr/>
              <w:t> </w:t>
            </w:r>
          </w:p>
        </w:tc>
        <w:tc>
          <w:tcPr>
            <w:tcW w:w="227"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08"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503</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left"/>
              <w:rPr/>
            </w:pPr>
            <w:r>
              <w:rPr/>
              <w:t> </w:t>
            </w:r>
          </w:p>
        </w:tc>
        <w:tc>
          <w:tcPr>
            <w:tcW w:w="308"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472"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jc w:val="left"/>
              <w:rPr/>
            </w:pPr>
            <w:r>
              <w:rPr/>
              <w:t> </w:t>
            </w:r>
          </w:p>
        </w:tc>
      </w:tr>
      <w:tr>
        <w:trPr/>
        <w:tc>
          <w:tcPr>
            <w:tcW w:w="5765" w:type="dxa"/>
            <w:tcBorders/>
            <w:shd w:fill="auto" w:val="clear"/>
            <w:vAlign w:val="bottom"/>
          </w:tcPr>
          <w:p>
            <w:pPr>
              <w:pStyle w:val="TableContents"/>
              <w:spacing w:before="0" w:after="0"/>
              <w:ind w:left="180" w:right="0" w:hanging="180"/>
              <w:jc w:val="left"/>
              <w:rPr>
                <w:rFonts w:ascii="Times New Roman" w:hAnsi="Times New Roman"/>
                <w:color w:val="000000"/>
                <w:sz w:val="20"/>
              </w:rPr>
            </w:pPr>
            <w:r>
              <w:rPr>
                <w:rFonts w:ascii="Times New Roman" w:hAnsi="Times New Roman"/>
                <w:color w:val="000000"/>
                <w:sz w:val="20"/>
              </w:rPr>
              <w:t>Right-of-use assets obtained in exchange for new lease obligations:</w:t>
            </w:r>
          </w:p>
        </w:tc>
        <w:tc>
          <w:tcPr>
            <w:tcW w:w="60" w:type="dxa"/>
            <w:tcBorders/>
            <w:shd w:fill="auto" w:val="clear"/>
            <w:vAlign w:val="bottom"/>
          </w:tcPr>
          <w:p>
            <w:pPr>
              <w:pStyle w:val="TableContents"/>
              <w:spacing w:before="0" w:after="283"/>
              <w:jc w:val="right"/>
              <w:rPr/>
            </w:pPr>
            <w:r>
              <w:rPr/>
              <w:t> </w:t>
            </w:r>
          </w:p>
        </w:tc>
        <w:tc>
          <w:tcPr>
            <w:tcW w:w="227" w:type="dxa"/>
            <w:tcBorders/>
            <w:shd w:fill="auto" w:val="clear"/>
            <w:vAlign w:val="bottom"/>
          </w:tcPr>
          <w:p>
            <w:pPr>
              <w:pStyle w:val="TableContents"/>
              <w:spacing w:before="0" w:after="283"/>
              <w:jc w:val="left"/>
              <w:rPr/>
            </w:pPr>
            <w:r>
              <w:rPr/>
              <w:t> </w:t>
            </w:r>
          </w:p>
        </w:tc>
        <w:tc>
          <w:tcPr>
            <w:tcW w:w="608" w:type="dxa"/>
            <w:tcBorders/>
            <w:shd w:fill="auto" w:val="clear"/>
            <w:vAlign w:val="bottom"/>
          </w:tcPr>
          <w:p>
            <w:pPr>
              <w:pStyle w:val="TableContents"/>
              <w:spacing w:before="0" w:after="283"/>
              <w:jc w:val="right"/>
              <w:rPr/>
            </w:pPr>
            <w:r>
              <w:rPr/>
              <w:t> </w:t>
            </w:r>
          </w:p>
        </w:tc>
        <w:tc>
          <w:tcPr>
            <w:tcW w:w="109"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jc w:val="left"/>
              <w:rPr/>
            </w:pPr>
            <w:r>
              <w:rPr/>
              <w:t> </w:t>
            </w:r>
          </w:p>
        </w:tc>
        <w:tc>
          <w:tcPr>
            <w:tcW w:w="308" w:type="dxa"/>
            <w:tcBorders/>
            <w:shd w:fill="auto" w:val="clear"/>
            <w:vAlign w:val="bottom"/>
          </w:tcPr>
          <w:p>
            <w:pPr>
              <w:pStyle w:val="TableContents"/>
              <w:spacing w:before="0" w:after="283"/>
              <w:jc w:val="left"/>
              <w:rPr/>
            </w:pPr>
            <w:r>
              <w:rPr/>
              <w:t> </w:t>
            </w:r>
          </w:p>
        </w:tc>
        <w:tc>
          <w:tcPr>
            <w:tcW w:w="472"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r>
      <w:tr>
        <w:trPr/>
        <w:tc>
          <w:tcPr>
            <w:tcW w:w="5765" w:type="dxa"/>
            <w:tcBorders/>
            <w:shd w:fill="CCEEFF" w:val="clear"/>
            <w:vAlign w:val="bottom"/>
          </w:tcPr>
          <w:p>
            <w:pPr>
              <w:pStyle w:val="TableContents"/>
              <w:spacing w:before="0" w:after="0"/>
              <w:ind w:left="360" w:right="0" w:hanging="180"/>
              <w:jc w:val="left"/>
              <w:rPr>
                <w:rFonts w:ascii="Times New Roman" w:hAnsi="Times New Roman"/>
                <w:color w:val="000000"/>
                <w:sz w:val="20"/>
              </w:rPr>
            </w:pPr>
            <w:r>
              <w:rPr>
                <w:rFonts w:ascii="Times New Roman" w:hAnsi="Times New Roman"/>
                <w:color w:val="000000"/>
                <w:sz w:val="20"/>
              </w:rPr>
              <w:t>Operating leases</w:t>
            </w:r>
          </w:p>
        </w:tc>
        <w:tc>
          <w:tcPr>
            <w:tcW w:w="60" w:type="dxa"/>
            <w:tcBorders/>
            <w:shd w:fill="CCEEFF" w:val="clear"/>
            <w:vAlign w:val="bottom"/>
          </w:tcPr>
          <w:p>
            <w:pPr>
              <w:pStyle w:val="TableContents"/>
              <w:spacing w:before="0" w:after="283"/>
              <w:jc w:val="right"/>
              <w:rPr/>
            </w:pPr>
            <w:r>
              <w:rPr/>
              <w:t> </w:t>
            </w:r>
          </w:p>
        </w:tc>
        <w:tc>
          <w:tcPr>
            <w:tcW w:w="227"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608"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318</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left"/>
              <w:rPr/>
            </w:pPr>
            <w:r>
              <w:rPr/>
              <w:t> </w:t>
            </w:r>
          </w:p>
        </w:tc>
        <w:tc>
          <w:tcPr>
            <w:tcW w:w="308"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 xml:space="preserve">$ </w:t>
            </w:r>
          </w:p>
        </w:tc>
        <w:tc>
          <w:tcPr>
            <w:tcW w:w="472"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jc w:val="left"/>
              <w:rPr/>
            </w:pPr>
            <w:r>
              <w:rPr/>
              <w:t> </w:t>
            </w:r>
          </w:p>
        </w:tc>
      </w:tr>
    </w:tbl>
    <w:p>
      <w:pPr>
        <w:pStyle w:val="TextBody"/>
        <w:spacing w:before="0" w:after="0"/>
        <w:jc w:val="both"/>
        <w:rPr>
          <w:rFonts w:ascii="Times New Roman" w:hAnsi="Times New Roman"/>
          <w:sz w:val="20"/>
        </w:rPr>
      </w:pPr>
      <w:r>
        <w:rPr>
          <w:rFonts w:ascii="Times New Roman" w:hAnsi="Times New Roman"/>
          <w:sz w:val="20"/>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22</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b w:val="false"/>
            <w:i/>
            <w:color w:val="000000"/>
            <w:sz w:val="16"/>
          </w:rPr>
          <w:t>Table of Contents</w:t>
        </w:r>
      </w:hyperlink>
    </w:p>
    <w:p>
      <w:pPr>
        <w:pStyle w:val="TextBody"/>
        <w:spacing w:before="0" w:after="0"/>
        <w:ind w:left="0" w:right="0" w:hanging="0"/>
        <w:jc w:val="both"/>
        <w:rPr>
          <w:rFonts w:ascii="Times New Roman" w:hAnsi="Times New Roman"/>
          <w:b w:val="false"/>
          <w:i w:val="false"/>
          <w:caps w:val="false"/>
          <w:smallCaps w:val="false"/>
          <w:color w:val="000000"/>
          <w:spacing w:val="0"/>
          <w:sz w:val="20"/>
          <w:highlight w:val="white"/>
        </w:rPr>
      </w:pPr>
      <w:r>
        <w:rPr>
          <w:rFonts w:ascii="Times New Roman" w:hAnsi="Times New Roman"/>
          <w:b w:val="false"/>
          <w:i w:val="false"/>
          <w:caps w:val="false"/>
          <w:smallCaps w:val="false"/>
          <w:color w:val="000000"/>
          <w:spacing w:val="0"/>
          <w:sz w:val="20"/>
          <w:highlight w:val="white"/>
        </w:rPr>
        <w:t>For operating leases the Company’s weighted average remaining lease terms in years and weighted average discount rate was 9.70% and 4.73%, respectively, as of  March 31, 2023.  The weighted average remaining lease terms in years and weighted average discount rate was 9.83% and 4.65%, respectively as of December 31, 2022.</w:t>
      </w:r>
    </w:p>
    <w:p>
      <w:pPr>
        <w:pStyle w:val="TextBody"/>
        <w:spacing w:before="0" w:after="0"/>
        <w:jc w:val="both"/>
        <w:rPr>
          <w:rFonts w:ascii="Times New Roman;Times;serif" w:hAnsi="Times New Roman;Times;serif"/>
          <w:sz w:val="20"/>
        </w:rPr>
      </w:pPr>
      <w:r>
        <w:rPr>
          <w:rFonts w:ascii="Times New Roman;Times;serif" w:hAnsi="Times New Roman;Times;serif"/>
          <w:sz w:val="20"/>
        </w:rPr>
      </w:r>
    </w:p>
    <w:p>
      <w:pPr>
        <w:pStyle w:val="TextBody"/>
        <w:spacing w:before="0" w:after="0"/>
        <w:ind w:left="0" w:right="0" w:hanging="0"/>
        <w:jc w:val="both"/>
        <w:rPr>
          <w:rFonts w:ascii="Times New Roman" w:hAnsi="Times New Roman"/>
          <w:b w:val="false"/>
          <w:i w:val="false"/>
          <w:caps w:val="false"/>
          <w:smallCaps w:val="false"/>
          <w:color w:val="000000"/>
          <w:spacing w:val="0"/>
          <w:sz w:val="20"/>
          <w:highlight w:val="white"/>
        </w:rPr>
      </w:pPr>
      <w:r>
        <w:rPr>
          <w:rFonts w:ascii="Times New Roman" w:hAnsi="Times New Roman"/>
          <w:b w:val="false"/>
          <w:i w:val="false"/>
          <w:caps w:val="false"/>
          <w:smallCaps w:val="false"/>
          <w:color w:val="000000"/>
          <w:spacing w:val="0"/>
          <w:sz w:val="20"/>
          <w:highlight w:val="white"/>
        </w:rPr>
        <w:t>Future undiscounted lease payments at March 31, 2023, under operating lease agreements, are presented below (in thousands).</w:t>
      </w:r>
    </w:p>
    <w:p>
      <w:pPr>
        <w:pStyle w:val="TextBody"/>
        <w:spacing w:before="0" w:after="0"/>
        <w:jc w:val="left"/>
        <w:rPr/>
      </w:pPr>
      <w:r>
        <w:rPr/>
      </w:r>
    </w:p>
    <w:p>
      <w:pPr>
        <w:pStyle w:val="TextBody"/>
        <w:widowControl/>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tbl>
      <w:tblPr>
        <w:tblW w:w="3740" w:type="dxa"/>
        <w:jc w:val="left"/>
        <w:tblInd w:w="0" w:type="dxa"/>
        <w:tblCellMar>
          <w:top w:w="0" w:type="dxa"/>
          <w:left w:w="0" w:type="dxa"/>
          <w:bottom w:w="0" w:type="dxa"/>
          <w:right w:w="0" w:type="dxa"/>
        </w:tblCellMar>
      </w:tblPr>
      <w:tblGrid>
        <w:gridCol w:w="2855"/>
        <w:gridCol w:w="60"/>
        <w:gridCol w:w="125"/>
        <w:gridCol w:w="590"/>
        <w:gridCol w:w="110"/>
      </w:tblGrid>
      <w:tr>
        <w:trPr/>
        <w:tc>
          <w:tcPr>
            <w:tcW w:w="2855" w:type="dxa"/>
            <w:tcBorders/>
            <w:shd w:fill="CCEEFF" w:val="clear"/>
            <w:vAlign w:val="bottom"/>
          </w:tcPr>
          <w:p>
            <w:pPr>
              <w:pStyle w:val="TableContents"/>
              <w:spacing w:before="0" w:after="0"/>
              <w:ind w:left="180" w:right="0" w:hanging="180"/>
              <w:rPr>
                <w:rFonts w:ascii="Times New Roman" w:hAnsi="Times New Roman"/>
                <w:color w:val="000000"/>
                <w:sz w:val="20"/>
              </w:rPr>
            </w:pPr>
            <w:r>
              <w:rPr>
                <w:rFonts w:ascii="Times New Roman" w:hAnsi="Times New Roman"/>
                <w:color w:val="000000"/>
                <w:sz w:val="20"/>
              </w:rPr>
              <w:t>2023</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1,443</w:t>
            </w:r>
          </w:p>
        </w:tc>
        <w:tc>
          <w:tcPr>
            <w:tcW w:w="110" w:type="dxa"/>
            <w:tcBorders/>
            <w:shd w:fill="CCEEFF" w:val="clear"/>
            <w:vAlign w:val="bottom"/>
          </w:tcPr>
          <w:p>
            <w:pPr>
              <w:pStyle w:val="TableContents"/>
              <w:spacing w:before="0" w:after="283"/>
              <w:jc w:val="left"/>
              <w:rPr/>
            </w:pPr>
            <w:r>
              <w:rPr/>
              <w:t> </w:t>
            </w:r>
          </w:p>
        </w:tc>
      </w:tr>
      <w:tr>
        <w:trPr/>
        <w:tc>
          <w:tcPr>
            <w:tcW w:w="2855" w:type="dxa"/>
            <w:tcBorders/>
            <w:shd w:fill="auto" w:val="clear"/>
            <w:vAlign w:val="bottom"/>
          </w:tcPr>
          <w:p>
            <w:pPr>
              <w:pStyle w:val="TableContents"/>
              <w:spacing w:before="0" w:after="0"/>
              <w:ind w:left="180" w:right="0" w:hanging="180"/>
              <w:rPr>
                <w:rFonts w:ascii="Times New Roman" w:hAnsi="Times New Roman"/>
                <w:color w:val="000000"/>
                <w:sz w:val="20"/>
              </w:rPr>
            </w:pPr>
            <w:r>
              <w:rPr>
                <w:rFonts w:ascii="Times New Roman" w:hAnsi="Times New Roman"/>
                <w:color w:val="000000"/>
                <w:sz w:val="20"/>
              </w:rPr>
              <w:t>2024</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590"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1,501</w:t>
            </w:r>
          </w:p>
        </w:tc>
        <w:tc>
          <w:tcPr>
            <w:tcW w:w="110" w:type="dxa"/>
            <w:tcBorders/>
            <w:shd w:fill="auto" w:val="clear"/>
            <w:vAlign w:val="bottom"/>
          </w:tcPr>
          <w:p>
            <w:pPr>
              <w:pStyle w:val="TableContents"/>
              <w:spacing w:before="0" w:after="283"/>
              <w:jc w:val="left"/>
              <w:rPr/>
            </w:pPr>
            <w:r>
              <w:rPr/>
              <w:t> </w:t>
            </w:r>
          </w:p>
        </w:tc>
      </w:tr>
      <w:tr>
        <w:trPr/>
        <w:tc>
          <w:tcPr>
            <w:tcW w:w="2855" w:type="dxa"/>
            <w:tcBorders/>
            <w:shd w:fill="CCEEFF" w:val="clear"/>
            <w:vAlign w:val="bottom"/>
          </w:tcPr>
          <w:p>
            <w:pPr>
              <w:pStyle w:val="TableContents"/>
              <w:spacing w:before="0" w:after="0"/>
              <w:ind w:left="180" w:right="0" w:hanging="180"/>
              <w:rPr>
                <w:rFonts w:ascii="Times New Roman" w:hAnsi="Times New Roman"/>
                <w:color w:val="000000"/>
                <w:sz w:val="20"/>
              </w:rPr>
            </w:pPr>
            <w:r>
              <w:rPr>
                <w:rFonts w:ascii="Times New Roman" w:hAnsi="Times New Roman"/>
                <w:color w:val="000000"/>
                <w:sz w:val="20"/>
              </w:rPr>
              <w:t>2025</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1,102</w:t>
            </w:r>
          </w:p>
        </w:tc>
        <w:tc>
          <w:tcPr>
            <w:tcW w:w="110" w:type="dxa"/>
            <w:tcBorders/>
            <w:shd w:fill="CCEEFF" w:val="clear"/>
            <w:vAlign w:val="bottom"/>
          </w:tcPr>
          <w:p>
            <w:pPr>
              <w:pStyle w:val="TableContents"/>
              <w:spacing w:before="0" w:after="283"/>
              <w:jc w:val="left"/>
              <w:rPr/>
            </w:pPr>
            <w:r>
              <w:rPr/>
              <w:t> </w:t>
            </w:r>
          </w:p>
        </w:tc>
      </w:tr>
      <w:tr>
        <w:trPr/>
        <w:tc>
          <w:tcPr>
            <w:tcW w:w="2855" w:type="dxa"/>
            <w:tcBorders/>
            <w:shd w:fill="auto" w:val="clear"/>
            <w:vAlign w:val="bottom"/>
          </w:tcPr>
          <w:p>
            <w:pPr>
              <w:pStyle w:val="TableContents"/>
              <w:spacing w:before="0" w:after="0"/>
              <w:ind w:left="180" w:right="0" w:hanging="180"/>
              <w:rPr>
                <w:rFonts w:ascii="Times New Roman" w:hAnsi="Times New Roman"/>
                <w:color w:val="000000"/>
                <w:sz w:val="20"/>
              </w:rPr>
            </w:pPr>
            <w:r>
              <w:rPr>
                <w:rFonts w:ascii="Times New Roman" w:hAnsi="Times New Roman"/>
                <w:color w:val="000000"/>
                <w:sz w:val="20"/>
              </w:rPr>
              <w:t>2026</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590" w:type="dxa"/>
            <w:tcBorders/>
            <w:shd w:fill="auto"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1,101</w:t>
            </w:r>
          </w:p>
        </w:tc>
        <w:tc>
          <w:tcPr>
            <w:tcW w:w="110" w:type="dxa"/>
            <w:tcBorders/>
            <w:shd w:fill="auto" w:val="clear"/>
            <w:vAlign w:val="bottom"/>
          </w:tcPr>
          <w:p>
            <w:pPr>
              <w:pStyle w:val="TableContents"/>
              <w:spacing w:before="0" w:after="283"/>
              <w:jc w:val="left"/>
              <w:rPr/>
            </w:pPr>
            <w:r>
              <w:rPr/>
              <w:t> </w:t>
            </w:r>
          </w:p>
        </w:tc>
      </w:tr>
      <w:tr>
        <w:trPr/>
        <w:tc>
          <w:tcPr>
            <w:tcW w:w="2855" w:type="dxa"/>
            <w:tcBorders/>
            <w:shd w:fill="CCEEFF" w:val="clear"/>
            <w:vAlign w:val="bottom"/>
          </w:tcPr>
          <w:p>
            <w:pPr>
              <w:pStyle w:val="TableContents"/>
              <w:spacing w:before="0" w:after="0"/>
              <w:ind w:left="180" w:right="0" w:hanging="180"/>
              <w:rPr>
                <w:rFonts w:ascii="Times New Roman" w:hAnsi="Times New Roman"/>
                <w:color w:val="000000"/>
                <w:sz w:val="20"/>
              </w:rPr>
            </w:pPr>
            <w:r>
              <w:rPr>
                <w:rFonts w:ascii="Times New Roman" w:hAnsi="Times New Roman"/>
                <w:color w:val="000000"/>
                <w:sz w:val="20"/>
              </w:rPr>
              <w:t>2027</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1,063</w:t>
            </w:r>
          </w:p>
        </w:tc>
        <w:tc>
          <w:tcPr>
            <w:tcW w:w="110" w:type="dxa"/>
            <w:tcBorders/>
            <w:shd w:fill="CCEEFF" w:val="clear"/>
            <w:vAlign w:val="bottom"/>
          </w:tcPr>
          <w:p>
            <w:pPr>
              <w:pStyle w:val="TableContents"/>
              <w:spacing w:before="0" w:after="283"/>
              <w:jc w:val="left"/>
              <w:rPr/>
            </w:pPr>
            <w:r>
              <w:rPr/>
              <w:t> </w:t>
            </w:r>
          </w:p>
        </w:tc>
      </w:tr>
      <w:tr>
        <w:trPr/>
        <w:tc>
          <w:tcPr>
            <w:tcW w:w="2855" w:type="dxa"/>
            <w:tcBorders/>
            <w:shd w:fill="auto" w:val="clear"/>
            <w:vAlign w:val="bottom"/>
          </w:tcPr>
          <w:p>
            <w:pPr>
              <w:pStyle w:val="TableContents"/>
              <w:spacing w:before="0" w:after="0"/>
              <w:ind w:left="180" w:right="0" w:hanging="180"/>
              <w:rPr>
                <w:rFonts w:ascii="Times New Roman" w:hAnsi="Times New Roman"/>
                <w:color w:val="000000"/>
                <w:sz w:val="20"/>
              </w:rPr>
            </w:pPr>
            <w:r>
              <w:rPr>
                <w:rFonts w:ascii="Times New Roman" w:hAnsi="Times New Roman"/>
                <w:color w:val="000000"/>
                <w:sz w:val="20"/>
              </w:rPr>
              <w:t>Thereafter</w:t>
            </w:r>
          </w:p>
        </w:tc>
        <w:tc>
          <w:tcPr>
            <w:tcW w:w="60" w:type="dxa"/>
            <w:tcBorders/>
            <w:shd w:fill="auto" w:val="clear"/>
            <w:vAlign w:val="bottom"/>
          </w:tcPr>
          <w:p>
            <w:pPr>
              <w:pStyle w:val="TableContents"/>
              <w:spacing w:before="0" w:after="283"/>
              <w:jc w:val="right"/>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59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5,050</w:t>
            </w:r>
          </w:p>
        </w:tc>
        <w:tc>
          <w:tcPr>
            <w:tcW w:w="110" w:type="dxa"/>
            <w:tcBorders/>
            <w:shd w:fill="auto" w:val="clear"/>
            <w:vAlign w:val="bottom"/>
          </w:tcPr>
          <w:p>
            <w:pPr>
              <w:pStyle w:val="TableContents"/>
              <w:spacing w:before="0" w:after="283"/>
              <w:jc w:val="left"/>
              <w:rPr/>
            </w:pPr>
            <w:r>
              <w:rPr/>
              <w:t> </w:t>
            </w:r>
          </w:p>
        </w:tc>
      </w:tr>
      <w:tr>
        <w:trPr/>
        <w:tc>
          <w:tcPr>
            <w:tcW w:w="2855" w:type="dxa"/>
            <w:tcBorders/>
            <w:shd w:fill="CCEEFF" w:val="clear"/>
            <w:vAlign w:val="bottom"/>
          </w:tcPr>
          <w:p>
            <w:pPr>
              <w:pStyle w:val="TableContents"/>
              <w:spacing w:before="0" w:after="0"/>
              <w:ind w:left="180" w:right="0" w:hanging="180"/>
              <w:rPr>
                <w:rFonts w:ascii="Times New Roman" w:hAnsi="Times New Roman"/>
                <w:color w:val="000000"/>
                <w:sz w:val="20"/>
              </w:rPr>
            </w:pPr>
            <w:r>
              <w:rPr>
                <w:rFonts w:ascii="Times New Roman" w:hAnsi="Times New Roman"/>
                <w:color w:val="000000"/>
                <w:sz w:val="20"/>
              </w:rPr>
              <w:t>Total minimum lease payments</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11,260</w:t>
            </w:r>
          </w:p>
        </w:tc>
        <w:tc>
          <w:tcPr>
            <w:tcW w:w="110" w:type="dxa"/>
            <w:tcBorders/>
            <w:shd w:fill="CCEEFF" w:val="clear"/>
            <w:vAlign w:val="bottom"/>
          </w:tcPr>
          <w:p>
            <w:pPr>
              <w:pStyle w:val="TableContents"/>
              <w:spacing w:before="0" w:after="283"/>
              <w:jc w:val="left"/>
              <w:rPr/>
            </w:pPr>
            <w:r>
              <w:rPr/>
              <w:t> </w:t>
            </w:r>
          </w:p>
        </w:tc>
      </w:tr>
      <w:tr>
        <w:trPr/>
        <w:tc>
          <w:tcPr>
            <w:tcW w:w="2855" w:type="dxa"/>
            <w:tcBorders/>
            <w:shd w:fill="auto" w:val="clear"/>
            <w:vAlign w:val="bottom"/>
          </w:tcPr>
          <w:p>
            <w:pPr>
              <w:pStyle w:val="TableContents"/>
              <w:spacing w:before="0" w:after="0"/>
              <w:ind w:left="180" w:right="0" w:hanging="180"/>
              <w:rPr>
                <w:rFonts w:ascii="Times New Roman" w:hAnsi="Times New Roman"/>
                <w:color w:val="000000"/>
                <w:sz w:val="20"/>
              </w:rPr>
            </w:pPr>
            <w:r>
              <w:rPr>
                <w:rFonts w:ascii="Times New Roman" w:hAnsi="Times New Roman"/>
                <w:color w:val="000000"/>
                <w:sz w:val="20"/>
              </w:rPr>
              <w:t>Less: Amount representing interest</w:t>
            </w:r>
          </w:p>
        </w:tc>
        <w:tc>
          <w:tcPr>
            <w:tcW w:w="60" w:type="dxa"/>
            <w:tcBorders/>
            <w:shd w:fill="auto" w:val="clear"/>
            <w:vAlign w:val="bottom"/>
          </w:tcPr>
          <w:p>
            <w:pPr>
              <w:pStyle w:val="TableContents"/>
              <w:spacing w:before="0" w:after="283"/>
              <w:jc w:val="right"/>
              <w:rPr/>
            </w:pPr>
            <w:r>
              <w:rPr/>
              <w:t> </w:t>
            </w:r>
          </w:p>
        </w:tc>
        <w:tc>
          <w:tcPr>
            <w:tcW w:w="125" w:type="dxa"/>
            <w:tcBorders>
              <w:bottom w:val="single" w:sz="12" w:space="0" w:color="000000"/>
            </w:tcBorders>
            <w:shd w:fill="auto" w:val="clear"/>
            <w:tcMar>
              <w:bottom w:w="28" w:type="dxa"/>
            </w:tcMar>
            <w:vAlign w:val="bottom"/>
          </w:tcPr>
          <w:p>
            <w:pPr>
              <w:pStyle w:val="TableContents"/>
              <w:spacing w:before="0" w:after="283"/>
              <w:jc w:val="left"/>
              <w:rPr/>
            </w:pPr>
            <w:r>
              <w:rPr/>
              <w:t> </w:t>
            </w:r>
          </w:p>
        </w:tc>
        <w:tc>
          <w:tcPr>
            <w:tcW w:w="590" w:type="dxa"/>
            <w:tcBorders>
              <w:bottom w:val="single" w:sz="12" w:space="0" w:color="000000"/>
            </w:tcBorders>
            <w:shd w:fill="auto"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(2,431</w:t>
            </w:r>
          </w:p>
        </w:tc>
        <w:tc>
          <w:tcPr>
            <w:tcW w:w="110" w:type="dxa"/>
            <w:tcBorders/>
            <w:shd w:fill="auto" w:val="clear"/>
            <w:vAlign w:val="bottom"/>
          </w:tcPr>
          <w:p>
            <w:pPr>
              <w:pStyle w:val="TableContents"/>
              <w:spacing w:before="0" w:after="0"/>
              <w:jc w:val="left"/>
              <w:rPr>
                <w:rFonts w:ascii="Times New Roman" w:hAnsi="Times New Roman"/>
                <w:color w:val="000000"/>
              </w:rPr>
            </w:pPr>
            <w:r>
              <w:rPr>
                <w:rFonts w:ascii="Times New Roman" w:hAnsi="Times New Roman"/>
                <w:color w:val="000000"/>
              </w:rPr>
              <w:t>)</w:t>
            </w:r>
          </w:p>
        </w:tc>
      </w:tr>
      <w:tr>
        <w:trPr/>
        <w:tc>
          <w:tcPr>
            <w:tcW w:w="2855" w:type="dxa"/>
            <w:tcBorders/>
            <w:shd w:fill="CCEEFF" w:val="clear"/>
            <w:vAlign w:val="bottom"/>
          </w:tcPr>
          <w:p>
            <w:pPr>
              <w:pStyle w:val="TableContents"/>
              <w:spacing w:before="0" w:after="0"/>
              <w:ind w:left="180" w:right="0" w:hanging="180"/>
              <w:rPr>
                <w:rFonts w:ascii="Times New Roman" w:hAnsi="Times New Roman"/>
                <w:color w:val="000000"/>
                <w:sz w:val="20"/>
              </w:rPr>
            </w:pPr>
            <w:r>
              <w:rPr>
                <w:rFonts w:ascii="Times New Roman" w:hAnsi="Times New Roman"/>
                <w:color w:val="000000"/>
                <w:sz w:val="20"/>
              </w:rPr>
              <w:t>Lease liabilities</w:t>
            </w:r>
          </w:p>
        </w:tc>
        <w:tc>
          <w:tcPr>
            <w:tcW w:w="60"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bottom w:val="double" w:sz="8" w:space="0" w:color="000000"/>
            </w:tcBorders>
            <w:shd w:fill="CCEEFF" w:val="clear"/>
            <w:tcMar>
              <w:bottom w:w="28" w:type="dxa"/>
            </w:tcM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8,829</w:t>
            </w:r>
          </w:p>
        </w:tc>
        <w:tc>
          <w:tcPr>
            <w:tcW w:w="110" w:type="dxa"/>
            <w:tcBorders/>
            <w:shd w:fill="CCEEFF" w:val="clear"/>
            <w:vAlign w:val="bottom"/>
          </w:tcPr>
          <w:p>
            <w:pPr>
              <w:pStyle w:val="TableContents"/>
              <w:spacing w:before="0" w:after="283"/>
              <w:jc w:val="left"/>
              <w:rPr/>
            </w:pPr>
            <w:r>
              <w:rPr/>
              <w:t> </w:t>
            </w:r>
          </w:p>
        </w:tc>
      </w:tr>
    </w:tbl>
    <w:p>
      <w:pPr>
        <w:pStyle w:val="TextBody"/>
        <w:spacing w:before="0" w:after="0"/>
        <w:jc w:val="left"/>
        <w:rPr/>
      </w:pPr>
      <w:r>
        <w:rPr/>
      </w:r>
    </w:p>
    <w:p>
      <w:pPr>
        <w:pStyle w:val="TextBody"/>
        <w:widowControl/>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r>
    </w:p>
    <w:p>
      <w:pPr>
        <w:pStyle w:val="TextBody"/>
        <w:spacing w:before="0" w:after="0"/>
        <w:ind w:left="0" w:right="0" w:hanging="0"/>
        <w:jc w:val="both"/>
        <w:rPr>
          <w:rFonts w:ascii="Times New Roman" w:hAnsi="Times New Roman"/>
          <w:b w:val="false"/>
          <w:i w:val="false"/>
          <w:caps w:val="false"/>
          <w:smallCaps w:val="false"/>
          <w:color w:val="000000"/>
          <w:spacing w:val="0"/>
          <w:sz w:val="20"/>
          <w:highlight w:val="white"/>
        </w:rPr>
      </w:pPr>
      <w:r>
        <w:rPr>
          <w:rFonts w:ascii="Times New Roman" w:hAnsi="Times New Roman"/>
          <w:b w:val="false"/>
          <w:i w:val="false"/>
          <w:caps w:val="false"/>
          <w:smallCaps w:val="false"/>
          <w:color w:val="000000"/>
          <w:spacing w:val="0"/>
          <w:sz w:val="20"/>
          <w:highlight w:val="white"/>
        </w:rPr>
        <w:t>As of March 31, 2023, the Company had one additional operating lease that had not yet commenced with aggregate future minimum lease payments of approximately $255 thousand. This lease is expected to commence in May 2023 with a lease term of three years.</w:t>
      </w:r>
    </w:p>
    <w:p>
      <w:pPr>
        <w:pStyle w:val="TextBody"/>
        <w:spacing w:before="0" w:after="0"/>
        <w:jc w:val="both"/>
        <w:rPr/>
      </w:pPr>
      <w:r>
        <w:rPr/>
      </w:r>
    </w:p>
    <w:p>
      <w:pPr>
        <w:pStyle w:val="TextBody"/>
        <w:spacing w:before="0" w:after="0"/>
        <w:jc w:val="both"/>
        <w:rPr>
          <w:rFonts w:ascii="Times New Roman;Times;serif" w:hAnsi="Times New Roman;Times;serif"/>
          <w:b w:val="false"/>
          <w:i/>
          <w:caps w:val="false"/>
          <w:smallCaps w:val="false"/>
          <w:color w:val="000000"/>
          <w:spacing w:val="0"/>
          <w:sz w:val="20"/>
          <w:highlight w:val="white"/>
          <w:u w:val="single"/>
        </w:rPr>
      </w:pPr>
      <w:r>
        <w:rPr>
          <w:rFonts w:ascii="Times New Roman;Times;serif" w:hAnsi="Times New Roman;Times;serif"/>
          <w:b w:val="false"/>
          <w:i/>
          <w:caps w:val="false"/>
          <w:smallCaps w:val="false"/>
          <w:color w:val="000000"/>
          <w:spacing w:val="0"/>
          <w:sz w:val="20"/>
          <w:highlight w:val="white"/>
          <w:u w:val="single"/>
        </w:rPr>
        <w:t>Lessor Arrangements</w:t>
      </w:r>
    </w:p>
    <w:p>
      <w:pPr>
        <w:pStyle w:val="TextBody"/>
        <w:spacing w:before="0" w:after="0"/>
        <w:jc w:val="both"/>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r>
    </w:p>
    <w:p>
      <w:pPr>
        <w:pStyle w:val="TextBody"/>
        <w:spacing w:before="0" w:after="0"/>
        <w:jc w:val="both"/>
        <w:rPr>
          <w:rFonts w:ascii="Times New Roman" w:hAnsi="Times New Roman"/>
          <w:b w:val="false"/>
          <w:i w:val="false"/>
          <w:caps w:val="false"/>
          <w:smallCaps w:val="false"/>
          <w:color w:val="000000"/>
          <w:spacing w:val="0"/>
          <w:sz w:val="20"/>
          <w:highlight w:val="white"/>
        </w:rPr>
      </w:pPr>
      <w:r>
        <w:rPr>
          <w:rFonts w:ascii="Times New Roman" w:hAnsi="Times New Roman"/>
          <w:b w:val="false"/>
          <w:i w:val="false"/>
          <w:caps w:val="false"/>
          <w:smallCaps w:val="false"/>
          <w:color w:val="000000"/>
          <w:spacing w:val="0"/>
          <w:sz w:val="20"/>
          <w:highlight w:val="white"/>
        </w:rPr>
        <w:t>The Company leases certain facilities and office space under operating lease agreements to outside parties. Operating lease income for the three months ended March 31, 2023, and 2022 was $204 thousand and $216 thousand, respectively and is included in occupancy and equipment, net in the consolidated statements of comprehensive income (loss).</w:t>
      </w:r>
    </w:p>
    <w:p>
      <w:pPr>
        <w:pStyle w:val="TextBody"/>
        <w:spacing w:before="0" w:after="0"/>
        <w:jc w:val="left"/>
        <w:rPr>
          <w:rFonts w:ascii="Times New Roman" w:hAnsi="Times New Roman"/>
          <w:sz w:val="20"/>
        </w:rPr>
      </w:pPr>
      <w:r>
        <w:rPr>
          <w:rFonts w:ascii="Times New Roman" w:hAnsi="Times New Roman"/>
          <w:sz w:val="20"/>
        </w:rPr>
      </w:r>
    </w:p>
    <w:p>
      <w:pPr>
        <w:pStyle w:val="TextBody"/>
        <w:spacing w:before="0" w:after="0"/>
        <w:jc w:val="left"/>
        <w:rPr>
          <w:rFonts w:ascii="Times New Roman" w:hAnsi="Times New Roman"/>
          <w:b/>
          <w:color w:val="000000"/>
          <w:sz w:val="20"/>
        </w:rPr>
      </w:pPr>
      <w:r>
        <w:rPr>
          <w:rFonts w:ascii="Times New Roman" w:hAnsi="Times New Roman"/>
          <w:b/>
          <w:color w:val="000000"/>
          <w:sz w:val="20"/>
        </w:rPr>
        <w:t>10.  CAPITAL AND REGULATORY MATTERS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Company and its bank subsidiary are subject to various regulatory capital requirements administered by its banking regulators. Failure to meet minimum capital requirements can initiate certain mandatory and possibly additional discretionary actions by regulators that, if undertaken, could have a direct material effect on the Company’s and its bank subsidiary’s financial statements. Under capital guidelines and the regulatory framework for prompt corrective action, the Company and its bank subsidiary must meet specific capital guidelines that involve quantitative measures of their assets, liabilities, and certain off-balance-sheet items as calculated under regulatory accounting practices. The capital amounts and classification are also subject to qualitative judgments by the regulators about components, risk weightings, and other factors. Prompt corrective action provisions are not applicable to bank holding companies.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Quantitative measures established by regulation to ensure capital adequacy require the Company and its bank subsidiary to maintain minimum amounts and ratios (set forth in the following table) of total and Tier 1 capital (as defined in the regulations) to risk-weighted assets (as defined) and of Tier 1 capital (as defined) to average assets (as defined). Management believes, as of March 31, 2023 and December 31, 2022, that the Company and its bank subsidiary met all capital adequacy requirements to which they are subject.</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As of March 31, 2023 and December 31, 2022, the Company met the definition of “well-capitalized” under the  applicable regulations of the Board of Governors of the Federal Reserve System and the bank subsidiary was “well capitalized” under the FDIC’s regulatory framework for prompt corrective action and the Basel III capital guidelines. To be categorized as well capitalized, an institution must maintain minimum total risk-based, Tier 1 risk-based and Tier 1 leverage ratios as set forth in the following tables. There are no conditions or events since March 31, 2023 that management believes have changed the bank subsidiary’s category.</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23</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b w:val="false"/>
            <w:i/>
            <w:color w:val="000000"/>
            <w:sz w:val="16"/>
          </w:rPr>
          <w:t>Table of Contents</w:t>
        </w:r>
      </w:hyperlink>
    </w:p>
    <w:p>
      <w:pPr>
        <w:pStyle w:val="TextBody"/>
        <w:spacing w:before="0" w:after="0"/>
        <w:jc w:val="both"/>
        <w:rPr>
          <w:rFonts w:ascii="Times New Roman" w:hAnsi="Times New Roman"/>
          <w:color w:val="000000"/>
          <w:sz w:val="20"/>
        </w:rPr>
      </w:pPr>
      <w:r>
        <w:rPr>
          <w:rFonts w:ascii="Times New Roman" w:hAnsi="Times New Roman"/>
          <w:color w:val="000000"/>
          <w:sz w:val="20"/>
        </w:rPr>
        <w:t>The Company and its bank subsidiary’s actual capital amounts and ratios at the dates indicated follows (dollars in thousands):</w:t>
      </w:r>
    </w:p>
    <w:p>
      <w:pPr>
        <w:pStyle w:val="TextBody"/>
        <w:spacing w:before="0" w:after="0"/>
        <w:jc w:val="left"/>
        <w:rPr/>
      </w:pPr>
      <w:r>
        <w:rPr/>
      </w:r>
    </w:p>
    <w:p>
      <w:pPr>
        <w:pStyle w:val="TextBody"/>
        <w:spacing w:before="0" w:after="0"/>
        <w:jc w:val="left"/>
        <w:rPr/>
      </w:pPr>
      <w:r>
        <w:rPr/>
      </w:r>
    </w:p>
    <w:tbl>
      <w:tblPr>
        <w:tblW w:w="10104" w:type="dxa"/>
        <w:jc w:val="left"/>
        <w:tblInd w:w="0" w:type="dxa"/>
        <w:tblCellMar>
          <w:top w:w="0" w:type="dxa"/>
          <w:left w:w="0" w:type="dxa"/>
          <w:bottom w:w="0" w:type="dxa"/>
          <w:right w:w="0" w:type="dxa"/>
        </w:tblCellMar>
      </w:tblPr>
      <w:tblGrid>
        <w:gridCol w:w="3995"/>
        <w:gridCol w:w="60"/>
        <w:gridCol w:w="125"/>
        <w:gridCol w:w="695"/>
        <w:gridCol w:w="60"/>
        <w:gridCol w:w="60"/>
        <w:gridCol w:w="60"/>
        <w:gridCol w:w="485"/>
        <w:gridCol w:w="185"/>
        <w:gridCol w:w="60"/>
        <w:gridCol w:w="141"/>
        <w:gridCol w:w="788"/>
        <w:gridCol w:w="68"/>
        <w:gridCol w:w="68"/>
        <w:gridCol w:w="68"/>
        <w:gridCol w:w="550"/>
        <w:gridCol w:w="185"/>
        <w:gridCol w:w="60"/>
        <w:gridCol w:w="184"/>
        <w:gridCol w:w="1027"/>
        <w:gridCol w:w="88"/>
        <w:gridCol w:w="88"/>
        <w:gridCol w:w="88"/>
        <w:gridCol w:w="716"/>
        <w:gridCol w:w="200"/>
      </w:tblGrid>
      <w:tr>
        <w:trPr/>
        <w:tc>
          <w:tcPr>
            <w:tcW w:w="399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85" w:type="dxa"/>
            <w:gridSpan w:val="6"/>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Actual</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683" w:type="dxa"/>
            <w:gridSpan w:val="6"/>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Minimum Required</w:t>
            </w:r>
          </w:p>
          <w:p>
            <w:pPr>
              <w:pStyle w:val="TableContents"/>
              <w:spacing w:before="0" w:after="0"/>
              <w:jc w:val="center"/>
              <w:rPr>
                <w:rFonts w:ascii="Times New Roman" w:hAnsi="Times New Roman"/>
                <w:b/>
                <w:sz w:val="20"/>
              </w:rPr>
            </w:pPr>
            <w:r>
              <w:rPr>
                <w:rFonts w:ascii="Times New Roman" w:hAnsi="Times New Roman"/>
                <w:b/>
                <w:sz w:val="20"/>
              </w:rPr>
              <w:t>Under BASEL III</w:t>
            </w:r>
          </w:p>
          <w:p>
            <w:pPr>
              <w:pStyle w:val="TableContents"/>
              <w:spacing w:before="0" w:after="0"/>
              <w:jc w:val="center"/>
              <w:rPr>
                <w:rFonts w:ascii="Times New Roman" w:hAnsi="Times New Roman"/>
                <w:b/>
                <w:sz w:val="20"/>
              </w:rPr>
            </w:pPr>
            <w:r>
              <w:rPr>
                <w:rFonts w:ascii="Times New Roman" w:hAnsi="Times New Roman"/>
                <w:b/>
                <w:sz w:val="20"/>
              </w:rPr>
              <w:t>Fully Phased-In</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2191" w:type="dxa"/>
            <w:gridSpan w:val="6"/>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To Be Well Capitalized</w:t>
            </w:r>
          </w:p>
          <w:p>
            <w:pPr>
              <w:pStyle w:val="TableContents"/>
              <w:spacing w:before="0" w:after="0"/>
              <w:jc w:val="center"/>
              <w:rPr>
                <w:rFonts w:ascii="Times New Roman" w:hAnsi="Times New Roman"/>
                <w:b/>
                <w:sz w:val="20"/>
              </w:rPr>
            </w:pPr>
            <w:r>
              <w:rPr>
                <w:rFonts w:ascii="Times New Roman" w:hAnsi="Times New Roman"/>
                <w:b/>
                <w:sz w:val="20"/>
              </w:rPr>
              <w:t>Under Prompt Corrective</w:t>
            </w:r>
          </w:p>
          <w:p>
            <w:pPr>
              <w:pStyle w:val="TableContents"/>
              <w:spacing w:before="0" w:after="0"/>
              <w:jc w:val="center"/>
              <w:rPr>
                <w:rFonts w:ascii="Times New Roman" w:hAnsi="Times New Roman"/>
                <w:b/>
                <w:sz w:val="20"/>
              </w:rPr>
            </w:pPr>
            <w:r>
              <w:rPr>
                <w:rFonts w:ascii="Times New Roman" w:hAnsi="Times New Roman"/>
                <w:b/>
                <w:sz w:val="20"/>
              </w:rPr>
              <w:t>Action Framework</w:t>
            </w:r>
          </w:p>
        </w:tc>
        <w:tc>
          <w:tcPr>
            <w:tcW w:w="200" w:type="dxa"/>
            <w:tcBorders/>
            <w:shd w:fill="auto" w:val="clear"/>
            <w:vAlign w:val="bottom"/>
          </w:tcPr>
          <w:p>
            <w:pPr>
              <w:pStyle w:val="TableContents"/>
              <w:spacing w:before="0" w:after="283"/>
              <w:jc w:val="left"/>
              <w:rPr/>
            </w:pPr>
            <w:r>
              <w:rPr/>
              <w:t> </w:t>
            </w:r>
          </w:p>
        </w:tc>
      </w:tr>
      <w:tr>
        <w:trPr/>
        <w:tc>
          <w:tcPr>
            <w:tcW w:w="39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Amount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54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Ratio</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29"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Amount</w:t>
            </w:r>
          </w:p>
        </w:tc>
        <w:tc>
          <w:tcPr>
            <w:tcW w:w="68" w:type="dxa"/>
            <w:tcBorders/>
            <w:shd w:fill="auto" w:val="clear"/>
            <w:vAlign w:val="bottom"/>
          </w:tcPr>
          <w:p>
            <w:pPr>
              <w:pStyle w:val="TableContents"/>
              <w:spacing w:before="0" w:after="283"/>
              <w:jc w:val="left"/>
              <w:rPr/>
            </w:pPr>
            <w:r>
              <w:rPr/>
              <w:t> </w:t>
            </w:r>
          </w:p>
        </w:tc>
        <w:tc>
          <w:tcPr>
            <w:tcW w:w="68" w:type="dxa"/>
            <w:tcBorders/>
            <w:shd w:fill="auto" w:val="clear"/>
            <w:vAlign w:val="bottom"/>
          </w:tcPr>
          <w:p>
            <w:pPr>
              <w:pStyle w:val="TableContents"/>
              <w:spacing w:before="0" w:after="283"/>
              <w:rPr/>
            </w:pPr>
            <w:r>
              <w:rPr/>
              <w:t> </w:t>
            </w:r>
          </w:p>
        </w:tc>
        <w:tc>
          <w:tcPr>
            <w:tcW w:w="618"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Ratio</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11"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Amount</w:t>
            </w:r>
          </w:p>
        </w:tc>
        <w:tc>
          <w:tcPr>
            <w:tcW w:w="88" w:type="dxa"/>
            <w:tcBorders/>
            <w:shd w:fill="auto" w:val="clear"/>
            <w:vAlign w:val="bottom"/>
          </w:tcPr>
          <w:p>
            <w:pPr>
              <w:pStyle w:val="TableContents"/>
              <w:spacing w:before="0" w:after="283"/>
              <w:jc w:val="left"/>
              <w:rPr/>
            </w:pPr>
            <w:r>
              <w:rPr/>
              <w:t> </w:t>
            </w:r>
          </w:p>
        </w:tc>
        <w:tc>
          <w:tcPr>
            <w:tcW w:w="88" w:type="dxa"/>
            <w:tcBorders/>
            <w:shd w:fill="auto" w:val="clear"/>
            <w:vAlign w:val="bottom"/>
          </w:tcPr>
          <w:p>
            <w:pPr>
              <w:pStyle w:val="TableContents"/>
              <w:spacing w:before="0" w:after="283"/>
              <w:rPr/>
            </w:pPr>
            <w:r>
              <w:rPr/>
              <w:t> </w:t>
            </w:r>
          </w:p>
        </w:tc>
        <w:tc>
          <w:tcPr>
            <w:tcW w:w="804"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Ratio</w:t>
            </w:r>
          </w:p>
        </w:tc>
        <w:tc>
          <w:tcPr>
            <w:tcW w:w="200" w:type="dxa"/>
            <w:tcBorders/>
            <w:shd w:fill="auto" w:val="clear"/>
            <w:vAlign w:val="bottom"/>
          </w:tcPr>
          <w:p>
            <w:pPr>
              <w:pStyle w:val="TableContents"/>
              <w:spacing w:before="0" w:after="283"/>
              <w:jc w:val="left"/>
              <w:rPr/>
            </w:pPr>
            <w:r>
              <w:rPr/>
              <w:t> </w:t>
            </w:r>
          </w:p>
        </w:tc>
      </w:tr>
      <w:tr>
        <w:trPr/>
        <w:tc>
          <w:tcPr>
            <w:tcW w:w="3995" w:type="dxa"/>
            <w:tcBorders/>
            <w:shd w:fill="auto" w:val="clear"/>
            <w:vAlign w:val="bottom"/>
          </w:tcPr>
          <w:p>
            <w:pPr>
              <w:pStyle w:val="TableContents"/>
              <w:spacing w:before="0" w:after="0"/>
              <w:ind w:left="180" w:right="0" w:hanging="0"/>
              <w:jc w:val="left"/>
              <w:rPr>
                <w:rFonts w:ascii="Times New Roman" w:hAnsi="Times New Roman"/>
                <w:sz w:val="20"/>
                <w:u w:val="single"/>
              </w:rPr>
            </w:pPr>
            <w:r>
              <w:rPr>
                <w:rFonts w:ascii="Times New Roman" w:hAnsi="Times New Roman"/>
                <w:sz w:val="20"/>
                <w:u w:val="single"/>
              </w:rPr>
              <w:t>March 31, 2023</w:t>
            </w:r>
          </w:p>
        </w:tc>
        <w:tc>
          <w:tcPr>
            <w:tcW w:w="60" w:type="dxa"/>
            <w:tcBorders/>
            <w:shd w:fill="auto" w:val="clear"/>
            <w:vAlign w:val="bottom"/>
          </w:tcPr>
          <w:p>
            <w:pPr>
              <w:pStyle w:val="TableContents"/>
              <w:spacing w:before="0" w:after="283"/>
              <w:rPr/>
            </w:pPr>
            <w:r>
              <w:rPr/>
              <w:t> </w:t>
            </w:r>
          </w:p>
        </w:tc>
        <w:tc>
          <w:tcPr>
            <w:tcW w:w="82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545" w:type="dxa"/>
            <w:gridSpan w:val="2"/>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29" w:type="dxa"/>
            <w:gridSpan w:val="2"/>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jc w:val="left"/>
              <w:rPr/>
            </w:pPr>
            <w:r>
              <w:rPr/>
              <w:t> </w:t>
            </w:r>
          </w:p>
        </w:tc>
        <w:tc>
          <w:tcPr>
            <w:tcW w:w="68" w:type="dxa"/>
            <w:tcBorders/>
            <w:shd w:fill="auto" w:val="clear"/>
            <w:vAlign w:val="bottom"/>
          </w:tcPr>
          <w:p>
            <w:pPr>
              <w:pStyle w:val="TableContents"/>
              <w:spacing w:before="0" w:after="283"/>
              <w:rPr/>
            </w:pPr>
            <w:r>
              <w:rPr/>
              <w:t> </w:t>
            </w:r>
          </w:p>
        </w:tc>
        <w:tc>
          <w:tcPr>
            <w:tcW w:w="618" w:type="dxa"/>
            <w:gridSpan w:val="2"/>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11" w:type="dxa"/>
            <w:gridSpan w:val="2"/>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jc w:val="left"/>
              <w:rPr/>
            </w:pPr>
            <w:r>
              <w:rPr/>
              <w:t> </w:t>
            </w:r>
          </w:p>
        </w:tc>
        <w:tc>
          <w:tcPr>
            <w:tcW w:w="88" w:type="dxa"/>
            <w:tcBorders/>
            <w:shd w:fill="auto" w:val="clear"/>
            <w:vAlign w:val="bottom"/>
          </w:tcPr>
          <w:p>
            <w:pPr>
              <w:pStyle w:val="TableContents"/>
              <w:spacing w:before="0" w:after="283"/>
              <w:rPr/>
            </w:pPr>
            <w:r>
              <w:rPr/>
              <w:t> </w:t>
            </w:r>
          </w:p>
        </w:tc>
        <w:tc>
          <w:tcPr>
            <w:tcW w:w="804" w:type="dxa"/>
            <w:gridSpan w:val="2"/>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jc w:val="left"/>
              <w:rPr/>
            </w:pPr>
            <w:r>
              <w:rPr/>
              <w:t> </w:t>
            </w:r>
          </w:p>
        </w:tc>
      </w:tr>
      <w:tr>
        <w:trPr/>
        <w:tc>
          <w:tcPr>
            <w:tcW w:w="3995" w:type="dxa"/>
            <w:tcBorders/>
            <w:shd w:fill="auto"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Total Capital to Risk Weighted Assets:</w:t>
            </w:r>
          </w:p>
        </w:tc>
        <w:tc>
          <w:tcPr>
            <w:tcW w:w="60" w:type="dxa"/>
            <w:tcBorders/>
            <w:shd w:fill="auto" w:val="clear"/>
            <w:vAlign w:val="bottom"/>
          </w:tcPr>
          <w:p>
            <w:pPr>
              <w:pStyle w:val="TableContents"/>
              <w:spacing w:before="0" w:after="283"/>
              <w:rPr/>
            </w:pPr>
            <w:r>
              <w:rPr/>
              <w:t> </w:t>
            </w:r>
          </w:p>
        </w:tc>
        <w:tc>
          <w:tcPr>
            <w:tcW w:w="82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545" w:type="dxa"/>
            <w:gridSpan w:val="2"/>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29" w:type="dxa"/>
            <w:gridSpan w:val="2"/>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jc w:val="left"/>
              <w:rPr/>
            </w:pPr>
            <w:r>
              <w:rPr/>
              <w:t> </w:t>
            </w:r>
          </w:p>
        </w:tc>
        <w:tc>
          <w:tcPr>
            <w:tcW w:w="68" w:type="dxa"/>
            <w:tcBorders/>
            <w:shd w:fill="auto" w:val="clear"/>
            <w:vAlign w:val="bottom"/>
          </w:tcPr>
          <w:p>
            <w:pPr>
              <w:pStyle w:val="TableContents"/>
              <w:spacing w:before="0" w:after="283"/>
              <w:rPr/>
            </w:pPr>
            <w:r>
              <w:rPr/>
              <w:t> </w:t>
            </w:r>
          </w:p>
        </w:tc>
        <w:tc>
          <w:tcPr>
            <w:tcW w:w="618" w:type="dxa"/>
            <w:gridSpan w:val="2"/>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11" w:type="dxa"/>
            <w:gridSpan w:val="2"/>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jc w:val="left"/>
              <w:rPr/>
            </w:pPr>
            <w:r>
              <w:rPr/>
              <w:t> </w:t>
            </w:r>
          </w:p>
        </w:tc>
        <w:tc>
          <w:tcPr>
            <w:tcW w:w="88" w:type="dxa"/>
            <w:tcBorders/>
            <w:shd w:fill="auto" w:val="clear"/>
            <w:vAlign w:val="bottom"/>
          </w:tcPr>
          <w:p>
            <w:pPr>
              <w:pStyle w:val="TableContents"/>
              <w:spacing w:before="0" w:after="283"/>
              <w:rPr/>
            </w:pPr>
            <w:r>
              <w:rPr/>
              <w:t> </w:t>
            </w:r>
          </w:p>
        </w:tc>
        <w:tc>
          <w:tcPr>
            <w:tcW w:w="804" w:type="dxa"/>
            <w:gridSpan w:val="2"/>
            <w:tcBorders/>
            <w:shd w:fill="auto" w:val="clear"/>
            <w:vAlign w:val="bottom"/>
          </w:tcPr>
          <w:p>
            <w:pPr>
              <w:pStyle w:val="TableContents"/>
              <w:spacing w:before="0" w:after="283"/>
              <w:rPr/>
            </w:pPr>
            <w:r>
              <w:rPr/>
              <w:t> </w:t>
            </w:r>
          </w:p>
        </w:tc>
        <w:tc>
          <w:tcPr>
            <w:tcW w:w="200" w:type="dxa"/>
            <w:tcBorders/>
            <w:shd w:fill="auto" w:val="clear"/>
            <w:vAlign w:val="bottom"/>
          </w:tcPr>
          <w:p>
            <w:pPr>
              <w:pStyle w:val="TableContents"/>
              <w:spacing w:before="0" w:after="283"/>
              <w:jc w:val="left"/>
              <w:rPr/>
            </w:pPr>
            <w:r>
              <w:rPr/>
              <w:t> </w:t>
            </w:r>
          </w:p>
        </w:tc>
      </w:tr>
      <w:tr>
        <w:trPr/>
        <w:tc>
          <w:tcPr>
            <w:tcW w:w="3995" w:type="dxa"/>
            <w:tcBorders/>
            <w:shd w:fill="CCEE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Consolidated</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567,364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485"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16.70</w:t>
            </w:r>
          </w:p>
        </w:tc>
        <w:tc>
          <w:tcPr>
            <w:tcW w:w="18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right"/>
              <w:rPr/>
            </w:pPr>
            <w:r>
              <w:rPr/>
              <w:t> </w:t>
            </w:r>
          </w:p>
        </w:tc>
        <w:tc>
          <w:tcPr>
            <w:tcW w:w="141"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788"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356,699</w:t>
            </w:r>
          </w:p>
        </w:tc>
        <w:tc>
          <w:tcPr>
            <w:tcW w:w="68" w:type="dxa"/>
            <w:tcBorders/>
            <w:shd w:fill="CCEEFF" w:val="clear"/>
            <w:vAlign w:val="bottom"/>
          </w:tcPr>
          <w:p>
            <w:pPr>
              <w:pStyle w:val="TableContents"/>
              <w:spacing w:before="0" w:after="283"/>
              <w:jc w:val="left"/>
              <w:rPr/>
            </w:pPr>
            <w:r>
              <w:rPr/>
              <w:t> </w:t>
            </w:r>
          </w:p>
        </w:tc>
        <w:tc>
          <w:tcPr>
            <w:tcW w:w="68" w:type="dxa"/>
            <w:tcBorders/>
            <w:shd w:fill="CCEEFF" w:val="clear"/>
            <w:vAlign w:val="bottom"/>
          </w:tcPr>
          <w:p>
            <w:pPr>
              <w:pStyle w:val="TableContents"/>
              <w:spacing w:before="0" w:after="283"/>
              <w:jc w:val="right"/>
              <w:rPr/>
            </w:pPr>
            <w:r>
              <w:rPr/>
              <w:t> </w:t>
            </w:r>
          </w:p>
        </w:tc>
        <w:tc>
          <w:tcPr>
            <w:tcW w:w="68" w:type="dxa"/>
            <w:tcBorders/>
            <w:shd w:fill="CCEEFF" w:val="clear"/>
            <w:vAlign w:val="bottom"/>
          </w:tcPr>
          <w:p>
            <w:pPr>
              <w:pStyle w:val="TableContents"/>
              <w:spacing w:before="0" w:after="283"/>
              <w:jc w:val="left"/>
              <w:rPr/>
            </w:pPr>
            <w:r>
              <w:rPr/>
              <w:t> </w:t>
            </w:r>
          </w:p>
        </w:tc>
        <w:tc>
          <w:tcPr>
            <w:tcW w:w="550"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10.50</w:t>
            </w:r>
          </w:p>
        </w:tc>
        <w:tc>
          <w:tcPr>
            <w:tcW w:w="18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right"/>
              <w:rPr/>
            </w:pPr>
            <w:r>
              <w:rPr/>
              <w:t> </w:t>
            </w:r>
          </w:p>
        </w:tc>
        <w:tc>
          <w:tcPr>
            <w:tcW w:w="184" w:type="dxa"/>
            <w:tcBorders/>
            <w:shd w:fill="CCEEFF" w:val="clear"/>
            <w:vAlign w:val="bottom"/>
          </w:tcPr>
          <w:p>
            <w:pPr>
              <w:pStyle w:val="TableContents"/>
              <w:spacing w:before="0" w:after="283"/>
              <w:jc w:val="left"/>
              <w:rPr/>
            </w:pPr>
            <w:r>
              <w:rPr/>
              <w:t> </w:t>
            </w:r>
          </w:p>
        </w:tc>
        <w:tc>
          <w:tcPr>
            <w:tcW w:w="1027"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N/A</w:t>
            </w:r>
          </w:p>
        </w:tc>
        <w:tc>
          <w:tcPr>
            <w:tcW w:w="88" w:type="dxa"/>
            <w:tcBorders/>
            <w:shd w:fill="CCEEFF" w:val="clear"/>
            <w:vAlign w:val="bottom"/>
          </w:tcPr>
          <w:p>
            <w:pPr>
              <w:pStyle w:val="TableContents"/>
              <w:spacing w:before="0" w:after="283"/>
              <w:jc w:val="left"/>
              <w:rPr/>
            </w:pPr>
            <w:r>
              <w:rPr/>
              <w:t> </w:t>
            </w:r>
          </w:p>
        </w:tc>
        <w:tc>
          <w:tcPr>
            <w:tcW w:w="88" w:type="dxa"/>
            <w:tcBorders/>
            <w:shd w:fill="CCEEFF" w:val="clear"/>
            <w:vAlign w:val="bottom"/>
          </w:tcPr>
          <w:p>
            <w:pPr>
              <w:pStyle w:val="TableContents"/>
              <w:spacing w:before="0" w:after="283"/>
              <w:jc w:val="right"/>
              <w:rPr/>
            </w:pPr>
            <w:r>
              <w:rPr/>
              <w:t> </w:t>
            </w:r>
          </w:p>
        </w:tc>
        <w:tc>
          <w:tcPr>
            <w:tcW w:w="88" w:type="dxa"/>
            <w:tcBorders/>
            <w:shd w:fill="CCEEFF" w:val="clear"/>
            <w:vAlign w:val="bottom"/>
          </w:tcPr>
          <w:p>
            <w:pPr>
              <w:pStyle w:val="TableContents"/>
              <w:spacing w:before="0" w:after="283"/>
              <w:jc w:val="left"/>
              <w:rPr/>
            </w:pPr>
            <w:r>
              <w:rPr/>
              <w:t> </w:t>
            </w:r>
          </w:p>
        </w:tc>
        <w:tc>
          <w:tcPr>
            <w:tcW w:w="716"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N/A</w:t>
            </w:r>
          </w:p>
        </w:tc>
        <w:tc>
          <w:tcPr>
            <w:tcW w:w="200" w:type="dxa"/>
            <w:tcBorders/>
            <w:shd w:fill="CCEEFF" w:val="clear"/>
            <w:vAlign w:val="bottom"/>
          </w:tcPr>
          <w:p>
            <w:pPr>
              <w:pStyle w:val="TableContents"/>
              <w:spacing w:before="0" w:after="283"/>
              <w:jc w:val="left"/>
              <w:rPr/>
            </w:pPr>
            <w:r>
              <w:rPr/>
              <w:t> </w:t>
            </w:r>
          </w:p>
        </w:tc>
      </w:tr>
      <w:tr>
        <w:trPr/>
        <w:tc>
          <w:tcPr>
            <w:tcW w:w="3995" w:type="dxa"/>
            <w:tcBorders/>
            <w:shd w:fill="auto"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City Bank</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461,457</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485"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13.59</w:t>
            </w:r>
          </w:p>
        </w:tc>
        <w:tc>
          <w:tcPr>
            <w:tcW w:w="185"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auto" w:val="clear"/>
            <w:vAlign w:val="bottom"/>
          </w:tcPr>
          <w:p>
            <w:pPr>
              <w:pStyle w:val="TableContents"/>
              <w:spacing w:before="0" w:after="283"/>
              <w:jc w:val="right"/>
              <w:rPr/>
            </w:pPr>
            <w:r>
              <w:rPr/>
              <w:t> </w:t>
            </w:r>
          </w:p>
        </w:tc>
        <w:tc>
          <w:tcPr>
            <w:tcW w:w="141" w:type="dxa"/>
            <w:tcBorders/>
            <w:shd w:fill="auto" w:val="clear"/>
            <w:vAlign w:val="bottom"/>
          </w:tcPr>
          <w:p>
            <w:pPr>
              <w:pStyle w:val="TableContents"/>
              <w:spacing w:before="0" w:after="283"/>
              <w:jc w:val="left"/>
              <w:rPr/>
            </w:pPr>
            <w:r>
              <w:rPr/>
              <w:t> </w:t>
            </w:r>
          </w:p>
        </w:tc>
        <w:tc>
          <w:tcPr>
            <w:tcW w:w="788"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356,569</w:t>
            </w:r>
          </w:p>
        </w:tc>
        <w:tc>
          <w:tcPr>
            <w:tcW w:w="68" w:type="dxa"/>
            <w:tcBorders/>
            <w:shd w:fill="auto" w:val="clear"/>
            <w:vAlign w:val="bottom"/>
          </w:tcPr>
          <w:p>
            <w:pPr>
              <w:pStyle w:val="TableContents"/>
              <w:spacing w:before="0" w:after="283"/>
              <w:jc w:val="left"/>
              <w:rPr/>
            </w:pPr>
            <w:r>
              <w:rPr/>
              <w:t> </w:t>
            </w:r>
          </w:p>
        </w:tc>
        <w:tc>
          <w:tcPr>
            <w:tcW w:w="68" w:type="dxa"/>
            <w:tcBorders/>
            <w:shd w:fill="auto" w:val="clear"/>
            <w:vAlign w:val="bottom"/>
          </w:tcPr>
          <w:p>
            <w:pPr>
              <w:pStyle w:val="TableContents"/>
              <w:spacing w:before="0" w:after="283"/>
              <w:jc w:val="right"/>
              <w:rPr/>
            </w:pPr>
            <w:r>
              <w:rPr/>
              <w:t> </w:t>
            </w:r>
          </w:p>
        </w:tc>
        <w:tc>
          <w:tcPr>
            <w:tcW w:w="68" w:type="dxa"/>
            <w:tcBorders/>
            <w:shd w:fill="auto" w:val="clear"/>
            <w:vAlign w:val="bottom"/>
          </w:tcPr>
          <w:p>
            <w:pPr>
              <w:pStyle w:val="TableContents"/>
              <w:spacing w:before="0" w:after="283"/>
              <w:jc w:val="left"/>
              <w:rPr/>
            </w:pPr>
            <w:r>
              <w:rPr/>
              <w:t> </w:t>
            </w:r>
          </w:p>
        </w:tc>
        <w:tc>
          <w:tcPr>
            <w:tcW w:w="550"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10.50</w:t>
            </w:r>
          </w:p>
        </w:tc>
        <w:tc>
          <w:tcPr>
            <w:tcW w:w="185"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auto" w:val="clear"/>
            <w:vAlign w:val="bottom"/>
          </w:tcPr>
          <w:p>
            <w:pPr>
              <w:pStyle w:val="TableContents"/>
              <w:spacing w:before="0" w:after="283"/>
              <w:jc w:val="right"/>
              <w:rPr/>
            </w:pPr>
            <w:r>
              <w:rPr/>
              <w:t> </w:t>
            </w:r>
          </w:p>
        </w:tc>
        <w:tc>
          <w:tcPr>
            <w:tcW w:w="184"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1027"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339,589</w:t>
            </w:r>
          </w:p>
        </w:tc>
        <w:tc>
          <w:tcPr>
            <w:tcW w:w="88" w:type="dxa"/>
            <w:tcBorders/>
            <w:shd w:fill="auto" w:val="clear"/>
            <w:vAlign w:val="bottom"/>
          </w:tcPr>
          <w:p>
            <w:pPr>
              <w:pStyle w:val="TableContents"/>
              <w:spacing w:before="0" w:after="283"/>
              <w:jc w:val="left"/>
              <w:rPr/>
            </w:pPr>
            <w:r>
              <w:rPr/>
              <w:t> </w:t>
            </w:r>
          </w:p>
        </w:tc>
        <w:tc>
          <w:tcPr>
            <w:tcW w:w="88" w:type="dxa"/>
            <w:tcBorders/>
            <w:shd w:fill="auto" w:val="clear"/>
            <w:vAlign w:val="bottom"/>
          </w:tcPr>
          <w:p>
            <w:pPr>
              <w:pStyle w:val="TableContents"/>
              <w:spacing w:before="0" w:after="283"/>
              <w:jc w:val="right"/>
              <w:rPr/>
            </w:pPr>
            <w:r>
              <w:rPr/>
              <w:t> </w:t>
            </w:r>
          </w:p>
        </w:tc>
        <w:tc>
          <w:tcPr>
            <w:tcW w:w="88" w:type="dxa"/>
            <w:tcBorders/>
            <w:shd w:fill="auto" w:val="clear"/>
            <w:vAlign w:val="bottom"/>
          </w:tcPr>
          <w:p>
            <w:pPr>
              <w:pStyle w:val="TableContents"/>
              <w:spacing w:before="0" w:after="283"/>
              <w:jc w:val="left"/>
              <w:rPr/>
            </w:pPr>
            <w:r>
              <w:rPr/>
              <w:t> </w:t>
            </w:r>
          </w:p>
        </w:tc>
        <w:tc>
          <w:tcPr>
            <w:tcW w:w="716"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10.00</w:t>
            </w:r>
          </w:p>
        </w:tc>
        <w:tc>
          <w:tcPr>
            <w:tcW w:w="200"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r>
      <w:tr>
        <w:trPr/>
        <w:tc>
          <w:tcPr>
            <w:tcW w:w="39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485" w:type="dxa"/>
            <w:tcBorders/>
            <w:shd w:fill="CCEEFF" w:val="clear"/>
            <w:vAlign w:val="bottom"/>
          </w:tcPr>
          <w:p>
            <w:pPr>
              <w:pStyle w:val="TableContents"/>
              <w:spacing w:before="0" w:after="283"/>
              <w:jc w:val="right"/>
              <w:rPr/>
            </w:pPr>
            <w:r>
              <w:rPr/>
              <w:t> </w:t>
            </w:r>
          </w:p>
        </w:tc>
        <w:tc>
          <w:tcPr>
            <w:tcW w:w="18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1" w:type="dxa"/>
            <w:tcBorders/>
            <w:shd w:fill="CCEEFF" w:val="clear"/>
            <w:vAlign w:val="bottom"/>
          </w:tcPr>
          <w:p>
            <w:pPr>
              <w:pStyle w:val="TableContents"/>
              <w:spacing w:before="0" w:after="283"/>
              <w:jc w:val="left"/>
              <w:rPr/>
            </w:pPr>
            <w:r>
              <w:rPr/>
              <w:t> </w:t>
            </w:r>
          </w:p>
        </w:tc>
        <w:tc>
          <w:tcPr>
            <w:tcW w:w="788" w:type="dxa"/>
            <w:tcBorders/>
            <w:shd w:fill="CCEEFF" w:val="clear"/>
            <w:vAlign w:val="bottom"/>
          </w:tcPr>
          <w:p>
            <w:pPr>
              <w:pStyle w:val="TableContents"/>
              <w:spacing w:before="0" w:after="283"/>
              <w:jc w:val="right"/>
              <w:rPr/>
            </w:pPr>
            <w:r>
              <w:rPr/>
              <w:t> </w:t>
            </w:r>
          </w:p>
        </w:tc>
        <w:tc>
          <w:tcPr>
            <w:tcW w:w="68" w:type="dxa"/>
            <w:tcBorders/>
            <w:shd w:fill="CCEEFF" w:val="clear"/>
            <w:vAlign w:val="bottom"/>
          </w:tcPr>
          <w:p>
            <w:pPr>
              <w:pStyle w:val="TableContents"/>
              <w:spacing w:before="0" w:after="283"/>
              <w:jc w:val="left"/>
              <w:rPr/>
            </w:pPr>
            <w:r>
              <w:rPr/>
              <w:t> </w:t>
            </w:r>
          </w:p>
        </w:tc>
        <w:tc>
          <w:tcPr>
            <w:tcW w:w="68" w:type="dxa"/>
            <w:tcBorders/>
            <w:shd w:fill="CCEEFF" w:val="clear"/>
            <w:vAlign w:val="bottom"/>
          </w:tcPr>
          <w:p>
            <w:pPr>
              <w:pStyle w:val="TableContents"/>
              <w:spacing w:before="0" w:after="283"/>
              <w:jc w:val="right"/>
              <w:rPr/>
            </w:pPr>
            <w:r>
              <w:rPr/>
              <w:t> </w:t>
            </w:r>
          </w:p>
        </w:tc>
        <w:tc>
          <w:tcPr>
            <w:tcW w:w="68" w:type="dxa"/>
            <w:tcBorders/>
            <w:shd w:fill="CCEEFF" w:val="clear"/>
            <w:vAlign w:val="bottom"/>
          </w:tcPr>
          <w:p>
            <w:pPr>
              <w:pStyle w:val="TableContents"/>
              <w:spacing w:before="0" w:after="283"/>
              <w:jc w:val="left"/>
              <w:rPr/>
            </w:pPr>
            <w:r>
              <w:rPr/>
              <w:t> </w:t>
            </w:r>
          </w:p>
        </w:tc>
        <w:tc>
          <w:tcPr>
            <w:tcW w:w="550" w:type="dxa"/>
            <w:tcBorders/>
            <w:shd w:fill="CCEEFF" w:val="clear"/>
            <w:vAlign w:val="bottom"/>
          </w:tcPr>
          <w:p>
            <w:pPr>
              <w:pStyle w:val="TableContents"/>
              <w:spacing w:before="0" w:after="283"/>
              <w:jc w:val="right"/>
              <w:rPr/>
            </w:pPr>
            <w:r>
              <w:rPr/>
              <w:t> </w:t>
            </w:r>
          </w:p>
        </w:tc>
        <w:tc>
          <w:tcPr>
            <w:tcW w:w="18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4" w:type="dxa"/>
            <w:tcBorders/>
            <w:shd w:fill="CCEEFF" w:val="clear"/>
            <w:vAlign w:val="bottom"/>
          </w:tcPr>
          <w:p>
            <w:pPr>
              <w:pStyle w:val="TableContents"/>
              <w:spacing w:before="0" w:after="283"/>
              <w:jc w:val="left"/>
              <w:rPr/>
            </w:pPr>
            <w:r>
              <w:rPr/>
              <w:t> </w:t>
            </w:r>
          </w:p>
        </w:tc>
        <w:tc>
          <w:tcPr>
            <w:tcW w:w="1027" w:type="dxa"/>
            <w:tcBorders/>
            <w:shd w:fill="CCEEFF" w:val="clear"/>
            <w:vAlign w:val="bottom"/>
          </w:tcPr>
          <w:p>
            <w:pPr>
              <w:pStyle w:val="TableContents"/>
              <w:spacing w:before="0" w:after="283"/>
              <w:jc w:val="right"/>
              <w:rPr/>
            </w:pPr>
            <w:r>
              <w:rPr/>
              <w:t> </w:t>
            </w:r>
          </w:p>
        </w:tc>
        <w:tc>
          <w:tcPr>
            <w:tcW w:w="88" w:type="dxa"/>
            <w:tcBorders/>
            <w:shd w:fill="CCEEFF" w:val="clear"/>
            <w:vAlign w:val="bottom"/>
          </w:tcPr>
          <w:p>
            <w:pPr>
              <w:pStyle w:val="TableContents"/>
              <w:spacing w:before="0" w:after="283"/>
              <w:jc w:val="left"/>
              <w:rPr/>
            </w:pPr>
            <w:r>
              <w:rPr/>
              <w:t> </w:t>
            </w:r>
          </w:p>
        </w:tc>
        <w:tc>
          <w:tcPr>
            <w:tcW w:w="88" w:type="dxa"/>
            <w:tcBorders/>
            <w:shd w:fill="CCEEFF" w:val="clear"/>
            <w:vAlign w:val="bottom"/>
          </w:tcPr>
          <w:p>
            <w:pPr>
              <w:pStyle w:val="TableContents"/>
              <w:spacing w:before="0" w:after="283"/>
              <w:jc w:val="right"/>
              <w:rPr/>
            </w:pPr>
            <w:r>
              <w:rPr/>
              <w:t> </w:t>
            </w:r>
          </w:p>
        </w:tc>
        <w:tc>
          <w:tcPr>
            <w:tcW w:w="88" w:type="dxa"/>
            <w:tcBorders/>
            <w:shd w:fill="CCEEFF" w:val="clear"/>
            <w:vAlign w:val="bottom"/>
          </w:tcPr>
          <w:p>
            <w:pPr>
              <w:pStyle w:val="TableContents"/>
              <w:spacing w:before="0" w:after="283"/>
              <w:jc w:val="left"/>
              <w:rPr/>
            </w:pPr>
            <w:r>
              <w:rPr/>
              <w:t> </w:t>
            </w:r>
          </w:p>
        </w:tc>
        <w:tc>
          <w:tcPr>
            <w:tcW w:w="716" w:type="dxa"/>
            <w:tcBorders/>
            <w:shd w:fill="CCEEFF" w:val="clear"/>
            <w:vAlign w:val="bottom"/>
          </w:tcPr>
          <w:p>
            <w:pPr>
              <w:pStyle w:val="TableContents"/>
              <w:spacing w:before="0" w:after="283"/>
              <w:jc w:val="right"/>
              <w:rPr/>
            </w:pPr>
            <w:r>
              <w:rPr/>
              <w:t> </w:t>
            </w:r>
          </w:p>
        </w:tc>
        <w:tc>
          <w:tcPr>
            <w:tcW w:w="200" w:type="dxa"/>
            <w:tcBorders/>
            <w:shd w:fill="CCEEFF" w:val="clear"/>
            <w:vAlign w:val="bottom"/>
          </w:tcPr>
          <w:p>
            <w:pPr>
              <w:pStyle w:val="TableContents"/>
              <w:spacing w:before="0" w:after="283"/>
              <w:jc w:val="left"/>
              <w:rPr/>
            </w:pPr>
            <w:r>
              <w:rPr/>
              <w:t> </w:t>
            </w:r>
          </w:p>
        </w:tc>
      </w:tr>
      <w:tr>
        <w:trPr/>
        <w:tc>
          <w:tcPr>
            <w:tcW w:w="3995" w:type="dxa"/>
            <w:tcBorders/>
            <w:shd w:fill="auto"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Tier I Capital to Risk Weighted Assets:</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485" w:type="dxa"/>
            <w:tcBorders/>
            <w:shd w:fill="auto" w:val="clear"/>
            <w:vAlign w:val="bottom"/>
          </w:tcPr>
          <w:p>
            <w:pPr>
              <w:pStyle w:val="TableContents"/>
              <w:spacing w:before="0" w:after="283"/>
              <w:jc w:val="right"/>
              <w:rPr/>
            </w:pPr>
            <w:r>
              <w:rPr/>
              <w:t> </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1" w:type="dxa"/>
            <w:tcBorders/>
            <w:shd w:fill="auto" w:val="clear"/>
            <w:vAlign w:val="bottom"/>
          </w:tcPr>
          <w:p>
            <w:pPr>
              <w:pStyle w:val="TableContents"/>
              <w:spacing w:before="0" w:after="283"/>
              <w:jc w:val="left"/>
              <w:rPr/>
            </w:pPr>
            <w:r>
              <w:rPr/>
              <w:t> </w:t>
            </w:r>
          </w:p>
        </w:tc>
        <w:tc>
          <w:tcPr>
            <w:tcW w:w="788" w:type="dxa"/>
            <w:tcBorders/>
            <w:shd w:fill="auto" w:val="clear"/>
            <w:vAlign w:val="bottom"/>
          </w:tcPr>
          <w:p>
            <w:pPr>
              <w:pStyle w:val="TableContents"/>
              <w:spacing w:before="0" w:after="283"/>
              <w:jc w:val="right"/>
              <w:rPr/>
            </w:pPr>
            <w:r>
              <w:rPr/>
              <w:t> </w:t>
            </w:r>
          </w:p>
        </w:tc>
        <w:tc>
          <w:tcPr>
            <w:tcW w:w="68" w:type="dxa"/>
            <w:tcBorders/>
            <w:shd w:fill="auto" w:val="clear"/>
            <w:vAlign w:val="bottom"/>
          </w:tcPr>
          <w:p>
            <w:pPr>
              <w:pStyle w:val="TableContents"/>
              <w:spacing w:before="0" w:after="283"/>
              <w:jc w:val="left"/>
              <w:rPr/>
            </w:pPr>
            <w:r>
              <w:rPr/>
              <w:t> </w:t>
            </w:r>
          </w:p>
        </w:tc>
        <w:tc>
          <w:tcPr>
            <w:tcW w:w="68" w:type="dxa"/>
            <w:tcBorders/>
            <w:shd w:fill="auto" w:val="clear"/>
            <w:vAlign w:val="bottom"/>
          </w:tcPr>
          <w:p>
            <w:pPr>
              <w:pStyle w:val="TableContents"/>
              <w:spacing w:before="0" w:after="283"/>
              <w:jc w:val="right"/>
              <w:rPr/>
            </w:pPr>
            <w:r>
              <w:rPr/>
              <w:t> </w:t>
            </w:r>
          </w:p>
        </w:tc>
        <w:tc>
          <w:tcPr>
            <w:tcW w:w="68" w:type="dxa"/>
            <w:tcBorders/>
            <w:shd w:fill="auto" w:val="clear"/>
            <w:vAlign w:val="bottom"/>
          </w:tcPr>
          <w:p>
            <w:pPr>
              <w:pStyle w:val="TableContents"/>
              <w:spacing w:before="0" w:after="283"/>
              <w:jc w:val="left"/>
              <w:rPr/>
            </w:pPr>
            <w:r>
              <w:rPr/>
              <w:t> </w:t>
            </w:r>
          </w:p>
        </w:tc>
        <w:tc>
          <w:tcPr>
            <w:tcW w:w="550" w:type="dxa"/>
            <w:tcBorders/>
            <w:shd w:fill="auto" w:val="clear"/>
            <w:vAlign w:val="bottom"/>
          </w:tcPr>
          <w:p>
            <w:pPr>
              <w:pStyle w:val="TableContents"/>
              <w:spacing w:before="0" w:after="283"/>
              <w:jc w:val="right"/>
              <w:rPr/>
            </w:pPr>
            <w:r>
              <w:rPr/>
              <w:t> </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84" w:type="dxa"/>
            <w:tcBorders/>
            <w:shd w:fill="auto" w:val="clear"/>
            <w:vAlign w:val="bottom"/>
          </w:tcPr>
          <w:p>
            <w:pPr>
              <w:pStyle w:val="TableContents"/>
              <w:spacing w:before="0" w:after="283"/>
              <w:jc w:val="left"/>
              <w:rPr/>
            </w:pPr>
            <w:r>
              <w:rPr/>
              <w:t> </w:t>
            </w:r>
          </w:p>
        </w:tc>
        <w:tc>
          <w:tcPr>
            <w:tcW w:w="1027" w:type="dxa"/>
            <w:tcBorders/>
            <w:shd w:fill="auto" w:val="clear"/>
            <w:vAlign w:val="bottom"/>
          </w:tcPr>
          <w:p>
            <w:pPr>
              <w:pStyle w:val="TableContents"/>
              <w:spacing w:before="0" w:after="283"/>
              <w:jc w:val="right"/>
              <w:rPr/>
            </w:pPr>
            <w:r>
              <w:rPr/>
              <w:t> </w:t>
            </w:r>
          </w:p>
        </w:tc>
        <w:tc>
          <w:tcPr>
            <w:tcW w:w="88" w:type="dxa"/>
            <w:tcBorders/>
            <w:shd w:fill="auto" w:val="clear"/>
            <w:vAlign w:val="bottom"/>
          </w:tcPr>
          <w:p>
            <w:pPr>
              <w:pStyle w:val="TableContents"/>
              <w:spacing w:before="0" w:after="283"/>
              <w:jc w:val="left"/>
              <w:rPr/>
            </w:pPr>
            <w:r>
              <w:rPr/>
              <w:t> </w:t>
            </w:r>
          </w:p>
        </w:tc>
        <w:tc>
          <w:tcPr>
            <w:tcW w:w="88" w:type="dxa"/>
            <w:tcBorders/>
            <w:shd w:fill="auto" w:val="clear"/>
            <w:vAlign w:val="bottom"/>
          </w:tcPr>
          <w:p>
            <w:pPr>
              <w:pStyle w:val="TableContents"/>
              <w:spacing w:before="0" w:after="283"/>
              <w:jc w:val="right"/>
              <w:rPr/>
            </w:pPr>
            <w:r>
              <w:rPr/>
              <w:t> </w:t>
            </w:r>
          </w:p>
        </w:tc>
        <w:tc>
          <w:tcPr>
            <w:tcW w:w="88" w:type="dxa"/>
            <w:tcBorders/>
            <w:shd w:fill="auto" w:val="clear"/>
            <w:vAlign w:val="bottom"/>
          </w:tcPr>
          <w:p>
            <w:pPr>
              <w:pStyle w:val="TableContents"/>
              <w:spacing w:before="0" w:after="283"/>
              <w:jc w:val="left"/>
              <w:rPr/>
            </w:pPr>
            <w:r>
              <w:rPr/>
              <w:t> </w:t>
            </w:r>
          </w:p>
        </w:tc>
        <w:tc>
          <w:tcPr>
            <w:tcW w:w="716" w:type="dxa"/>
            <w:tcBorders/>
            <w:shd w:fill="auto" w:val="clear"/>
            <w:vAlign w:val="bottom"/>
          </w:tcPr>
          <w:p>
            <w:pPr>
              <w:pStyle w:val="TableContents"/>
              <w:spacing w:before="0" w:after="283"/>
              <w:jc w:val="right"/>
              <w:rPr/>
            </w:pPr>
            <w:r>
              <w:rPr/>
              <w:t> </w:t>
            </w:r>
          </w:p>
        </w:tc>
        <w:tc>
          <w:tcPr>
            <w:tcW w:w="200" w:type="dxa"/>
            <w:tcBorders/>
            <w:shd w:fill="auto" w:val="clear"/>
            <w:vAlign w:val="bottom"/>
          </w:tcPr>
          <w:p>
            <w:pPr>
              <w:pStyle w:val="TableContents"/>
              <w:spacing w:before="0" w:after="283"/>
              <w:jc w:val="left"/>
              <w:rPr/>
            </w:pPr>
            <w:r>
              <w:rPr/>
              <w:t> </w:t>
            </w:r>
          </w:p>
        </w:tc>
      </w:tr>
      <w:tr>
        <w:trPr/>
        <w:tc>
          <w:tcPr>
            <w:tcW w:w="3995" w:type="dxa"/>
            <w:tcBorders/>
            <w:shd w:fill="CCEE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Consolidated</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449,847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485"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13.24</w:t>
            </w:r>
          </w:p>
        </w:tc>
        <w:tc>
          <w:tcPr>
            <w:tcW w:w="18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right"/>
              <w:rPr/>
            </w:pPr>
            <w:r>
              <w:rPr/>
              <w:t> </w:t>
            </w:r>
          </w:p>
        </w:tc>
        <w:tc>
          <w:tcPr>
            <w:tcW w:w="141" w:type="dxa"/>
            <w:tcBorders/>
            <w:shd w:fill="CCEEFF" w:val="clear"/>
            <w:vAlign w:val="bottom"/>
          </w:tcPr>
          <w:p>
            <w:pPr>
              <w:pStyle w:val="TableContents"/>
              <w:spacing w:before="0" w:after="283"/>
              <w:jc w:val="left"/>
              <w:rPr/>
            </w:pPr>
            <w:r>
              <w:rPr/>
              <w:t> </w:t>
            </w:r>
          </w:p>
        </w:tc>
        <w:tc>
          <w:tcPr>
            <w:tcW w:w="788"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288,756</w:t>
            </w:r>
          </w:p>
        </w:tc>
        <w:tc>
          <w:tcPr>
            <w:tcW w:w="68" w:type="dxa"/>
            <w:tcBorders/>
            <w:shd w:fill="CCEEFF" w:val="clear"/>
            <w:vAlign w:val="bottom"/>
          </w:tcPr>
          <w:p>
            <w:pPr>
              <w:pStyle w:val="TableContents"/>
              <w:spacing w:before="0" w:after="283"/>
              <w:jc w:val="left"/>
              <w:rPr/>
            </w:pPr>
            <w:r>
              <w:rPr/>
              <w:t> </w:t>
            </w:r>
          </w:p>
        </w:tc>
        <w:tc>
          <w:tcPr>
            <w:tcW w:w="68" w:type="dxa"/>
            <w:tcBorders/>
            <w:shd w:fill="CCEEFF" w:val="clear"/>
            <w:vAlign w:val="bottom"/>
          </w:tcPr>
          <w:p>
            <w:pPr>
              <w:pStyle w:val="TableContents"/>
              <w:spacing w:before="0" w:after="283"/>
              <w:jc w:val="right"/>
              <w:rPr/>
            </w:pPr>
            <w:r>
              <w:rPr/>
              <w:t> </w:t>
            </w:r>
          </w:p>
        </w:tc>
        <w:tc>
          <w:tcPr>
            <w:tcW w:w="68" w:type="dxa"/>
            <w:tcBorders/>
            <w:shd w:fill="CCEEFF" w:val="clear"/>
            <w:vAlign w:val="bottom"/>
          </w:tcPr>
          <w:p>
            <w:pPr>
              <w:pStyle w:val="TableContents"/>
              <w:spacing w:before="0" w:after="283"/>
              <w:jc w:val="left"/>
              <w:rPr/>
            </w:pPr>
            <w:r>
              <w:rPr/>
              <w:t> </w:t>
            </w:r>
          </w:p>
        </w:tc>
        <w:tc>
          <w:tcPr>
            <w:tcW w:w="550"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8.50</w:t>
            </w:r>
          </w:p>
        </w:tc>
        <w:tc>
          <w:tcPr>
            <w:tcW w:w="18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right"/>
              <w:rPr/>
            </w:pPr>
            <w:r>
              <w:rPr/>
              <w:t> </w:t>
            </w:r>
          </w:p>
        </w:tc>
        <w:tc>
          <w:tcPr>
            <w:tcW w:w="184" w:type="dxa"/>
            <w:tcBorders/>
            <w:shd w:fill="CCEEFF" w:val="clear"/>
            <w:vAlign w:val="bottom"/>
          </w:tcPr>
          <w:p>
            <w:pPr>
              <w:pStyle w:val="TableContents"/>
              <w:spacing w:before="0" w:after="283"/>
              <w:jc w:val="left"/>
              <w:rPr/>
            </w:pPr>
            <w:r>
              <w:rPr/>
              <w:t> </w:t>
            </w:r>
          </w:p>
        </w:tc>
        <w:tc>
          <w:tcPr>
            <w:tcW w:w="1027"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N/A</w:t>
            </w:r>
          </w:p>
        </w:tc>
        <w:tc>
          <w:tcPr>
            <w:tcW w:w="88" w:type="dxa"/>
            <w:tcBorders/>
            <w:shd w:fill="CCEEFF" w:val="clear"/>
            <w:vAlign w:val="bottom"/>
          </w:tcPr>
          <w:p>
            <w:pPr>
              <w:pStyle w:val="TableContents"/>
              <w:spacing w:before="0" w:after="283"/>
              <w:jc w:val="left"/>
              <w:rPr/>
            </w:pPr>
            <w:r>
              <w:rPr/>
              <w:t> </w:t>
            </w:r>
          </w:p>
        </w:tc>
        <w:tc>
          <w:tcPr>
            <w:tcW w:w="88" w:type="dxa"/>
            <w:tcBorders/>
            <w:shd w:fill="CCEEFF" w:val="clear"/>
            <w:vAlign w:val="bottom"/>
          </w:tcPr>
          <w:p>
            <w:pPr>
              <w:pStyle w:val="TableContents"/>
              <w:spacing w:before="0" w:after="283"/>
              <w:jc w:val="right"/>
              <w:rPr/>
            </w:pPr>
            <w:r>
              <w:rPr/>
              <w:t> </w:t>
            </w:r>
          </w:p>
        </w:tc>
        <w:tc>
          <w:tcPr>
            <w:tcW w:w="88" w:type="dxa"/>
            <w:tcBorders/>
            <w:shd w:fill="CCEEFF" w:val="clear"/>
            <w:vAlign w:val="bottom"/>
          </w:tcPr>
          <w:p>
            <w:pPr>
              <w:pStyle w:val="TableContents"/>
              <w:spacing w:before="0" w:after="283"/>
              <w:jc w:val="left"/>
              <w:rPr/>
            </w:pPr>
            <w:r>
              <w:rPr/>
              <w:t> </w:t>
            </w:r>
          </w:p>
        </w:tc>
        <w:tc>
          <w:tcPr>
            <w:tcW w:w="716"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N/A</w:t>
            </w:r>
          </w:p>
        </w:tc>
        <w:tc>
          <w:tcPr>
            <w:tcW w:w="200" w:type="dxa"/>
            <w:tcBorders/>
            <w:shd w:fill="CCEEFF" w:val="clear"/>
            <w:vAlign w:val="bottom"/>
          </w:tcPr>
          <w:p>
            <w:pPr>
              <w:pStyle w:val="TableContents"/>
              <w:spacing w:before="0" w:after="283"/>
              <w:jc w:val="left"/>
              <w:rPr/>
            </w:pPr>
            <w:r>
              <w:rPr/>
              <w:t> </w:t>
            </w:r>
          </w:p>
        </w:tc>
      </w:tr>
      <w:tr>
        <w:trPr/>
        <w:tc>
          <w:tcPr>
            <w:tcW w:w="3995" w:type="dxa"/>
            <w:tcBorders/>
            <w:shd w:fill="auto"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City Bank</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419,948</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485"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12.37</w:t>
            </w:r>
          </w:p>
        </w:tc>
        <w:tc>
          <w:tcPr>
            <w:tcW w:w="185"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auto" w:val="clear"/>
            <w:vAlign w:val="bottom"/>
          </w:tcPr>
          <w:p>
            <w:pPr>
              <w:pStyle w:val="TableContents"/>
              <w:spacing w:before="0" w:after="283"/>
              <w:jc w:val="right"/>
              <w:rPr/>
            </w:pPr>
            <w:r>
              <w:rPr/>
              <w:t> </w:t>
            </w:r>
          </w:p>
        </w:tc>
        <w:tc>
          <w:tcPr>
            <w:tcW w:w="141" w:type="dxa"/>
            <w:tcBorders/>
            <w:shd w:fill="auto" w:val="clear"/>
            <w:vAlign w:val="bottom"/>
          </w:tcPr>
          <w:p>
            <w:pPr>
              <w:pStyle w:val="TableContents"/>
              <w:spacing w:before="0" w:after="283"/>
              <w:jc w:val="left"/>
              <w:rPr/>
            </w:pPr>
            <w:r>
              <w:rPr/>
              <w:t> </w:t>
            </w:r>
          </w:p>
        </w:tc>
        <w:tc>
          <w:tcPr>
            <w:tcW w:w="788"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288,651</w:t>
            </w:r>
          </w:p>
        </w:tc>
        <w:tc>
          <w:tcPr>
            <w:tcW w:w="68" w:type="dxa"/>
            <w:tcBorders/>
            <w:shd w:fill="auto" w:val="clear"/>
            <w:vAlign w:val="bottom"/>
          </w:tcPr>
          <w:p>
            <w:pPr>
              <w:pStyle w:val="TableContents"/>
              <w:spacing w:before="0" w:after="283"/>
              <w:jc w:val="left"/>
              <w:rPr/>
            </w:pPr>
            <w:r>
              <w:rPr/>
              <w:t> </w:t>
            </w:r>
          </w:p>
        </w:tc>
        <w:tc>
          <w:tcPr>
            <w:tcW w:w="68" w:type="dxa"/>
            <w:tcBorders/>
            <w:shd w:fill="auto" w:val="clear"/>
            <w:vAlign w:val="bottom"/>
          </w:tcPr>
          <w:p>
            <w:pPr>
              <w:pStyle w:val="TableContents"/>
              <w:spacing w:before="0" w:after="283"/>
              <w:jc w:val="right"/>
              <w:rPr/>
            </w:pPr>
            <w:r>
              <w:rPr/>
              <w:t> </w:t>
            </w:r>
          </w:p>
        </w:tc>
        <w:tc>
          <w:tcPr>
            <w:tcW w:w="68" w:type="dxa"/>
            <w:tcBorders/>
            <w:shd w:fill="auto" w:val="clear"/>
            <w:vAlign w:val="bottom"/>
          </w:tcPr>
          <w:p>
            <w:pPr>
              <w:pStyle w:val="TableContents"/>
              <w:spacing w:before="0" w:after="283"/>
              <w:jc w:val="left"/>
              <w:rPr/>
            </w:pPr>
            <w:r>
              <w:rPr/>
              <w:t> </w:t>
            </w:r>
          </w:p>
        </w:tc>
        <w:tc>
          <w:tcPr>
            <w:tcW w:w="550"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8.50</w:t>
            </w:r>
          </w:p>
        </w:tc>
        <w:tc>
          <w:tcPr>
            <w:tcW w:w="185"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auto" w:val="clear"/>
            <w:vAlign w:val="bottom"/>
          </w:tcPr>
          <w:p>
            <w:pPr>
              <w:pStyle w:val="TableContents"/>
              <w:spacing w:before="0" w:after="283"/>
              <w:jc w:val="right"/>
              <w:rPr/>
            </w:pPr>
            <w:r>
              <w:rPr/>
              <w:t> </w:t>
            </w:r>
          </w:p>
        </w:tc>
        <w:tc>
          <w:tcPr>
            <w:tcW w:w="184" w:type="dxa"/>
            <w:tcBorders/>
            <w:shd w:fill="auto" w:val="clear"/>
            <w:vAlign w:val="bottom"/>
          </w:tcPr>
          <w:p>
            <w:pPr>
              <w:pStyle w:val="TableContents"/>
              <w:spacing w:before="0" w:after="283"/>
              <w:jc w:val="left"/>
              <w:rPr/>
            </w:pPr>
            <w:r>
              <w:rPr/>
              <w:t> </w:t>
            </w:r>
          </w:p>
        </w:tc>
        <w:tc>
          <w:tcPr>
            <w:tcW w:w="1027"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271,671</w:t>
            </w:r>
          </w:p>
        </w:tc>
        <w:tc>
          <w:tcPr>
            <w:tcW w:w="88" w:type="dxa"/>
            <w:tcBorders/>
            <w:shd w:fill="auto" w:val="clear"/>
            <w:vAlign w:val="bottom"/>
          </w:tcPr>
          <w:p>
            <w:pPr>
              <w:pStyle w:val="TableContents"/>
              <w:spacing w:before="0" w:after="283"/>
              <w:jc w:val="left"/>
              <w:rPr/>
            </w:pPr>
            <w:r>
              <w:rPr/>
              <w:t> </w:t>
            </w:r>
          </w:p>
        </w:tc>
        <w:tc>
          <w:tcPr>
            <w:tcW w:w="88" w:type="dxa"/>
            <w:tcBorders/>
            <w:shd w:fill="auto" w:val="clear"/>
            <w:vAlign w:val="bottom"/>
          </w:tcPr>
          <w:p>
            <w:pPr>
              <w:pStyle w:val="TableContents"/>
              <w:spacing w:before="0" w:after="283"/>
              <w:jc w:val="right"/>
              <w:rPr/>
            </w:pPr>
            <w:r>
              <w:rPr/>
              <w:t> </w:t>
            </w:r>
          </w:p>
        </w:tc>
        <w:tc>
          <w:tcPr>
            <w:tcW w:w="88" w:type="dxa"/>
            <w:tcBorders/>
            <w:shd w:fill="auto" w:val="clear"/>
            <w:vAlign w:val="bottom"/>
          </w:tcPr>
          <w:p>
            <w:pPr>
              <w:pStyle w:val="TableContents"/>
              <w:spacing w:before="0" w:after="283"/>
              <w:jc w:val="left"/>
              <w:rPr/>
            </w:pPr>
            <w:r>
              <w:rPr/>
              <w:t> </w:t>
            </w:r>
          </w:p>
        </w:tc>
        <w:tc>
          <w:tcPr>
            <w:tcW w:w="716"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8.00</w:t>
            </w:r>
          </w:p>
        </w:tc>
        <w:tc>
          <w:tcPr>
            <w:tcW w:w="200"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r>
      <w:tr>
        <w:trPr/>
        <w:tc>
          <w:tcPr>
            <w:tcW w:w="39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485" w:type="dxa"/>
            <w:tcBorders/>
            <w:shd w:fill="CCEEFF" w:val="clear"/>
            <w:vAlign w:val="bottom"/>
          </w:tcPr>
          <w:p>
            <w:pPr>
              <w:pStyle w:val="TableContents"/>
              <w:spacing w:before="0" w:after="283"/>
              <w:jc w:val="right"/>
              <w:rPr/>
            </w:pPr>
            <w:r>
              <w:rPr/>
              <w:t> </w:t>
            </w:r>
          </w:p>
        </w:tc>
        <w:tc>
          <w:tcPr>
            <w:tcW w:w="18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1" w:type="dxa"/>
            <w:tcBorders/>
            <w:shd w:fill="CCEEFF" w:val="clear"/>
            <w:vAlign w:val="bottom"/>
          </w:tcPr>
          <w:p>
            <w:pPr>
              <w:pStyle w:val="TableContents"/>
              <w:spacing w:before="0" w:after="283"/>
              <w:jc w:val="left"/>
              <w:rPr/>
            </w:pPr>
            <w:r>
              <w:rPr/>
              <w:t> </w:t>
            </w:r>
          </w:p>
        </w:tc>
        <w:tc>
          <w:tcPr>
            <w:tcW w:w="788" w:type="dxa"/>
            <w:tcBorders/>
            <w:shd w:fill="CCEEFF" w:val="clear"/>
            <w:vAlign w:val="bottom"/>
          </w:tcPr>
          <w:p>
            <w:pPr>
              <w:pStyle w:val="TableContents"/>
              <w:spacing w:before="0" w:after="283"/>
              <w:jc w:val="right"/>
              <w:rPr/>
            </w:pPr>
            <w:r>
              <w:rPr/>
              <w:t> </w:t>
            </w:r>
          </w:p>
        </w:tc>
        <w:tc>
          <w:tcPr>
            <w:tcW w:w="68" w:type="dxa"/>
            <w:tcBorders/>
            <w:shd w:fill="CCEEFF" w:val="clear"/>
            <w:vAlign w:val="bottom"/>
          </w:tcPr>
          <w:p>
            <w:pPr>
              <w:pStyle w:val="TableContents"/>
              <w:spacing w:before="0" w:after="283"/>
              <w:jc w:val="left"/>
              <w:rPr/>
            </w:pPr>
            <w:r>
              <w:rPr/>
              <w:t> </w:t>
            </w:r>
          </w:p>
        </w:tc>
        <w:tc>
          <w:tcPr>
            <w:tcW w:w="68" w:type="dxa"/>
            <w:tcBorders/>
            <w:shd w:fill="CCEEFF" w:val="clear"/>
            <w:vAlign w:val="bottom"/>
          </w:tcPr>
          <w:p>
            <w:pPr>
              <w:pStyle w:val="TableContents"/>
              <w:spacing w:before="0" w:after="283"/>
              <w:jc w:val="right"/>
              <w:rPr/>
            </w:pPr>
            <w:r>
              <w:rPr/>
              <w:t> </w:t>
            </w:r>
          </w:p>
        </w:tc>
        <w:tc>
          <w:tcPr>
            <w:tcW w:w="68" w:type="dxa"/>
            <w:tcBorders/>
            <w:shd w:fill="CCEEFF" w:val="clear"/>
            <w:vAlign w:val="bottom"/>
          </w:tcPr>
          <w:p>
            <w:pPr>
              <w:pStyle w:val="TableContents"/>
              <w:spacing w:before="0" w:after="283"/>
              <w:jc w:val="left"/>
              <w:rPr/>
            </w:pPr>
            <w:r>
              <w:rPr/>
              <w:t> </w:t>
            </w:r>
          </w:p>
        </w:tc>
        <w:tc>
          <w:tcPr>
            <w:tcW w:w="550" w:type="dxa"/>
            <w:tcBorders/>
            <w:shd w:fill="CCEEFF" w:val="clear"/>
            <w:vAlign w:val="bottom"/>
          </w:tcPr>
          <w:p>
            <w:pPr>
              <w:pStyle w:val="TableContents"/>
              <w:spacing w:before="0" w:after="283"/>
              <w:jc w:val="right"/>
              <w:rPr/>
            </w:pPr>
            <w:r>
              <w:rPr/>
              <w:t> </w:t>
            </w:r>
          </w:p>
        </w:tc>
        <w:tc>
          <w:tcPr>
            <w:tcW w:w="18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4" w:type="dxa"/>
            <w:tcBorders/>
            <w:shd w:fill="CCEEFF" w:val="clear"/>
            <w:vAlign w:val="bottom"/>
          </w:tcPr>
          <w:p>
            <w:pPr>
              <w:pStyle w:val="TableContents"/>
              <w:spacing w:before="0" w:after="283"/>
              <w:jc w:val="left"/>
              <w:rPr/>
            </w:pPr>
            <w:r>
              <w:rPr/>
              <w:t> </w:t>
            </w:r>
          </w:p>
        </w:tc>
        <w:tc>
          <w:tcPr>
            <w:tcW w:w="1027" w:type="dxa"/>
            <w:tcBorders/>
            <w:shd w:fill="CCEEFF" w:val="clear"/>
            <w:vAlign w:val="bottom"/>
          </w:tcPr>
          <w:p>
            <w:pPr>
              <w:pStyle w:val="TableContents"/>
              <w:spacing w:before="0" w:after="283"/>
              <w:jc w:val="right"/>
              <w:rPr/>
            </w:pPr>
            <w:r>
              <w:rPr/>
              <w:t> </w:t>
            </w:r>
          </w:p>
        </w:tc>
        <w:tc>
          <w:tcPr>
            <w:tcW w:w="88" w:type="dxa"/>
            <w:tcBorders/>
            <w:shd w:fill="CCEEFF" w:val="clear"/>
            <w:vAlign w:val="bottom"/>
          </w:tcPr>
          <w:p>
            <w:pPr>
              <w:pStyle w:val="TableContents"/>
              <w:spacing w:before="0" w:after="283"/>
              <w:jc w:val="left"/>
              <w:rPr/>
            </w:pPr>
            <w:r>
              <w:rPr/>
              <w:t> </w:t>
            </w:r>
          </w:p>
        </w:tc>
        <w:tc>
          <w:tcPr>
            <w:tcW w:w="88" w:type="dxa"/>
            <w:tcBorders/>
            <w:shd w:fill="CCEEFF" w:val="clear"/>
            <w:vAlign w:val="bottom"/>
          </w:tcPr>
          <w:p>
            <w:pPr>
              <w:pStyle w:val="TableContents"/>
              <w:spacing w:before="0" w:after="283"/>
              <w:jc w:val="right"/>
              <w:rPr/>
            </w:pPr>
            <w:r>
              <w:rPr/>
              <w:t> </w:t>
            </w:r>
          </w:p>
        </w:tc>
        <w:tc>
          <w:tcPr>
            <w:tcW w:w="88" w:type="dxa"/>
            <w:tcBorders/>
            <w:shd w:fill="CCEEFF" w:val="clear"/>
            <w:vAlign w:val="bottom"/>
          </w:tcPr>
          <w:p>
            <w:pPr>
              <w:pStyle w:val="TableContents"/>
              <w:spacing w:before="0" w:after="283"/>
              <w:jc w:val="left"/>
              <w:rPr/>
            </w:pPr>
            <w:r>
              <w:rPr/>
              <w:t> </w:t>
            </w:r>
          </w:p>
        </w:tc>
        <w:tc>
          <w:tcPr>
            <w:tcW w:w="716" w:type="dxa"/>
            <w:tcBorders/>
            <w:shd w:fill="CCEEFF" w:val="clear"/>
            <w:vAlign w:val="bottom"/>
          </w:tcPr>
          <w:p>
            <w:pPr>
              <w:pStyle w:val="TableContents"/>
              <w:spacing w:before="0" w:after="283"/>
              <w:jc w:val="right"/>
              <w:rPr/>
            </w:pPr>
            <w:r>
              <w:rPr/>
              <w:t> </w:t>
            </w:r>
          </w:p>
        </w:tc>
        <w:tc>
          <w:tcPr>
            <w:tcW w:w="200" w:type="dxa"/>
            <w:tcBorders/>
            <w:shd w:fill="CCEEFF" w:val="clear"/>
            <w:vAlign w:val="bottom"/>
          </w:tcPr>
          <w:p>
            <w:pPr>
              <w:pStyle w:val="TableContents"/>
              <w:spacing w:before="0" w:after="283"/>
              <w:jc w:val="left"/>
              <w:rPr/>
            </w:pPr>
            <w:r>
              <w:rPr/>
              <w:t> </w:t>
            </w:r>
          </w:p>
        </w:tc>
      </w:tr>
      <w:tr>
        <w:trPr/>
        <w:tc>
          <w:tcPr>
            <w:tcW w:w="3995" w:type="dxa"/>
            <w:tcBorders/>
            <w:shd w:fill="auto"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Common Equity Tier 1 to Risk Weighted Assets:</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485" w:type="dxa"/>
            <w:tcBorders/>
            <w:shd w:fill="auto" w:val="clear"/>
            <w:vAlign w:val="bottom"/>
          </w:tcPr>
          <w:p>
            <w:pPr>
              <w:pStyle w:val="TableContents"/>
              <w:spacing w:before="0" w:after="283"/>
              <w:jc w:val="right"/>
              <w:rPr/>
            </w:pPr>
            <w:r>
              <w:rPr/>
              <w:t> </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1" w:type="dxa"/>
            <w:tcBorders/>
            <w:shd w:fill="auto" w:val="clear"/>
            <w:vAlign w:val="bottom"/>
          </w:tcPr>
          <w:p>
            <w:pPr>
              <w:pStyle w:val="TableContents"/>
              <w:spacing w:before="0" w:after="283"/>
              <w:jc w:val="left"/>
              <w:rPr/>
            </w:pPr>
            <w:r>
              <w:rPr/>
              <w:t> </w:t>
            </w:r>
          </w:p>
        </w:tc>
        <w:tc>
          <w:tcPr>
            <w:tcW w:w="788" w:type="dxa"/>
            <w:tcBorders/>
            <w:shd w:fill="auto" w:val="clear"/>
            <w:vAlign w:val="bottom"/>
          </w:tcPr>
          <w:p>
            <w:pPr>
              <w:pStyle w:val="TableContents"/>
              <w:spacing w:before="0" w:after="283"/>
              <w:jc w:val="right"/>
              <w:rPr/>
            </w:pPr>
            <w:r>
              <w:rPr/>
              <w:t> </w:t>
            </w:r>
          </w:p>
        </w:tc>
        <w:tc>
          <w:tcPr>
            <w:tcW w:w="68" w:type="dxa"/>
            <w:tcBorders/>
            <w:shd w:fill="auto" w:val="clear"/>
            <w:vAlign w:val="bottom"/>
          </w:tcPr>
          <w:p>
            <w:pPr>
              <w:pStyle w:val="TableContents"/>
              <w:spacing w:before="0" w:after="283"/>
              <w:jc w:val="left"/>
              <w:rPr/>
            </w:pPr>
            <w:r>
              <w:rPr/>
              <w:t> </w:t>
            </w:r>
          </w:p>
        </w:tc>
        <w:tc>
          <w:tcPr>
            <w:tcW w:w="68" w:type="dxa"/>
            <w:tcBorders/>
            <w:shd w:fill="auto" w:val="clear"/>
            <w:vAlign w:val="bottom"/>
          </w:tcPr>
          <w:p>
            <w:pPr>
              <w:pStyle w:val="TableContents"/>
              <w:spacing w:before="0" w:after="283"/>
              <w:jc w:val="right"/>
              <w:rPr/>
            </w:pPr>
            <w:r>
              <w:rPr/>
              <w:t> </w:t>
            </w:r>
          </w:p>
        </w:tc>
        <w:tc>
          <w:tcPr>
            <w:tcW w:w="68" w:type="dxa"/>
            <w:tcBorders/>
            <w:shd w:fill="auto" w:val="clear"/>
            <w:vAlign w:val="bottom"/>
          </w:tcPr>
          <w:p>
            <w:pPr>
              <w:pStyle w:val="TableContents"/>
              <w:spacing w:before="0" w:after="283"/>
              <w:jc w:val="left"/>
              <w:rPr/>
            </w:pPr>
            <w:r>
              <w:rPr/>
              <w:t> </w:t>
            </w:r>
          </w:p>
        </w:tc>
        <w:tc>
          <w:tcPr>
            <w:tcW w:w="550" w:type="dxa"/>
            <w:tcBorders/>
            <w:shd w:fill="auto" w:val="clear"/>
            <w:vAlign w:val="bottom"/>
          </w:tcPr>
          <w:p>
            <w:pPr>
              <w:pStyle w:val="TableContents"/>
              <w:spacing w:before="0" w:after="283"/>
              <w:jc w:val="right"/>
              <w:rPr/>
            </w:pPr>
            <w:r>
              <w:rPr/>
              <w:t> </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84" w:type="dxa"/>
            <w:tcBorders/>
            <w:shd w:fill="auto" w:val="clear"/>
            <w:vAlign w:val="bottom"/>
          </w:tcPr>
          <w:p>
            <w:pPr>
              <w:pStyle w:val="TableContents"/>
              <w:spacing w:before="0" w:after="283"/>
              <w:jc w:val="left"/>
              <w:rPr/>
            </w:pPr>
            <w:r>
              <w:rPr/>
              <w:t> </w:t>
            </w:r>
          </w:p>
        </w:tc>
        <w:tc>
          <w:tcPr>
            <w:tcW w:w="1027" w:type="dxa"/>
            <w:tcBorders/>
            <w:shd w:fill="auto" w:val="clear"/>
            <w:vAlign w:val="bottom"/>
          </w:tcPr>
          <w:p>
            <w:pPr>
              <w:pStyle w:val="TableContents"/>
              <w:spacing w:before="0" w:after="283"/>
              <w:jc w:val="right"/>
              <w:rPr/>
            </w:pPr>
            <w:r>
              <w:rPr/>
              <w:t> </w:t>
            </w:r>
          </w:p>
        </w:tc>
        <w:tc>
          <w:tcPr>
            <w:tcW w:w="88" w:type="dxa"/>
            <w:tcBorders/>
            <w:shd w:fill="auto" w:val="clear"/>
            <w:vAlign w:val="bottom"/>
          </w:tcPr>
          <w:p>
            <w:pPr>
              <w:pStyle w:val="TableContents"/>
              <w:spacing w:before="0" w:after="283"/>
              <w:jc w:val="left"/>
              <w:rPr/>
            </w:pPr>
            <w:r>
              <w:rPr/>
              <w:t> </w:t>
            </w:r>
          </w:p>
        </w:tc>
        <w:tc>
          <w:tcPr>
            <w:tcW w:w="88" w:type="dxa"/>
            <w:tcBorders/>
            <w:shd w:fill="auto" w:val="clear"/>
            <w:vAlign w:val="bottom"/>
          </w:tcPr>
          <w:p>
            <w:pPr>
              <w:pStyle w:val="TableContents"/>
              <w:spacing w:before="0" w:after="283"/>
              <w:jc w:val="right"/>
              <w:rPr/>
            </w:pPr>
            <w:r>
              <w:rPr/>
              <w:t> </w:t>
            </w:r>
          </w:p>
        </w:tc>
        <w:tc>
          <w:tcPr>
            <w:tcW w:w="88" w:type="dxa"/>
            <w:tcBorders/>
            <w:shd w:fill="auto" w:val="clear"/>
            <w:vAlign w:val="bottom"/>
          </w:tcPr>
          <w:p>
            <w:pPr>
              <w:pStyle w:val="TableContents"/>
              <w:spacing w:before="0" w:after="283"/>
              <w:jc w:val="left"/>
              <w:rPr/>
            </w:pPr>
            <w:r>
              <w:rPr/>
              <w:t> </w:t>
            </w:r>
          </w:p>
        </w:tc>
        <w:tc>
          <w:tcPr>
            <w:tcW w:w="716" w:type="dxa"/>
            <w:tcBorders/>
            <w:shd w:fill="auto" w:val="clear"/>
            <w:vAlign w:val="bottom"/>
          </w:tcPr>
          <w:p>
            <w:pPr>
              <w:pStyle w:val="TableContents"/>
              <w:spacing w:before="0" w:after="283"/>
              <w:jc w:val="right"/>
              <w:rPr/>
            </w:pPr>
            <w:r>
              <w:rPr/>
              <w:t> </w:t>
            </w:r>
          </w:p>
        </w:tc>
        <w:tc>
          <w:tcPr>
            <w:tcW w:w="200" w:type="dxa"/>
            <w:tcBorders/>
            <w:shd w:fill="auto" w:val="clear"/>
            <w:vAlign w:val="bottom"/>
          </w:tcPr>
          <w:p>
            <w:pPr>
              <w:pStyle w:val="TableContents"/>
              <w:spacing w:before="0" w:after="283"/>
              <w:jc w:val="left"/>
              <w:rPr/>
            </w:pPr>
            <w:r>
              <w:rPr/>
              <w:t> </w:t>
            </w:r>
          </w:p>
        </w:tc>
      </w:tr>
      <w:tr>
        <w:trPr/>
        <w:tc>
          <w:tcPr>
            <w:tcW w:w="3995" w:type="dxa"/>
            <w:tcBorders/>
            <w:shd w:fill="CCEE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Consolidated</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404,847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485"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11.92</w:t>
            </w:r>
          </w:p>
        </w:tc>
        <w:tc>
          <w:tcPr>
            <w:tcW w:w="18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right"/>
              <w:rPr/>
            </w:pPr>
            <w:r>
              <w:rPr/>
              <w:t> </w:t>
            </w:r>
          </w:p>
        </w:tc>
        <w:tc>
          <w:tcPr>
            <w:tcW w:w="141" w:type="dxa"/>
            <w:tcBorders/>
            <w:shd w:fill="CCEEFF" w:val="clear"/>
            <w:vAlign w:val="bottom"/>
          </w:tcPr>
          <w:p>
            <w:pPr>
              <w:pStyle w:val="TableContents"/>
              <w:spacing w:before="0" w:after="283"/>
              <w:jc w:val="left"/>
              <w:rPr/>
            </w:pPr>
            <w:r>
              <w:rPr/>
              <w:t> </w:t>
            </w:r>
          </w:p>
        </w:tc>
        <w:tc>
          <w:tcPr>
            <w:tcW w:w="788"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237,799</w:t>
            </w:r>
          </w:p>
        </w:tc>
        <w:tc>
          <w:tcPr>
            <w:tcW w:w="68" w:type="dxa"/>
            <w:tcBorders/>
            <w:shd w:fill="CCEEFF" w:val="clear"/>
            <w:vAlign w:val="bottom"/>
          </w:tcPr>
          <w:p>
            <w:pPr>
              <w:pStyle w:val="TableContents"/>
              <w:spacing w:before="0" w:after="283"/>
              <w:jc w:val="left"/>
              <w:rPr/>
            </w:pPr>
            <w:r>
              <w:rPr/>
              <w:t> </w:t>
            </w:r>
          </w:p>
        </w:tc>
        <w:tc>
          <w:tcPr>
            <w:tcW w:w="68" w:type="dxa"/>
            <w:tcBorders/>
            <w:shd w:fill="CCEEFF" w:val="clear"/>
            <w:vAlign w:val="bottom"/>
          </w:tcPr>
          <w:p>
            <w:pPr>
              <w:pStyle w:val="TableContents"/>
              <w:spacing w:before="0" w:after="283"/>
              <w:jc w:val="right"/>
              <w:rPr/>
            </w:pPr>
            <w:r>
              <w:rPr/>
              <w:t> </w:t>
            </w:r>
          </w:p>
        </w:tc>
        <w:tc>
          <w:tcPr>
            <w:tcW w:w="68" w:type="dxa"/>
            <w:tcBorders/>
            <w:shd w:fill="CCEEFF" w:val="clear"/>
            <w:vAlign w:val="bottom"/>
          </w:tcPr>
          <w:p>
            <w:pPr>
              <w:pStyle w:val="TableContents"/>
              <w:spacing w:before="0" w:after="283"/>
              <w:jc w:val="left"/>
              <w:rPr/>
            </w:pPr>
            <w:r>
              <w:rPr/>
              <w:t> </w:t>
            </w:r>
          </w:p>
        </w:tc>
        <w:tc>
          <w:tcPr>
            <w:tcW w:w="550"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7.00</w:t>
            </w:r>
          </w:p>
        </w:tc>
        <w:tc>
          <w:tcPr>
            <w:tcW w:w="18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right"/>
              <w:rPr/>
            </w:pPr>
            <w:r>
              <w:rPr/>
              <w:t> </w:t>
            </w:r>
          </w:p>
        </w:tc>
        <w:tc>
          <w:tcPr>
            <w:tcW w:w="184" w:type="dxa"/>
            <w:tcBorders/>
            <w:shd w:fill="CCEEFF" w:val="clear"/>
            <w:vAlign w:val="bottom"/>
          </w:tcPr>
          <w:p>
            <w:pPr>
              <w:pStyle w:val="TableContents"/>
              <w:spacing w:before="0" w:after="283"/>
              <w:jc w:val="left"/>
              <w:rPr/>
            </w:pPr>
            <w:r>
              <w:rPr/>
              <w:t> </w:t>
            </w:r>
          </w:p>
        </w:tc>
        <w:tc>
          <w:tcPr>
            <w:tcW w:w="1027"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N/A</w:t>
            </w:r>
          </w:p>
        </w:tc>
        <w:tc>
          <w:tcPr>
            <w:tcW w:w="88" w:type="dxa"/>
            <w:tcBorders/>
            <w:shd w:fill="CCEEFF" w:val="clear"/>
            <w:vAlign w:val="bottom"/>
          </w:tcPr>
          <w:p>
            <w:pPr>
              <w:pStyle w:val="TableContents"/>
              <w:spacing w:before="0" w:after="283"/>
              <w:jc w:val="left"/>
              <w:rPr/>
            </w:pPr>
            <w:r>
              <w:rPr/>
              <w:t> </w:t>
            </w:r>
          </w:p>
        </w:tc>
        <w:tc>
          <w:tcPr>
            <w:tcW w:w="88" w:type="dxa"/>
            <w:tcBorders/>
            <w:shd w:fill="CCEEFF" w:val="clear"/>
            <w:vAlign w:val="bottom"/>
          </w:tcPr>
          <w:p>
            <w:pPr>
              <w:pStyle w:val="TableContents"/>
              <w:spacing w:before="0" w:after="283"/>
              <w:jc w:val="right"/>
              <w:rPr/>
            </w:pPr>
            <w:r>
              <w:rPr/>
              <w:t> </w:t>
            </w:r>
          </w:p>
        </w:tc>
        <w:tc>
          <w:tcPr>
            <w:tcW w:w="88" w:type="dxa"/>
            <w:tcBorders/>
            <w:shd w:fill="CCEEFF" w:val="clear"/>
            <w:vAlign w:val="bottom"/>
          </w:tcPr>
          <w:p>
            <w:pPr>
              <w:pStyle w:val="TableContents"/>
              <w:spacing w:before="0" w:after="283"/>
              <w:jc w:val="left"/>
              <w:rPr/>
            </w:pPr>
            <w:r>
              <w:rPr/>
              <w:t> </w:t>
            </w:r>
          </w:p>
        </w:tc>
        <w:tc>
          <w:tcPr>
            <w:tcW w:w="716"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N/A</w:t>
            </w:r>
          </w:p>
        </w:tc>
        <w:tc>
          <w:tcPr>
            <w:tcW w:w="200" w:type="dxa"/>
            <w:tcBorders/>
            <w:shd w:fill="CCEEFF" w:val="clear"/>
            <w:vAlign w:val="bottom"/>
          </w:tcPr>
          <w:p>
            <w:pPr>
              <w:pStyle w:val="TableContents"/>
              <w:spacing w:before="0" w:after="283"/>
              <w:jc w:val="left"/>
              <w:rPr/>
            </w:pPr>
            <w:r>
              <w:rPr/>
              <w:t> </w:t>
            </w:r>
          </w:p>
        </w:tc>
      </w:tr>
      <w:tr>
        <w:trPr/>
        <w:tc>
          <w:tcPr>
            <w:tcW w:w="3995" w:type="dxa"/>
            <w:tcBorders/>
            <w:shd w:fill="auto"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City Bank</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419,948</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485"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12.37</w:t>
            </w:r>
          </w:p>
        </w:tc>
        <w:tc>
          <w:tcPr>
            <w:tcW w:w="185"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auto" w:val="clear"/>
            <w:vAlign w:val="bottom"/>
          </w:tcPr>
          <w:p>
            <w:pPr>
              <w:pStyle w:val="TableContents"/>
              <w:spacing w:before="0" w:after="283"/>
              <w:jc w:val="right"/>
              <w:rPr/>
            </w:pPr>
            <w:r>
              <w:rPr/>
              <w:t> </w:t>
            </w:r>
          </w:p>
        </w:tc>
        <w:tc>
          <w:tcPr>
            <w:tcW w:w="141" w:type="dxa"/>
            <w:tcBorders/>
            <w:shd w:fill="auto" w:val="clear"/>
            <w:vAlign w:val="bottom"/>
          </w:tcPr>
          <w:p>
            <w:pPr>
              <w:pStyle w:val="TableContents"/>
              <w:spacing w:before="0" w:after="283"/>
              <w:jc w:val="left"/>
              <w:rPr/>
            </w:pPr>
            <w:r>
              <w:rPr/>
              <w:t> </w:t>
            </w:r>
          </w:p>
        </w:tc>
        <w:tc>
          <w:tcPr>
            <w:tcW w:w="788"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237,712</w:t>
            </w:r>
          </w:p>
        </w:tc>
        <w:tc>
          <w:tcPr>
            <w:tcW w:w="68" w:type="dxa"/>
            <w:tcBorders/>
            <w:shd w:fill="auto" w:val="clear"/>
            <w:vAlign w:val="bottom"/>
          </w:tcPr>
          <w:p>
            <w:pPr>
              <w:pStyle w:val="TableContents"/>
              <w:spacing w:before="0" w:after="283"/>
              <w:jc w:val="left"/>
              <w:rPr/>
            </w:pPr>
            <w:r>
              <w:rPr/>
              <w:t> </w:t>
            </w:r>
          </w:p>
        </w:tc>
        <w:tc>
          <w:tcPr>
            <w:tcW w:w="68" w:type="dxa"/>
            <w:tcBorders/>
            <w:shd w:fill="auto" w:val="clear"/>
            <w:vAlign w:val="bottom"/>
          </w:tcPr>
          <w:p>
            <w:pPr>
              <w:pStyle w:val="TableContents"/>
              <w:spacing w:before="0" w:after="283"/>
              <w:jc w:val="right"/>
              <w:rPr/>
            </w:pPr>
            <w:r>
              <w:rPr/>
              <w:t> </w:t>
            </w:r>
          </w:p>
        </w:tc>
        <w:tc>
          <w:tcPr>
            <w:tcW w:w="68" w:type="dxa"/>
            <w:tcBorders/>
            <w:shd w:fill="auto" w:val="clear"/>
            <w:vAlign w:val="bottom"/>
          </w:tcPr>
          <w:p>
            <w:pPr>
              <w:pStyle w:val="TableContents"/>
              <w:spacing w:before="0" w:after="283"/>
              <w:jc w:val="left"/>
              <w:rPr/>
            </w:pPr>
            <w:r>
              <w:rPr/>
              <w:t> </w:t>
            </w:r>
          </w:p>
        </w:tc>
        <w:tc>
          <w:tcPr>
            <w:tcW w:w="550"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7.00</w:t>
            </w:r>
          </w:p>
        </w:tc>
        <w:tc>
          <w:tcPr>
            <w:tcW w:w="185"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auto" w:val="clear"/>
            <w:vAlign w:val="bottom"/>
          </w:tcPr>
          <w:p>
            <w:pPr>
              <w:pStyle w:val="TableContents"/>
              <w:spacing w:before="0" w:after="283"/>
              <w:jc w:val="right"/>
              <w:rPr/>
            </w:pPr>
            <w:r>
              <w:rPr/>
              <w:t> </w:t>
            </w:r>
          </w:p>
        </w:tc>
        <w:tc>
          <w:tcPr>
            <w:tcW w:w="184" w:type="dxa"/>
            <w:tcBorders/>
            <w:shd w:fill="auto" w:val="clear"/>
            <w:vAlign w:val="bottom"/>
          </w:tcPr>
          <w:p>
            <w:pPr>
              <w:pStyle w:val="TableContents"/>
              <w:spacing w:before="0" w:after="283"/>
              <w:jc w:val="left"/>
              <w:rPr/>
            </w:pPr>
            <w:r>
              <w:rPr/>
              <w:t> </w:t>
            </w:r>
          </w:p>
        </w:tc>
        <w:tc>
          <w:tcPr>
            <w:tcW w:w="1027"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220,733</w:t>
            </w:r>
          </w:p>
        </w:tc>
        <w:tc>
          <w:tcPr>
            <w:tcW w:w="88" w:type="dxa"/>
            <w:tcBorders/>
            <w:shd w:fill="auto" w:val="clear"/>
            <w:vAlign w:val="bottom"/>
          </w:tcPr>
          <w:p>
            <w:pPr>
              <w:pStyle w:val="TableContents"/>
              <w:spacing w:before="0" w:after="283"/>
              <w:jc w:val="left"/>
              <w:rPr/>
            </w:pPr>
            <w:r>
              <w:rPr/>
              <w:t> </w:t>
            </w:r>
          </w:p>
        </w:tc>
        <w:tc>
          <w:tcPr>
            <w:tcW w:w="88" w:type="dxa"/>
            <w:tcBorders/>
            <w:shd w:fill="auto" w:val="clear"/>
            <w:vAlign w:val="bottom"/>
          </w:tcPr>
          <w:p>
            <w:pPr>
              <w:pStyle w:val="TableContents"/>
              <w:spacing w:before="0" w:after="283"/>
              <w:jc w:val="right"/>
              <w:rPr/>
            </w:pPr>
            <w:r>
              <w:rPr/>
              <w:t> </w:t>
            </w:r>
          </w:p>
        </w:tc>
        <w:tc>
          <w:tcPr>
            <w:tcW w:w="88" w:type="dxa"/>
            <w:tcBorders/>
            <w:shd w:fill="auto" w:val="clear"/>
            <w:vAlign w:val="bottom"/>
          </w:tcPr>
          <w:p>
            <w:pPr>
              <w:pStyle w:val="TableContents"/>
              <w:spacing w:before="0" w:after="283"/>
              <w:jc w:val="left"/>
              <w:rPr/>
            </w:pPr>
            <w:r>
              <w:rPr/>
              <w:t> </w:t>
            </w:r>
          </w:p>
        </w:tc>
        <w:tc>
          <w:tcPr>
            <w:tcW w:w="716"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6.50</w:t>
            </w:r>
          </w:p>
        </w:tc>
        <w:tc>
          <w:tcPr>
            <w:tcW w:w="200"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r>
      <w:tr>
        <w:trPr/>
        <w:tc>
          <w:tcPr>
            <w:tcW w:w="39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485" w:type="dxa"/>
            <w:tcBorders/>
            <w:shd w:fill="CCEEFF" w:val="clear"/>
            <w:vAlign w:val="bottom"/>
          </w:tcPr>
          <w:p>
            <w:pPr>
              <w:pStyle w:val="TableContents"/>
              <w:spacing w:before="0" w:after="283"/>
              <w:jc w:val="right"/>
              <w:rPr/>
            </w:pPr>
            <w:r>
              <w:rPr/>
              <w:t> </w:t>
            </w:r>
          </w:p>
        </w:tc>
        <w:tc>
          <w:tcPr>
            <w:tcW w:w="18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1" w:type="dxa"/>
            <w:tcBorders/>
            <w:shd w:fill="CCEEFF" w:val="clear"/>
            <w:vAlign w:val="bottom"/>
          </w:tcPr>
          <w:p>
            <w:pPr>
              <w:pStyle w:val="TableContents"/>
              <w:spacing w:before="0" w:after="283"/>
              <w:jc w:val="left"/>
              <w:rPr/>
            </w:pPr>
            <w:r>
              <w:rPr/>
              <w:t> </w:t>
            </w:r>
          </w:p>
        </w:tc>
        <w:tc>
          <w:tcPr>
            <w:tcW w:w="788" w:type="dxa"/>
            <w:tcBorders/>
            <w:shd w:fill="CCEEFF" w:val="clear"/>
            <w:vAlign w:val="bottom"/>
          </w:tcPr>
          <w:p>
            <w:pPr>
              <w:pStyle w:val="TableContents"/>
              <w:spacing w:before="0" w:after="283"/>
              <w:jc w:val="right"/>
              <w:rPr/>
            </w:pPr>
            <w:r>
              <w:rPr/>
              <w:t> </w:t>
            </w:r>
          </w:p>
        </w:tc>
        <w:tc>
          <w:tcPr>
            <w:tcW w:w="68" w:type="dxa"/>
            <w:tcBorders/>
            <w:shd w:fill="CCEEFF" w:val="clear"/>
            <w:vAlign w:val="bottom"/>
          </w:tcPr>
          <w:p>
            <w:pPr>
              <w:pStyle w:val="TableContents"/>
              <w:spacing w:before="0" w:after="283"/>
              <w:jc w:val="left"/>
              <w:rPr/>
            </w:pPr>
            <w:r>
              <w:rPr/>
              <w:t> </w:t>
            </w:r>
          </w:p>
        </w:tc>
        <w:tc>
          <w:tcPr>
            <w:tcW w:w="68" w:type="dxa"/>
            <w:tcBorders/>
            <w:shd w:fill="CCEEFF" w:val="clear"/>
            <w:vAlign w:val="bottom"/>
          </w:tcPr>
          <w:p>
            <w:pPr>
              <w:pStyle w:val="TableContents"/>
              <w:spacing w:before="0" w:after="283"/>
              <w:jc w:val="right"/>
              <w:rPr/>
            </w:pPr>
            <w:r>
              <w:rPr/>
              <w:t> </w:t>
            </w:r>
          </w:p>
        </w:tc>
        <w:tc>
          <w:tcPr>
            <w:tcW w:w="68" w:type="dxa"/>
            <w:tcBorders/>
            <w:shd w:fill="CCEEFF" w:val="clear"/>
            <w:vAlign w:val="bottom"/>
          </w:tcPr>
          <w:p>
            <w:pPr>
              <w:pStyle w:val="TableContents"/>
              <w:spacing w:before="0" w:after="283"/>
              <w:jc w:val="left"/>
              <w:rPr/>
            </w:pPr>
            <w:r>
              <w:rPr/>
              <w:t> </w:t>
            </w:r>
          </w:p>
        </w:tc>
        <w:tc>
          <w:tcPr>
            <w:tcW w:w="550" w:type="dxa"/>
            <w:tcBorders/>
            <w:shd w:fill="CCEEFF" w:val="clear"/>
            <w:vAlign w:val="bottom"/>
          </w:tcPr>
          <w:p>
            <w:pPr>
              <w:pStyle w:val="TableContents"/>
              <w:spacing w:before="0" w:after="283"/>
              <w:jc w:val="right"/>
              <w:rPr/>
            </w:pPr>
            <w:r>
              <w:rPr/>
              <w:t> </w:t>
            </w:r>
          </w:p>
        </w:tc>
        <w:tc>
          <w:tcPr>
            <w:tcW w:w="18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4" w:type="dxa"/>
            <w:tcBorders/>
            <w:shd w:fill="CCEEFF" w:val="clear"/>
            <w:vAlign w:val="bottom"/>
          </w:tcPr>
          <w:p>
            <w:pPr>
              <w:pStyle w:val="TableContents"/>
              <w:spacing w:before="0" w:after="283"/>
              <w:jc w:val="left"/>
              <w:rPr/>
            </w:pPr>
            <w:r>
              <w:rPr/>
              <w:t> </w:t>
            </w:r>
          </w:p>
        </w:tc>
        <w:tc>
          <w:tcPr>
            <w:tcW w:w="1027" w:type="dxa"/>
            <w:tcBorders/>
            <w:shd w:fill="CCEEFF" w:val="clear"/>
            <w:vAlign w:val="bottom"/>
          </w:tcPr>
          <w:p>
            <w:pPr>
              <w:pStyle w:val="TableContents"/>
              <w:spacing w:before="0" w:after="283"/>
              <w:jc w:val="right"/>
              <w:rPr/>
            </w:pPr>
            <w:r>
              <w:rPr/>
              <w:t> </w:t>
            </w:r>
          </w:p>
        </w:tc>
        <w:tc>
          <w:tcPr>
            <w:tcW w:w="88" w:type="dxa"/>
            <w:tcBorders/>
            <w:shd w:fill="CCEEFF" w:val="clear"/>
            <w:vAlign w:val="bottom"/>
          </w:tcPr>
          <w:p>
            <w:pPr>
              <w:pStyle w:val="TableContents"/>
              <w:spacing w:before="0" w:after="283"/>
              <w:jc w:val="left"/>
              <w:rPr/>
            </w:pPr>
            <w:r>
              <w:rPr/>
              <w:t> </w:t>
            </w:r>
          </w:p>
        </w:tc>
        <w:tc>
          <w:tcPr>
            <w:tcW w:w="88" w:type="dxa"/>
            <w:tcBorders/>
            <w:shd w:fill="CCEEFF" w:val="clear"/>
            <w:vAlign w:val="bottom"/>
          </w:tcPr>
          <w:p>
            <w:pPr>
              <w:pStyle w:val="TableContents"/>
              <w:spacing w:before="0" w:after="283"/>
              <w:jc w:val="right"/>
              <w:rPr/>
            </w:pPr>
            <w:r>
              <w:rPr/>
              <w:t> </w:t>
            </w:r>
          </w:p>
        </w:tc>
        <w:tc>
          <w:tcPr>
            <w:tcW w:w="88" w:type="dxa"/>
            <w:tcBorders/>
            <w:shd w:fill="CCEEFF" w:val="clear"/>
            <w:vAlign w:val="bottom"/>
          </w:tcPr>
          <w:p>
            <w:pPr>
              <w:pStyle w:val="TableContents"/>
              <w:spacing w:before="0" w:after="283"/>
              <w:jc w:val="left"/>
              <w:rPr/>
            </w:pPr>
            <w:r>
              <w:rPr/>
              <w:t> </w:t>
            </w:r>
          </w:p>
        </w:tc>
        <w:tc>
          <w:tcPr>
            <w:tcW w:w="716" w:type="dxa"/>
            <w:tcBorders/>
            <w:shd w:fill="CCEEFF" w:val="clear"/>
            <w:vAlign w:val="bottom"/>
          </w:tcPr>
          <w:p>
            <w:pPr>
              <w:pStyle w:val="TableContents"/>
              <w:spacing w:before="0" w:after="283"/>
              <w:jc w:val="right"/>
              <w:rPr/>
            </w:pPr>
            <w:r>
              <w:rPr/>
              <w:t> </w:t>
            </w:r>
          </w:p>
        </w:tc>
        <w:tc>
          <w:tcPr>
            <w:tcW w:w="200" w:type="dxa"/>
            <w:tcBorders/>
            <w:shd w:fill="CCEEFF" w:val="clear"/>
            <w:vAlign w:val="bottom"/>
          </w:tcPr>
          <w:p>
            <w:pPr>
              <w:pStyle w:val="TableContents"/>
              <w:spacing w:before="0" w:after="283"/>
              <w:jc w:val="left"/>
              <w:rPr/>
            </w:pPr>
            <w:r>
              <w:rPr/>
              <w:t> </w:t>
            </w:r>
          </w:p>
        </w:tc>
      </w:tr>
      <w:tr>
        <w:trPr/>
        <w:tc>
          <w:tcPr>
            <w:tcW w:w="3995" w:type="dxa"/>
            <w:tcBorders/>
            <w:shd w:fill="auto"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Tier I Capital to Average Assets:</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485" w:type="dxa"/>
            <w:tcBorders/>
            <w:shd w:fill="auto" w:val="clear"/>
            <w:vAlign w:val="bottom"/>
          </w:tcPr>
          <w:p>
            <w:pPr>
              <w:pStyle w:val="TableContents"/>
              <w:spacing w:before="0" w:after="283"/>
              <w:jc w:val="right"/>
              <w:rPr/>
            </w:pPr>
            <w:r>
              <w:rPr/>
              <w:t> </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1" w:type="dxa"/>
            <w:tcBorders/>
            <w:shd w:fill="auto" w:val="clear"/>
            <w:vAlign w:val="bottom"/>
          </w:tcPr>
          <w:p>
            <w:pPr>
              <w:pStyle w:val="TableContents"/>
              <w:spacing w:before="0" w:after="283"/>
              <w:jc w:val="left"/>
              <w:rPr/>
            </w:pPr>
            <w:r>
              <w:rPr/>
              <w:t> </w:t>
            </w:r>
          </w:p>
        </w:tc>
        <w:tc>
          <w:tcPr>
            <w:tcW w:w="788" w:type="dxa"/>
            <w:tcBorders/>
            <w:shd w:fill="auto" w:val="clear"/>
            <w:vAlign w:val="bottom"/>
          </w:tcPr>
          <w:p>
            <w:pPr>
              <w:pStyle w:val="TableContents"/>
              <w:spacing w:before="0" w:after="283"/>
              <w:jc w:val="right"/>
              <w:rPr/>
            </w:pPr>
            <w:r>
              <w:rPr/>
              <w:t> </w:t>
            </w:r>
          </w:p>
        </w:tc>
        <w:tc>
          <w:tcPr>
            <w:tcW w:w="68" w:type="dxa"/>
            <w:tcBorders/>
            <w:shd w:fill="auto" w:val="clear"/>
            <w:vAlign w:val="bottom"/>
          </w:tcPr>
          <w:p>
            <w:pPr>
              <w:pStyle w:val="TableContents"/>
              <w:spacing w:before="0" w:after="283"/>
              <w:jc w:val="left"/>
              <w:rPr/>
            </w:pPr>
            <w:r>
              <w:rPr/>
              <w:t> </w:t>
            </w:r>
          </w:p>
        </w:tc>
        <w:tc>
          <w:tcPr>
            <w:tcW w:w="68" w:type="dxa"/>
            <w:tcBorders/>
            <w:shd w:fill="auto" w:val="clear"/>
            <w:vAlign w:val="bottom"/>
          </w:tcPr>
          <w:p>
            <w:pPr>
              <w:pStyle w:val="TableContents"/>
              <w:spacing w:before="0" w:after="283"/>
              <w:jc w:val="right"/>
              <w:rPr/>
            </w:pPr>
            <w:r>
              <w:rPr/>
              <w:t> </w:t>
            </w:r>
          </w:p>
        </w:tc>
        <w:tc>
          <w:tcPr>
            <w:tcW w:w="68" w:type="dxa"/>
            <w:tcBorders/>
            <w:shd w:fill="auto" w:val="clear"/>
            <w:vAlign w:val="bottom"/>
          </w:tcPr>
          <w:p>
            <w:pPr>
              <w:pStyle w:val="TableContents"/>
              <w:spacing w:before="0" w:after="283"/>
              <w:jc w:val="left"/>
              <w:rPr/>
            </w:pPr>
            <w:r>
              <w:rPr/>
              <w:t> </w:t>
            </w:r>
          </w:p>
        </w:tc>
        <w:tc>
          <w:tcPr>
            <w:tcW w:w="550" w:type="dxa"/>
            <w:tcBorders/>
            <w:shd w:fill="auto" w:val="clear"/>
            <w:vAlign w:val="bottom"/>
          </w:tcPr>
          <w:p>
            <w:pPr>
              <w:pStyle w:val="TableContents"/>
              <w:spacing w:before="0" w:after="283"/>
              <w:jc w:val="right"/>
              <w:rPr/>
            </w:pPr>
            <w:r>
              <w:rPr/>
              <w:t> </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84" w:type="dxa"/>
            <w:tcBorders/>
            <w:shd w:fill="auto" w:val="clear"/>
            <w:vAlign w:val="bottom"/>
          </w:tcPr>
          <w:p>
            <w:pPr>
              <w:pStyle w:val="TableContents"/>
              <w:spacing w:before="0" w:after="283"/>
              <w:jc w:val="left"/>
              <w:rPr/>
            </w:pPr>
            <w:r>
              <w:rPr/>
              <w:t> </w:t>
            </w:r>
          </w:p>
        </w:tc>
        <w:tc>
          <w:tcPr>
            <w:tcW w:w="1027" w:type="dxa"/>
            <w:tcBorders/>
            <w:shd w:fill="auto" w:val="clear"/>
            <w:vAlign w:val="bottom"/>
          </w:tcPr>
          <w:p>
            <w:pPr>
              <w:pStyle w:val="TableContents"/>
              <w:spacing w:before="0" w:after="283"/>
              <w:jc w:val="right"/>
              <w:rPr/>
            </w:pPr>
            <w:r>
              <w:rPr/>
              <w:t> </w:t>
            </w:r>
          </w:p>
        </w:tc>
        <w:tc>
          <w:tcPr>
            <w:tcW w:w="88" w:type="dxa"/>
            <w:tcBorders/>
            <w:shd w:fill="auto" w:val="clear"/>
            <w:vAlign w:val="bottom"/>
          </w:tcPr>
          <w:p>
            <w:pPr>
              <w:pStyle w:val="TableContents"/>
              <w:spacing w:before="0" w:after="283"/>
              <w:jc w:val="left"/>
              <w:rPr/>
            </w:pPr>
            <w:r>
              <w:rPr/>
              <w:t> </w:t>
            </w:r>
          </w:p>
        </w:tc>
        <w:tc>
          <w:tcPr>
            <w:tcW w:w="88" w:type="dxa"/>
            <w:tcBorders/>
            <w:shd w:fill="auto" w:val="clear"/>
            <w:vAlign w:val="bottom"/>
          </w:tcPr>
          <w:p>
            <w:pPr>
              <w:pStyle w:val="TableContents"/>
              <w:spacing w:before="0" w:after="283"/>
              <w:jc w:val="right"/>
              <w:rPr/>
            </w:pPr>
            <w:r>
              <w:rPr/>
              <w:t> </w:t>
            </w:r>
          </w:p>
        </w:tc>
        <w:tc>
          <w:tcPr>
            <w:tcW w:w="88" w:type="dxa"/>
            <w:tcBorders/>
            <w:shd w:fill="auto" w:val="clear"/>
            <w:vAlign w:val="bottom"/>
          </w:tcPr>
          <w:p>
            <w:pPr>
              <w:pStyle w:val="TableContents"/>
              <w:spacing w:before="0" w:after="283"/>
              <w:jc w:val="left"/>
              <w:rPr/>
            </w:pPr>
            <w:r>
              <w:rPr/>
              <w:t> </w:t>
            </w:r>
          </w:p>
        </w:tc>
        <w:tc>
          <w:tcPr>
            <w:tcW w:w="716" w:type="dxa"/>
            <w:tcBorders/>
            <w:shd w:fill="auto" w:val="clear"/>
            <w:vAlign w:val="bottom"/>
          </w:tcPr>
          <w:p>
            <w:pPr>
              <w:pStyle w:val="TableContents"/>
              <w:spacing w:before="0" w:after="283"/>
              <w:jc w:val="right"/>
              <w:rPr/>
            </w:pPr>
            <w:r>
              <w:rPr/>
              <w:t> </w:t>
            </w:r>
          </w:p>
        </w:tc>
        <w:tc>
          <w:tcPr>
            <w:tcW w:w="200" w:type="dxa"/>
            <w:tcBorders/>
            <w:shd w:fill="auto" w:val="clear"/>
            <w:vAlign w:val="bottom"/>
          </w:tcPr>
          <w:p>
            <w:pPr>
              <w:pStyle w:val="TableContents"/>
              <w:spacing w:before="0" w:after="283"/>
              <w:jc w:val="left"/>
              <w:rPr/>
            </w:pPr>
            <w:r>
              <w:rPr/>
              <w:t> </w:t>
            </w:r>
          </w:p>
        </w:tc>
      </w:tr>
      <w:tr>
        <w:trPr/>
        <w:tc>
          <w:tcPr>
            <w:tcW w:w="3995" w:type="dxa"/>
            <w:tcBorders/>
            <w:shd w:fill="CCEE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Consolidated</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449,847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485"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11.22</w:t>
            </w:r>
          </w:p>
        </w:tc>
        <w:tc>
          <w:tcPr>
            <w:tcW w:w="18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right"/>
              <w:rPr/>
            </w:pPr>
            <w:r>
              <w:rPr/>
              <w:t> </w:t>
            </w:r>
          </w:p>
        </w:tc>
        <w:tc>
          <w:tcPr>
            <w:tcW w:w="141" w:type="dxa"/>
            <w:tcBorders/>
            <w:shd w:fill="CCEEFF" w:val="clear"/>
            <w:vAlign w:val="bottom"/>
          </w:tcPr>
          <w:p>
            <w:pPr>
              <w:pStyle w:val="TableContents"/>
              <w:spacing w:before="0" w:after="283"/>
              <w:jc w:val="left"/>
              <w:rPr/>
            </w:pPr>
            <w:r>
              <w:rPr/>
              <w:t> </w:t>
            </w:r>
          </w:p>
        </w:tc>
        <w:tc>
          <w:tcPr>
            <w:tcW w:w="788"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161,253</w:t>
            </w:r>
          </w:p>
        </w:tc>
        <w:tc>
          <w:tcPr>
            <w:tcW w:w="68" w:type="dxa"/>
            <w:tcBorders/>
            <w:shd w:fill="CCEEFF" w:val="clear"/>
            <w:vAlign w:val="bottom"/>
          </w:tcPr>
          <w:p>
            <w:pPr>
              <w:pStyle w:val="TableContents"/>
              <w:spacing w:before="0" w:after="283"/>
              <w:jc w:val="left"/>
              <w:rPr/>
            </w:pPr>
            <w:r>
              <w:rPr/>
              <w:t> </w:t>
            </w:r>
          </w:p>
        </w:tc>
        <w:tc>
          <w:tcPr>
            <w:tcW w:w="68" w:type="dxa"/>
            <w:tcBorders/>
            <w:shd w:fill="CCEEFF" w:val="clear"/>
            <w:vAlign w:val="bottom"/>
          </w:tcPr>
          <w:p>
            <w:pPr>
              <w:pStyle w:val="TableContents"/>
              <w:spacing w:before="0" w:after="283"/>
              <w:jc w:val="right"/>
              <w:rPr/>
            </w:pPr>
            <w:r>
              <w:rPr/>
              <w:t> </w:t>
            </w:r>
          </w:p>
        </w:tc>
        <w:tc>
          <w:tcPr>
            <w:tcW w:w="68" w:type="dxa"/>
            <w:tcBorders/>
            <w:shd w:fill="CCEEFF" w:val="clear"/>
            <w:vAlign w:val="bottom"/>
          </w:tcPr>
          <w:p>
            <w:pPr>
              <w:pStyle w:val="TableContents"/>
              <w:spacing w:before="0" w:after="283"/>
              <w:jc w:val="left"/>
              <w:rPr/>
            </w:pPr>
            <w:r>
              <w:rPr/>
              <w:t> </w:t>
            </w:r>
          </w:p>
        </w:tc>
        <w:tc>
          <w:tcPr>
            <w:tcW w:w="550"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4.00</w:t>
            </w:r>
          </w:p>
        </w:tc>
        <w:tc>
          <w:tcPr>
            <w:tcW w:w="18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right"/>
              <w:rPr/>
            </w:pPr>
            <w:r>
              <w:rPr/>
              <w:t> </w:t>
            </w:r>
          </w:p>
        </w:tc>
        <w:tc>
          <w:tcPr>
            <w:tcW w:w="184" w:type="dxa"/>
            <w:tcBorders/>
            <w:shd w:fill="CCEEFF" w:val="clear"/>
            <w:vAlign w:val="bottom"/>
          </w:tcPr>
          <w:p>
            <w:pPr>
              <w:pStyle w:val="TableContents"/>
              <w:spacing w:before="0" w:after="283"/>
              <w:jc w:val="left"/>
              <w:rPr/>
            </w:pPr>
            <w:r>
              <w:rPr/>
              <w:t> </w:t>
            </w:r>
          </w:p>
        </w:tc>
        <w:tc>
          <w:tcPr>
            <w:tcW w:w="1027"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N/A</w:t>
            </w:r>
          </w:p>
        </w:tc>
        <w:tc>
          <w:tcPr>
            <w:tcW w:w="88" w:type="dxa"/>
            <w:tcBorders/>
            <w:shd w:fill="CCEEFF" w:val="clear"/>
            <w:vAlign w:val="bottom"/>
          </w:tcPr>
          <w:p>
            <w:pPr>
              <w:pStyle w:val="TableContents"/>
              <w:spacing w:before="0" w:after="283"/>
              <w:jc w:val="left"/>
              <w:rPr/>
            </w:pPr>
            <w:r>
              <w:rPr/>
              <w:t> </w:t>
            </w:r>
          </w:p>
        </w:tc>
        <w:tc>
          <w:tcPr>
            <w:tcW w:w="88" w:type="dxa"/>
            <w:tcBorders/>
            <w:shd w:fill="CCEEFF" w:val="clear"/>
            <w:vAlign w:val="bottom"/>
          </w:tcPr>
          <w:p>
            <w:pPr>
              <w:pStyle w:val="TableContents"/>
              <w:spacing w:before="0" w:after="283"/>
              <w:jc w:val="right"/>
              <w:rPr/>
            </w:pPr>
            <w:r>
              <w:rPr/>
              <w:t> </w:t>
            </w:r>
          </w:p>
        </w:tc>
        <w:tc>
          <w:tcPr>
            <w:tcW w:w="88" w:type="dxa"/>
            <w:tcBorders/>
            <w:shd w:fill="CCEEFF" w:val="clear"/>
            <w:vAlign w:val="bottom"/>
          </w:tcPr>
          <w:p>
            <w:pPr>
              <w:pStyle w:val="TableContents"/>
              <w:spacing w:before="0" w:after="283"/>
              <w:jc w:val="left"/>
              <w:rPr/>
            </w:pPr>
            <w:r>
              <w:rPr/>
              <w:t> </w:t>
            </w:r>
          </w:p>
        </w:tc>
        <w:tc>
          <w:tcPr>
            <w:tcW w:w="716"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N/A</w:t>
            </w:r>
          </w:p>
        </w:tc>
        <w:tc>
          <w:tcPr>
            <w:tcW w:w="200" w:type="dxa"/>
            <w:tcBorders/>
            <w:shd w:fill="CCEEFF" w:val="clear"/>
            <w:vAlign w:val="bottom"/>
          </w:tcPr>
          <w:p>
            <w:pPr>
              <w:pStyle w:val="TableContents"/>
              <w:spacing w:before="0" w:after="283"/>
              <w:jc w:val="left"/>
              <w:rPr/>
            </w:pPr>
            <w:r>
              <w:rPr/>
              <w:t> </w:t>
            </w:r>
          </w:p>
        </w:tc>
      </w:tr>
      <w:tr>
        <w:trPr/>
        <w:tc>
          <w:tcPr>
            <w:tcW w:w="3995" w:type="dxa"/>
            <w:tcBorders/>
            <w:shd w:fill="auto"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City Bank</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419,948</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485"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10.48</w:t>
            </w:r>
          </w:p>
        </w:tc>
        <w:tc>
          <w:tcPr>
            <w:tcW w:w="185"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auto" w:val="clear"/>
            <w:vAlign w:val="bottom"/>
          </w:tcPr>
          <w:p>
            <w:pPr>
              <w:pStyle w:val="TableContents"/>
              <w:spacing w:before="0" w:after="283"/>
              <w:jc w:val="right"/>
              <w:rPr/>
            </w:pPr>
            <w:r>
              <w:rPr/>
              <w:t> </w:t>
            </w:r>
          </w:p>
        </w:tc>
        <w:tc>
          <w:tcPr>
            <w:tcW w:w="141" w:type="dxa"/>
            <w:tcBorders/>
            <w:shd w:fill="auto" w:val="clear"/>
            <w:vAlign w:val="bottom"/>
          </w:tcPr>
          <w:p>
            <w:pPr>
              <w:pStyle w:val="TableContents"/>
              <w:spacing w:before="0" w:after="283"/>
              <w:jc w:val="left"/>
              <w:rPr/>
            </w:pPr>
            <w:r>
              <w:rPr/>
              <w:t> </w:t>
            </w:r>
          </w:p>
        </w:tc>
        <w:tc>
          <w:tcPr>
            <w:tcW w:w="788"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161,166</w:t>
            </w:r>
          </w:p>
        </w:tc>
        <w:tc>
          <w:tcPr>
            <w:tcW w:w="68" w:type="dxa"/>
            <w:tcBorders/>
            <w:shd w:fill="auto" w:val="clear"/>
            <w:vAlign w:val="bottom"/>
          </w:tcPr>
          <w:p>
            <w:pPr>
              <w:pStyle w:val="TableContents"/>
              <w:spacing w:before="0" w:after="283"/>
              <w:jc w:val="left"/>
              <w:rPr/>
            </w:pPr>
            <w:r>
              <w:rPr/>
              <w:t> </w:t>
            </w:r>
          </w:p>
        </w:tc>
        <w:tc>
          <w:tcPr>
            <w:tcW w:w="68" w:type="dxa"/>
            <w:tcBorders/>
            <w:shd w:fill="auto" w:val="clear"/>
            <w:vAlign w:val="bottom"/>
          </w:tcPr>
          <w:p>
            <w:pPr>
              <w:pStyle w:val="TableContents"/>
              <w:spacing w:before="0" w:after="283"/>
              <w:jc w:val="right"/>
              <w:rPr/>
            </w:pPr>
            <w:r>
              <w:rPr/>
              <w:t> </w:t>
            </w:r>
          </w:p>
        </w:tc>
        <w:tc>
          <w:tcPr>
            <w:tcW w:w="68" w:type="dxa"/>
            <w:tcBorders/>
            <w:shd w:fill="auto" w:val="clear"/>
            <w:vAlign w:val="bottom"/>
          </w:tcPr>
          <w:p>
            <w:pPr>
              <w:pStyle w:val="TableContents"/>
              <w:spacing w:before="0" w:after="283"/>
              <w:jc w:val="left"/>
              <w:rPr/>
            </w:pPr>
            <w:r>
              <w:rPr/>
              <w:t> </w:t>
            </w:r>
          </w:p>
        </w:tc>
        <w:tc>
          <w:tcPr>
            <w:tcW w:w="550"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4.00</w:t>
            </w:r>
          </w:p>
        </w:tc>
        <w:tc>
          <w:tcPr>
            <w:tcW w:w="185"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auto" w:val="clear"/>
            <w:vAlign w:val="bottom"/>
          </w:tcPr>
          <w:p>
            <w:pPr>
              <w:pStyle w:val="TableContents"/>
              <w:spacing w:before="0" w:after="283"/>
              <w:jc w:val="right"/>
              <w:rPr/>
            </w:pPr>
            <w:r>
              <w:rPr/>
              <w:t> </w:t>
            </w:r>
          </w:p>
        </w:tc>
        <w:tc>
          <w:tcPr>
            <w:tcW w:w="184" w:type="dxa"/>
            <w:tcBorders/>
            <w:shd w:fill="auto" w:val="clear"/>
            <w:vAlign w:val="bottom"/>
          </w:tcPr>
          <w:p>
            <w:pPr>
              <w:pStyle w:val="TableContents"/>
              <w:spacing w:before="0" w:after="283"/>
              <w:jc w:val="left"/>
              <w:rPr/>
            </w:pPr>
            <w:r>
              <w:rPr/>
              <w:t> </w:t>
            </w:r>
          </w:p>
        </w:tc>
        <w:tc>
          <w:tcPr>
            <w:tcW w:w="1027"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200,282</w:t>
            </w:r>
          </w:p>
        </w:tc>
        <w:tc>
          <w:tcPr>
            <w:tcW w:w="88" w:type="dxa"/>
            <w:tcBorders/>
            <w:shd w:fill="auto" w:val="clear"/>
            <w:vAlign w:val="bottom"/>
          </w:tcPr>
          <w:p>
            <w:pPr>
              <w:pStyle w:val="TableContents"/>
              <w:spacing w:before="0" w:after="283"/>
              <w:jc w:val="left"/>
              <w:rPr/>
            </w:pPr>
            <w:r>
              <w:rPr/>
              <w:t> </w:t>
            </w:r>
          </w:p>
        </w:tc>
        <w:tc>
          <w:tcPr>
            <w:tcW w:w="88" w:type="dxa"/>
            <w:tcBorders/>
            <w:shd w:fill="auto" w:val="clear"/>
            <w:vAlign w:val="bottom"/>
          </w:tcPr>
          <w:p>
            <w:pPr>
              <w:pStyle w:val="TableContents"/>
              <w:spacing w:before="0" w:after="283"/>
              <w:jc w:val="right"/>
              <w:rPr/>
            </w:pPr>
            <w:r>
              <w:rPr/>
              <w:t> </w:t>
            </w:r>
          </w:p>
        </w:tc>
        <w:tc>
          <w:tcPr>
            <w:tcW w:w="88" w:type="dxa"/>
            <w:tcBorders/>
            <w:shd w:fill="auto" w:val="clear"/>
            <w:vAlign w:val="bottom"/>
          </w:tcPr>
          <w:p>
            <w:pPr>
              <w:pStyle w:val="TableContents"/>
              <w:spacing w:before="0" w:after="283"/>
              <w:jc w:val="left"/>
              <w:rPr/>
            </w:pPr>
            <w:r>
              <w:rPr/>
              <w:t> </w:t>
            </w:r>
          </w:p>
        </w:tc>
        <w:tc>
          <w:tcPr>
            <w:tcW w:w="716"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5.00</w:t>
            </w:r>
          </w:p>
        </w:tc>
        <w:tc>
          <w:tcPr>
            <w:tcW w:w="200"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r>
      <w:tr>
        <w:trPr/>
        <w:tc>
          <w:tcPr>
            <w:tcW w:w="39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485" w:type="dxa"/>
            <w:tcBorders/>
            <w:shd w:fill="CCEEFF" w:val="clear"/>
            <w:vAlign w:val="bottom"/>
          </w:tcPr>
          <w:p>
            <w:pPr>
              <w:pStyle w:val="TableContents"/>
              <w:spacing w:before="0" w:after="283"/>
              <w:jc w:val="right"/>
              <w:rPr/>
            </w:pPr>
            <w:r>
              <w:rPr/>
              <w:t> </w:t>
            </w:r>
          </w:p>
        </w:tc>
        <w:tc>
          <w:tcPr>
            <w:tcW w:w="18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1" w:type="dxa"/>
            <w:tcBorders/>
            <w:shd w:fill="CCEEFF" w:val="clear"/>
            <w:vAlign w:val="bottom"/>
          </w:tcPr>
          <w:p>
            <w:pPr>
              <w:pStyle w:val="TableContents"/>
              <w:spacing w:before="0" w:after="283"/>
              <w:jc w:val="left"/>
              <w:rPr/>
            </w:pPr>
            <w:r>
              <w:rPr/>
              <w:t> </w:t>
            </w:r>
          </w:p>
        </w:tc>
        <w:tc>
          <w:tcPr>
            <w:tcW w:w="788" w:type="dxa"/>
            <w:tcBorders/>
            <w:shd w:fill="CCEEFF" w:val="clear"/>
            <w:vAlign w:val="bottom"/>
          </w:tcPr>
          <w:p>
            <w:pPr>
              <w:pStyle w:val="TableContents"/>
              <w:spacing w:before="0" w:after="283"/>
              <w:jc w:val="right"/>
              <w:rPr/>
            </w:pPr>
            <w:r>
              <w:rPr/>
              <w:t> </w:t>
            </w:r>
          </w:p>
        </w:tc>
        <w:tc>
          <w:tcPr>
            <w:tcW w:w="68" w:type="dxa"/>
            <w:tcBorders/>
            <w:shd w:fill="CCEEFF" w:val="clear"/>
            <w:vAlign w:val="bottom"/>
          </w:tcPr>
          <w:p>
            <w:pPr>
              <w:pStyle w:val="TableContents"/>
              <w:spacing w:before="0" w:after="283"/>
              <w:jc w:val="left"/>
              <w:rPr/>
            </w:pPr>
            <w:r>
              <w:rPr/>
              <w:t> </w:t>
            </w:r>
          </w:p>
        </w:tc>
        <w:tc>
          <w:tcPr>
            <w:tcW w:w="68" w:type="dxa"/>
            <w:tcBorders/>
            <w:shd w:fill="CCEEFF" w:val="clear"/>
            <w:vAlign w:val="bottom"/>
          </w:tcPr>
          <w:p>
            <w:pPr>
              <w:pStyle w:val="TableContents"/>
              <w:spacing w:before="0" w:after="283"/>
              <w:jc w:val="right"/>
              <w:rPr/>
            </w:pPr>
            <w:r>
              <w:rPr/>
              <w:t> </w:t>
            </w:r>
          </w:p>
        </w:tc>
        <w:tc>
          <w:tcPr>
            <w:tcW w:w="68" w:type="dxa"/>
            <w:tcBorders/>
            <w:shd w:fill="CCEEFF" w:val="clear"/>
            <w:vAlign w:val="bottom"/>
          </w:tcPr>
          <w:p>
            <w:pPr>
              <w:pStyle w:val="TableContents"/>
              <w:spacing w:before="0" w:after="283"/>
              <w:jc w:val="left"/>
              <w:rPr/>
            </w:pPr>
            <w:r>
              <w:rPr/>
              <w:t> </w:t>
            </w:r>
          </w:p>
        </w:tc>
        <w:tc>
          <w:tcPr>
            <w:tcW w:w="550" w:type="dxa"/>
            <w:tcBorders/>
            <w:shd w:fill="CCEEFF" w:val="clear"/>
            <w:vAlign w:val="bottom"/>
          </w:tcPr>
          <w:p>
            <w:pPr>
              <w:pStyle w:val="TableContents"/>
              <w:spacing w:before="0" w:after="283"/>
              <w:jc w:val="right"/>
              <w:rPr/>
            </w:pPr>
            <w:r>
              <w:rPr/>
              <w:t> </w:t>
            </w:r>
          </w:p>
        </w:tc>
        <w:tc>
          <w:tcPr>
            <w:tcW w:w="18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4" w:type="dxa"/>
            <w:tcBorders/>
            <w:shd w:fill="CCEEFF" w:val="clear"/>
            <w:vAlign w:val="bottom"/>
          </w:tcPr>
          <w:p>
            <w:pPr>
              <w:pStyle w:val="TableContents"/>
              <w:spacing w:before="0" w:after="283"/>
              <w:jc w:val="left"/>
              <w:rPr/>
            </w:pPr>
            <w:r>
              <w:rPr/>
              <w:t> </w:t>
            </w:r>
          </w:p>
        </w:tc>
        <w:tc>
          <w:tcPr>
            <w:tcW w:w="1027" w:type="dxa"/>
            <w:tcBorders/>
            <w:shd w:fill="CCEEFF" w:val="clear"/>
            <w:vAlign w:val="bottom"/>
          </w:tcPr>
          <w:p>
            <w:pPr>
              <w:pStyle w:val="TableContents"/>
              <w:spacing w:before="0" w:after="283"/>
              <w:jc w:val="right"/>
              <w:rPr/>
            </w:pPr>
            <w:r>
              <w:rPr/>
              <w:t> </w:t>
            </w:r>
          </w:p>
        </w:tc>
        <w:tc>
          <w:tcPr>
            <w:tcW w:w="88" w:type="dxa"/>
            <w:tcBorders/>
            <w:shd w:fill="CCEEFF" w:val="clear"/>
            <w:vAlign w:val="bottom"/>
          </w:tcPr>
          <w:p>
            <w:pPr>
              <w:pStyle w:val="TableContents"/>
              <w:spacing w:before="0" w:after="283"/>
              <w:jc w:val="left"/>
              <w:rPr/>
            </w:pPr>
            <w:r>
              <w:rPr/>
              <w:t> </w:t>
            </w:r>
          </w:p>
        </w:tc>
        <w:tc>
          <w:tcPr>
            <w:tcW w:w="88" w:type="dxa"/>
            <w:tcBorders/>
            <w:shd w:fill="CCEEFF" w:val="clear"/>
            <w:vAlign w:val="bottom"/>
          </w:tcPr>
          <w:p>
            <w:pPr>
              <w:pStyle w:val="TableContents"/>
              <w:spacing w:before="0" w:after="283"/>
              <w:jc w:val="right"/>
              <w:rPr/>
            </w:pPr>
            <w:r>
              <w:rPr/>
              <w:t> </w:t>
            </w:r>
          </w:p>
        </w:tc>
        <w:tc>
          <w:tcPr>
            <w:tcW w:w="88" w:type="dxa"/>
            <w:tcBorders/>
            <w:shd w:fill="CCEEFF" w:val="clear"/>
            <w:vAlign w:val="bottom"/>
          </w:tcPr>
          <w:p>
            <w:pPr>
              <w:pStyle w:val="TableContents"/>
              <w:spacing w:before="0" w:after="283"/>
              <w:jc w:val="left"/>
              <w:rPr/>
            </w:pPr>
            <w:r>
              <w:rPr/>
              <w:t> </w:t>
            </w:r>
          </w:p>
        </w:tc>
        <w:tc>
          <w:tcPr>
            <w:tcW w:w="716" w:type="dxa"/>
            <w:tcBorders/>
            <w:shd w:fill="CCEEFF" w:val="clear"/>
            <w:vAlign w:val="bottom"/>
          </w:tcPr>
          <w:p>
            <w:pPr>
              <w:pStyle w:val="TableContents"/>
              <w:spacing w:before="0" w:after="283"/>
              <w:jc w:val="right"/>
              <w:rPr/>
            </w:pPr>
            <w:r>
              <w:rPr/>
              <w:t> </w:t>
            </w:r>
          </w:p>
        </w:tc>
        <w:tc>
          <w:tcPr>
            <w:tcW w:w="200" w:type="dxa"/>
            <w:tcBorders/>
            <w:shd w:fill="CCEEFF" w:val="clear"/>
            <w:vAlign w:val="bottom"/>
          </w:tcPr>
          <w:p>
            <w:pPr>
              <w:pStyle w:val="TableContents"/>
              <w:spacing w:before="0" w:after="283"/>
              <w:jc w:val="left"/>
              <w:rPr/>
            </w:pPr>
            <w:r>
              <w:rPr/>
              <w:t> </w:t>
            </w:r>
          </w:p>
        </w:tc>
      </w:tr>
      <w:tr>
        <w:trPr/>
        <w:tc>
          <w:tcPr>
            <w:tcW w:w="3995" w:type="dxa"/>
            <w:tcBorders/>
            <w:shd w:fill="auto" w:val="clear"/>
            <w:vAlign w:val="bottom"/>
          </w:tcPr>
          <w:p>
            <w:pPr>
              <w:pStyle w:val="TableContents"/>
              <w:spacing w:before="0" w:after="0"/>
              <w:ind w:left="180" w:right="0" w:hanging="0"/>
              <w:jc w:val="left"/>
              <w:rPr>
                <w:rFonts w:ascii="Times New Roman" w:hAnsi="Times New Roman"/>
                <w:sz w:val="20"/>
                <w:u w:val="single"/>
              </w:rPr>
            </w:pPr>
            <w:r>
              <w:rPr>
                <w:rFonts w:ascii="Times New Roman" w:hAnsi="Times New Roman"/>
                <w:sz w:val="20"/>
                <w:u w:val="single"/>
              </w:rPr>
              <w:t>December 31, 2022</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485" w:type="dxa"/>
            <w:tcBorders/>
            <w:shd w:fill="auto" w:val="clear"/>
            <w:vAlign w:val="bottom"/>
          </w:tcPr>
          <w:p>
            <w:pPr>
              <w:pStyle w:val="TableContents"/>
              <w:spacing w:before="0" w:after="283"/>
              <w:jc w:val="right"/>
              <w:rPr/>
            </w:pPr>
            <w:r>
              <w:rPr/>
              <w:t> </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1" w:type="dxa"/>
            <w:tcBorders/>
            <w:shd w:fill="auto" w:val="clear"/>
            <w:vAlign w:val="bottom"/>
          </w:tcPr>
          <w:p>
            <w:pPr>
              <w:pStyle w:val="TableContents"/>
              <w:spacing w:before="0" w:after="283"/>
              <w:jc w:val="left"/>
              <w:rPr/>
            </w:pPr>
            <w:r>
              <w:rPr/>
              <w:t> </w:t>
            </w:r>
          </w:p>
        </w:tc>
        <w:tc>
          <w:tcPr>
            <w:tcW w:w="788" w:type="dxa"/>
            <w:tcBorders/>
            <w:shd w:fill="auto" w:val="clear"/>
            <w:vAlign w:val="bottom"/>
          </w:tcPr>
          <w:p>
            <w:pPr>
              <w:pStyle w:val="TableContents"/>
              <w:spacing w:before="0" w:after="283"/>
              <w:jc w:val="right"/>
              <w:rPr/>
            </w:pPr>
            <w:r>
              <w:rPr/>
              <w:t> </w:t>
            </w:r>
          </w:p>
        </w:tc>
        <w:tc>
          <w:tcPr>
            <w:tcW w:w="68" w:type="dxa"/>
            <w:tcBorders/>
            <w:shd w:fill="auto" w:val="clear"/>
            <w:vAlign w:val="bottom"/>
          </w:tcPr>
          <w:p>
            <w:pPr>
              <w:pStyle w:val="TableContents"/>
              <w:spacing w:before="0" w:after="283"/>
              <w:jc w:val="left"/>
              <w:rPr/>
            </w:pPr>
            <w:r>
              <w:rPr/>
              <w:t> </w:t>
            </w:r>
          </w:p>
        </w:tc>
        <w:tc>
          <w:tcPr>
            <w:tcW w:w="68" w:type="dxa"/>
            <w:tcBorders/>
            <w:shd w:fill="auto" w:val="clear"/>
            <w:vAlign w:val="bottom"/>
          </w:tcPr>
          <w:p>
            <w:pPr>
              <w:pStyle w:val="TableContents"/>
              <w:spacing w:before="0" w:after="283"/>
              <w:jc w:val="right"/>
              <w:rPr/>
            </w:pPr>
            <w:r>
              <w:rPr/>
              <w:t> </w:t>
            </w:r>
          </w:p>
        </w:tc>
        <w:tc>
          <w:tcPr>
            <w:tcW w:w="68" w:type="dxa"/>
            <w:tcBorders/>
            <w:shd w:fill="auto" w:val="clear"/>
            <w:vAlign w:val="bottom"/>
          </w:tcPr>
          <w:p>
            <w:pPr>
              <w:pStyle w:val="TableContents"/>
              <w:spacing w:before="0" w:after="283"/>
              <w:jc w:val="left"/>
              <w:rPr/>
            </w:pPr>
            <w:r>
              <w:rPr/>
              <w:t> </w:t>
            </w:r>
          </w:p>
        </w:tc>
        <w:tc>
          <w:tcPr>
            <w:tcW w:w="550" w:type="dxa"/>
            <w:tcBorders/>
            <w:shd w:fill="auto" w:val="clear"/>
            <w:vAlign w:val="bottom"/>
          </w:tcPr>
          <w:p>
            <w:pPr>
              <w:pStyle w:val="TableContents"/>
              <w:spacing w:before="0" w:after="283"/>
              <w:jc w:val="right"/>
              <w:rPr/>
            </w:pPr>
            <w:r>
              <w:rPr/>
              <w:t> </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84" w:type="dxa"/>
            <w:tcBorders/>
            <w:shd w:fill="auto" w:val="clear"/>
            <w:vAlign w:val="bottom"/>
          </w:tcPr>
          <w:p>
            <w:pPr>
              <w:pStyle w:val="TableContents"/>
              <w:spacing w:before="0" w:after="283"/>
              <w:jc w:val="left"/>
              <w:rPr/>
            </w:pPr>
            <w:r>
              <w:rPr/>
              <w:t> </w:t>
            </w:r>
          </w:p>
        </w:tc>
        <w:tc>
          <w:tcPr>
            <w:tcW w:w="1027" w:type="dxa"/>
            <w:tcBorders/>
            <w:shd w:fill="auto" w:val="clear"/>
            <w:vAlign w:val="bottom"/>
          </w:tcPr>
          <w:p>
            <w:pPr>
              <w:pStyle w:val="TableContents"/>
              <w:spacing w:before="0" w:after="283"/>
              <w:jc w:val="right"/>
              <w:rPr/>
            </w:pPr>
            <w:r>
              <w:rPr/>
              <w:t> </w:t>
            </w:r>
          </w:p>
        </w:tc>
        <w:tc>
          <w:tcPr>
            <w:tcW w:w="88" w:type="dxa"/>
            <w:tcBorders/>
            <w:shd w:fill="auto" w:val="clear"/>
            <w:vAlign w:val="bottom"/>
          </w:tcPr>
          <w:p>
            <w:pPr>
              <w:pStyle w:val="TableContents"/>
              <w:spacing w:before="0" w:after="283"/>
              <w:jc w:val="left"/>
              <w:rPr/>
            </w:pPr>
            <w:r>
              <w:rPr/>
              <w:t> </w:t>
            </w:r>
          </w:p>
        </w:tc>
        <w:tc>
          <w:tcPr>
            <w:tcW w:w="88" w:type="dxa"/>
            <w:tcBorders/>
            <w:shd w:fill="auto" w:val="clear"/>
            <w:vAlign w:val="bottom"/>
          </w:tcPr>
          <w:p>
            <w:pPr>
              <w:pStyle w:val="TableContents"/>
              <w:spacing w:before="0" w:after="283"/>
              <w:jc w:val="right"/>
              <w:rPr/>
            </w:pPr>
            <w:r>
              <w:rPr/>
              <w:t> </w:t>
            </w:r>
          </w:p>
        </w:tc>
        <w:tc>
          <w:tcPr>
            <w:tcW w:w="88" w:type="dxa"/>
            <w:tcBorders/>
            <w:shd w:fill="auto" w:val="clear"/>
            <w:vAlign w:val="bottom"/>
          </w:tcPr>
          <w:p>
            <w:pPr>
              <w:pStyle w:val="TableContents"/>
              <w:spacing w:before="0" w:after="283"/>
              <w:jc w:val="left"/>
              <w:rPr/>
            </w:pPr>
            <w:r>
              <w:rPr/>
              <w:t> </w:t>
            </w:r>
          </w:p>
        </w:tc>
        <w:tc>
          <w:tcPr>
            <w:tcW w:w="716" w:type="dxa"/>
            <w:tcBorders/>
            <w:shd w:fill="auto" w:val="clear"/>
            <w:vAlign w:val="bottom"/>
          </w:tcPr>
          <w:p>
            <w:pPr>
              <w:pStyle w:val="TableContents"/>
              <w:spacing w:before="0" w:after="283"/>
              <w:jc w:val="right"/>
              <w:rPr/>
            </w:pPr>
            <w:r>
              <w:rPr/>
              <w:t> </w:t>
            </w:r>
          </w:p>
        </w:tc>
        <w:tc>
          <w:tcPr>
            <w:tcW w:w="200" w:type="dxa"/>
            <w:tcBorders/>
            <w:shd w:fill="auto" w:val="clear"/>
            <w:vAlign w:val="bottom"/>
          </w:tcPr>
          <w:p>
            <w:pPr>
              <w:pStyle w:val="TableContents"/>
              <w:spacing w:before="0" w:after="283"/>
              <w:jc w:val="left"/>
              <w:rPr/>
            </w:pPr>
            <w:r>
              <w:rPr/>
              <w:t> </w:t>
            </w:r>
          </w:p>
        </w:tc>
      </w:tr>
      <w:tr>
        <w:trPr/>
        <w:tc>
          <w:tcPr>
            <w:tcW w:w="3995" w:type="dxa"/>
            <w:tcBorders/>
            <w:shd w:fill="CCEE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Total Capital to Risk Weighted Assets:</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485" w:type="dxa"/>
            <w:tcBorders/>
            <w:shd w:fill="CCEEFF" w:val="clear"/>
            <w:vAlign w:val="bottom"/>
          </w:tcPr>
          <w:p>
            <w:pPr>
              <w:pStyle w:val="TableContents"/>
              <w:spacing w:before="0" w:after="283"/>
              <w:jc w:val="right"/>
              <w:rPr/>
            </w:pPr>
            <w:r>
              <w:rPr/>
              <w:t> </w:t>
            </w:r>
          </w:p>
        </w:tc>
        <w:tc>
          <w:tcPr>
            <w:tcW w:w="18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1" w:type="dxa"/>
            <w:tcBorders/>
            <w:shd w:fill="CCEEFF" w:val="clear"/>
            <w:vAlign w:val="bottom"/>
          </w:tcPr>
          <w:p>
            <w:pPr>
              <w:pStyle w:val="TableContents"/>
              <w:spacing w:before="0" w:after="283"/>
              <w:jc w:val="left"/>
              <w:rPr/>
            </w:pPr>
            <w:r>
              <w:rPr/>
              <w:t> </w:t>
            </w:r>
          </w:p>
        </w:tc>
        <w:tc>
          <w:tcPr>
            <w:tcW w:w="788" w:type="dxa"/>
            <w:tcBorders/>
            <w:shd w:fill="CCEEFF" w:val="clear"/>
            <w:vAlign w:val="bottom"/>
          </w:tcPr>
          <w:p>
            <w:pPr>
              <w:pStyle w:val="TableContents"/>
              <w:spacing w:before="0" w:after="283"/>
              <w:jc w:val="right"/>
              <w:rPr/>
            </w:pPr>
            <w:r>
              <w:rPr/>
              <w:t> </w:t>
            </w:r>
          </w:p>
        </w:tc>
        <w:tc>
          <w:tcPr>
            <w:tcW w:w="68" w:type="dxa"/>
            <w:tcBorders/>
            <w:shd w:fill="CCEEFF" w:val="clear"/>
            <w:vAlign w:val="bottom"/>
          </w:tcPr>
          <w:p>
            <w:pPr>
              <w:pStyle w:val="TableContents"/>
              <w:spacing w:before="0" w:after="283"/>
              <w:jc w:val="left"/>
              <w:rPr/>
            </w:pPr>
            <w:r>
              <w:rPr/>
              <w:t> </w:t>
            </w:r>
          </w:p>
        </w:tc>
        <w:tc>
          <w:tcPr>
            <w:tcW w:w="68" w:type="dxa"/>
            <w:tcBorders/>
            <w:shd w:fill="CCEEFF" w:val="clear"/>
            <w:vAlign w:val="bottom"/>
          </w:tcPr>
          <w:p>
            <w:pPr>
              <w:pStyle w:val="TableContents"/>
              <w:spacing w:before="0" w:after="283"/>
              <w:jc w:val="right"/>
              <w:rPr/>
            </w:pPr>
            <w:r>
              <w:rPr/>
              <w:t> </w:t>
            </w:r>
          </w:p>
        </w:tc>
        <w:tc>
          <w:tcPr>
            <w:tcW w:w="68" w:type="dxa"/>
            <w:tcBorders/>
            <w:shd w:fill="CCEEFF" w:val="clear"/>
            <w:vAlign w:val="bottom"/>
          </w:tcPr>
          <w:p>
            <w:pPr>
              <w:pStyle w:val="TableContents"/>
              <w:spacing w:before="0" w:after="283"/>
              <w:jc w:val="left"/>
              <w:rPr/>
            </w:pPr>
            <w:r>
              <w:rPr/>
              <w:t> </w:t>
            </w:r>
          </w:p>
        </w:tc>
        <w:tc>
          <w:tcPr>
            <w:tcW w:w="550" w:type="dxa"/>
            <w:tcBorders/>
            <w:shd w:fill="CCEEFF" w:val="clear"/>
            <w:vAlign w:val="bottom"/>
          </w:tcPr>
          <w:p>
            <w:pPr>
              <w:pStyle w:val="TableContents"/>
              <w:spacing w:before="0" w:after="283"/>
              <w:jc w:val="right"/>
              <w:rPr/>
            </w:pPr>
            <w:r>
              <w:rPr/>
              <w:t> </w:t>
            </w:r>
          </w:p>
        </w:tc>
        <w:tc>
          <w:tcPr>
            <w:tcW w:w="18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4" w:type="dxa"/>
            <w:tcBorders/>
            <w:shd w:fill="CCEEFF" w:val="clear"/>
            <w:vAlign w:val="bottom"/>
          </w:tcPr>
          <w:p>
            <w:pPr>
              <w:pStyle w:val="TableContents"/>
              <w:spacing w:before="0" w:after="283"/>
              <w:jc w:val="left"/>
              <w:rPr/>
            </w:pPr>
            <w:r>
              <w:rPr/>
              <w:t> </w:t>
            </w:r>
          </w:p>
        </w:tc>
        <w:tc>
          <w:tcPr>
            <w:tcW w:w="1027" w:type="dxa"/>
            <w:tcBorders/>
            <w:shd w:fill="CCEEFF" w:val="clear"/>
            <w:vAlign w:val="bottom"/>
          </w:tcPr>
          <w:p>
            <w:pPr>
              <w:pStyle w:val="TableContents"/>
              <w:spacing w:before="0" w:after="283"/>
              <w:jc w:val="right"/>
              <w:rPr/>
            </w:pPr>
            <w:r>
              <w:rPr/>
              <w:t> </w:t>
            </w:r>
          </w:p>
        </w:tc>
        <w:tc>
          <w:tcPr>
            <w:tcW w:w="88" w:type="dxa"/>
            <w:tcBorders/>
            <w:shd w:fill="CCEEFF" w:val="clear"/>
            <w:vAlign w:val="bottom"/>
          </w:tcPr>
          <w:p>
            <w:pPr>
              <w:pStyle w:val="TableContents"/>
              <w:spacing w:before="0" w:after="283"/>
              <w:jc w:val="left"/>
              <w:rPr/>
            </w:pPr>
            <w:r>
              <w:rPr/>
              <w:t> </w:t>
            </w:r>
          </w:p>
        </w:tc>
        <w:tc>
          <w:tcPr>
            <w:tcW w:w="88" w:type="dxa"/>
            <w:tcBorders/>
            <w:shd w:fill="CCEEFF" w:val="clear"/>
            <w:vAlign w:val="bottom"/>
          </w:tcPr>
          <w:p>
            <w:pPr>
              <w:pStyle w:val="TableContents"/>
              <w:spacing w:before="0" w:after="283"/>
              <w:jc w:val="right"/>
              <w:rPr/>
            </w:pPr>
            <w:r>
              <w:rPr/>
              <w:t> </w:t>
            </w:r>
          </w:p>
        </w:tc>
        <w:tc>
          <w:tcPr>
            <w:tcW w:w="88" w:type="dxa"/>
            <w:tcBorders/>
            <w:shd w:fill="CCEEFF" w:val="clear"/>
            <w:vAlign w:val="bottom"/>
          </w:tcPr>
          <w:p>
            <w:pPr>
              <w:pStyle w:val="TableContents"/>
              <w:spacing w:before="0" w:after="283"/>
              <w:jc w:val="left"/>
              <w:rPr/>
            </w:pPr>
            <w:r>
              <w:rPr/>
              <w:t> </w:t>
            </w:r>
          </w:p>
        </w:tc>
        <w:tc>
          <w:tcPr>
            <w:tcW w:w="716" w:type="dxa"/>
            <w:tcBorders/>
            <w:shd w:fill="CCEEFF" w:val="clear"/>
            <w:vAlign w:val="bottom"/>
          </w:tcPr>
          <w:p>
            <w:pPr>
              <w:pStyle w:val="TableContents"/>
              <w:spacing w:before="0" w:after="283"/>
              <w:jc w:val="right"/>
              <w:rPr/>
            </w:pPr>
            <w:r>
              <w:rPr/>
              <w:t> </w:t>
            </w:r>
          </w:p>
        </w:tc>
        <w:tc>
          <w:tcPr>
            <w:tcW w:w="200" w:type="dxa"/>
            <w:tcBorders/>
            <w:shd w:fill="CCEEFF" w:val="clear"/>
            <w:vAlign w:val="bottom"/>
          </w:tcPr>
          <w:p>
            <w:pPr>
              <w:pStyle w:val="TableContents"/>
              <w:spacing w:before="0" w:after="283"/>
              <w:jc w:val="left"/>
              <w:rPr/>
            </w:pPr>
            <w:r>
              <w:rPr/>
              <w:t> </w:t>
            </w:r>
          </w:p>
        </w:tc>
      </w:tr>
      <w:tr>
        <w:trPr/>
        <w:tc>
          <w:tcPr>
            <w:tcW w:w="3995" w:type="dxa"/>
            <w:tcBorders/>
            <w:shd w:fill="auto"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Consolidated</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95"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559,094</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485"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16.58</w:t>
            </w:r>
          </w:p>
        </w:tc>
        <w:tc>
          <w:tcPr>
            <w:tcW w:w="185"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auto" w:val="clear"/>
            <w:vAlign w:val="bottom"/>
          </w:tcPr>
          <w:p>
            <w:pPr>
              <w:pStyle w:val="TableContents"/>
              <w:spacing w:before="0" w:after="283"/>
              <w:jc w:val="right"/>
              <w:rPr/>
            </w:pPr>
            <w:r>
              <w:rPr/>
              <w:t> </w:t>
            </w:r>
          </w:p>
        </w:tc>
        <w:tc>
          <w:tcPr>
            <w:tcW w:w="141"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788"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354,045</w:t>
            </w:r>
          </w:p>
        </w:tc>
        <w:tc>
          <w:tcPr>
            <w:tcW w:w="68" w:type="dxa"/>
            <w:tcBorders/>
            <w:shd w:fill="auto" w:val="clear"/>
            <w:vAlign w:val="bottom"/>
          </w:tcPr>
          <w:p>
            <w:pPr>
              <w:pStyle w:val="TableContents"/>
              <w:spacing w:before="0" w:after="283"/>
              <w:jc w:val="left"/>
              <w:rPr/>
            </w:pPr>
            <w:r>
              <w:rPr/>
              <w:t> </w:t>
            </w:r>
          </w:p>
        </w:tc>
        <w:tc>
          <w:tcPr>
            <w:tcW w:w="68" w:type="dxa"/>
            <w:tcBorders/>
            <w:shd w:fill="auto" w:val="clear"/>
            <w:vAlign w:val="bottom"/>
          </w:tcPr>
          <w:p>
            <w:pPr>
              <w:pStyle w:val="TableContents"/>
              <w:spacing w:before="0" w:after="283"/>
              <w:jc w:val="right"/>
              <w:rPr/>
            </w:pPr>
            <w:r>
              <w:rPr/>
              <w:t> </w:t>
            </w:r>
          </w:p>
        </w:tc>
        <w:tc>
          <w:tcPr>
            <w:tcW w:w="68" w:type="dxa"/>
            <w:tcBorders/>
            <w:shd w:fill="auto" w:val="clear"/>
            <w:vAlign w:val="bottom"/>
          </w:tcPr>
          <w:p>
            <w:pPr>
              <w:pStyle w:val="TableContents"/>
              <w:spacing w:before="0" w:after="283"/>
              <w:jc w:val="left"/>
              <w:rPr/>
            </w:pPr>
            <w:r>
              <w:rPr/>
              <w:t> </w:t>
            </w:r>
          </w:p>
        </w:tc>
        <w:tc>
          <w:tcPr>
            <w:tcW w:w="550"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10.50</w:t>
            </w:r>
          </w:p>
        </w:tc>
        <w:tc>
          <w:tcPr>
            <w:tcW w:w="185"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auto" w:val="clear"/>
            <w:vAlign w:val="bottom"/>
          </w:tcPr>
          <w:p>
            <w:pPr>
              <w:pStyle w:val="TableContents"/>
              <w:spacing w:before="0" w:after="283"/>
              <w:jc w:val="right"/>
              <w:rPr/>
            </w:pPr>
            <w:r>
              <w:rPr/>
              <w:t> </w:t>
            </w:r>
          </w:p>
        </w:tc>
        <w:tc>
          <w:tcPr>
            <w:tcW w:w="184" w:type="dxa"/>
            <w:tcBorders/>
            <w:shd w:fill="auto" w:val="clear"/>
            <w:vAlign w:val="bottom"/>
          </w:tcPr>
          <w:p>
            <w:pPr>
              <w:pStyle w:val="TableContents"/>
              <w:spacing w:before="0" w:after="283"/>
              <w:jc w:val="left"/>
              <w:rPr/>
            </w:pPr>
            <w:r>
              <w:rPr/>
              <w:t> </w:t>
            </w:r>
          </w:p>
        </w:tc>
        <w:tc>
          <w:tcPr>
            <w:tcW w:w="1027"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N/A</w:t>
            </w:r>
          </w:p>
        </w:tc>
        <w:tc>
          <w:tcPr>
            <w:tcW w:w="88" w:type="dxa"/>
            <w:tcBorders/>
            <w:shd w:fill="auto" w:val="clear"/>
            <w:vAlign w:val="bottom"/>
          </w:tcPr>
          <w:p>
            <w:pPr>
              <w:pStyle w:val="TableContents"/>
              <w:spacing w:before="0" w:after="283"/>
              <w:jc w:val="left"/>
              <w:rPr/>
            </w:pPr>
            <w:r>
              <w:rPr/>
              <w:t> </w:t>
            </w:r>
          </w:p>
        </w:tc>
        <w:tc>
          <w:tcPr>
            <w:tcW w:w="88" w:type="dxa"/>
            <w:tcBorders/>
            <w:shd w:fill="auto" w:val="clear"/>
            <w:vAlign w:val="bottom"/>
          </w:tcPr>
          <w:p>
            <w:pPr>
              <w:pStyle w:val="TableContents"/>
              <w:spacing w:before="0" w:after="283"/>
              <w:jc w:val="right"/>
              <w:rPr/>
            </w:pPr>
            <w:r>
              <w:rPr/>
              <w:t> </w:t>
            </w:r>
          </w:p>
        </w:tc>
        <w:tc>
          <w:tcPr>
            <w:tcW w:w="88" w:type="dxa"/>
            <w:tcBorders/>
            <w:shd w:fill="auto" w:val="clear"/>
            <w:vAlign w:val="bottom"/>
          </w:tcPr>
          <w:p>
            <w:pPr>
              <w:pStyle w:val="TableContents"/>
              <w:spacing w:before="0" w:after="283"/>
              <w:jc w:val="left"/>
              <w:rPr/>
            </w:pPr>
            <w:r>
              <w:rPr/>
              <w:t> </w:t>
            </w:r>
          </w:p>
        </w:tc>
        <w:tc>
          <w:tcPr>
            <w:tcW w:w="716"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N/A</w:t>
            </w:r>
          </w:p>
        </w:tc>
        <w:tc>
          <w:tcPr>
            <w:tcW w:w="200" w:type="dxa"/>
            <w:tcBorders/>
            <w:shd w:fill="auto" w:val="clear"/>
            <w:vAlign w:val="bottom"/>
          </w:tcPr>
          <w:p>
            <w:pPr>
              <w:pStyle w:val="TableContents"/>
              <w:spacing w:before="0" w:after="283"/>
              <w:jc w:val="left"/>
              <w:rPr/>
            </w:pPr>
            <w:r>
              <w:rPr/>
              <w:t> </w:t>
            </w:r>
          </w:p>
        </w:tc>
      </w:tr>
      <w:tr>
        <w:trPr/>
        <w:tc>
          <w:tcPr>
            <w:tcW w:w="3995" w:type="dxa"/>
            <w:tcBorders/>
            <w:shd w:fill="CCEE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City Bank</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454,427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485"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13.48</w:t>
            </w:r>
          </w:p>
        </w:tc>
        <w:tc>
          <w:tcPr>
            <w:tcW w:w="18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right"/>
              <w:rPr/>
            </w:pPr>
            <w:r>
              <w:rPr/>
              <w:t> </w:t>
            </w:r>
          </w:p>
        </w:tc>
        <w:tc>
          <w:tcPr>
            <w:tcW w:w="141" w:type="dxa"/>
            <w:tcBorders/>
            <w:shd w:fill="CCEEFF" w:val="clear"/>
            <w:vAlign w:val="bottom"/>
          </w:tcPr>
          <w:p>
            <w:pPr>
              <w:pStyle w:val="TableContents"/>
              <w:spacing w:before="0" w:after="283"/>
              <w:jc w:val="left"/>
              <w:rPr/>
            </w:pPr>
            <w:r>
              <w:rPr/>
              <w:t> </w:t>
            </w:r>
          </w:p>
        </w:tc>
        <w:tc>
          <w:tcPr>
            <w:tcW w:w="788"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353,967</w:t>
            </w:r>
          </w:p>
        </w:tc>
        <w:tc>
          <w:tcPr>
            <w:tcW w:w="68" w:type="dxa"/>
            <w:tcBorders/>
            <w:shd w:fill="CCEEFF" w:val="clear"/>
            <w:vAlign w:val="bottom"/>
          </w:tcPr>
          <w:p>
            <w:pPr>
              <w:pStyle w:val="TableContents"/>
              <w:spacing w:before="0" w:after="283"/>
              <w:jc w:val="left"/>
              <w:rPr/>
            </w:pPr>
            <w:r>
              <w:rPr/>
              <w:t> </w:t>
            </w:r>
          </w:p>
        </w:tc>
        <w:tc>
          <w:tcPr>
            <w:tcW w:w="68" w:type="dxa"/>
            <w:tcBorders/>
            <w:shd w:fill="CCEEFF" w:val="clear"/>
            <w:vAlign w:val="bottom"/>
          </w:tcPr>
          <w:p>
            <w:pPr>
              <w:pStyle w:val="TableContents"/>
              <w:spacing w:before="0" w:after="283"/>
              <w:jc w:val="right"/>
              <w:rPr/>
            </w:pPr>
            <w:r>
              <w:rPr/>
              <w:t> </w:t>
            </w:r>
          </w:p>
        </w:tc>
        <w:tc>
          <w:tcPr>
            <w:tcW w:w="68" w:type="dxa"/>
            <w:tcBorders/>
            <w:shd w:fill="CCEEFF" w:val="clear"/>
            <w:vAlign w:val="bottom"/>
          </w:tcPr>
          <w:p>
            <w:pPr>
              <w:pStyle w:val="TableContents"/>
              <w:spacing w:before="0" w:after="283"/>
              <w:jc w:val="left"/>
              <w:rPr/>
            </w:pPr>
            <w:r>
              <w:rPr/>
              <w:t> </w:t>
            </w:r>
          </w:p>
        </w:tc>
        <w:tc>
          <w:tcPr>
            <w:tcW w:w="550"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10.50</w:t>
            </w:r>
          </w:p>
        </w:tc>
        <w:tc>
          <w:tcPr>
            <w:tcW w:w="18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right"/>
              <w:rPr/>
            </w:pPr>
            <w:r>
              <w:rPr/>
              <w:t> </w:t>
            </w:r>
          </w:p>
        </w:tc>
        <w:tc>
          <w:tcPr>
            <w:tcW w:w="184"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1027"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337,112</w:t>
            </w:r>
          </w:p>
        </w:tc>
        <w:tc>
          <w:tcPr>
            <w:tcW w:w="88" w:type="dxa"/>
            <w:tcBorders/>
            <w:shd w:fill="CCEEFF" w:val="clear"/>
            <w:vAlign w:val="bottom"/>
          </w:tcPr>
          <w:p>
            <w:pPr>
              <w:pStyle w:val="TableContents"/>
              <w:spacing w:before="0" w:after="283"/>
              <w:jc w:val="left"/>
              <w:rPr/>
            </w:pPr>
            <w:r>
              <w:rPr/>
              <w:t> </w:t>
            </w:r>
          </w:p>
        </w:tc>
        <w:tc>
          <w:tcPr>
            <w:tcW w:w="88" w:type="dxa"/>
            <w:tcBorders/>
            <w:shd w:fill="CCEEFF" w:val="clear"/>
            <w:vAlign w:val="bottom"/>
          </w:tcPr>
          <w:p>
            <w:pPr>
              <w:pStyle w:val="TableContents"/>
              <w:spacing w:before="0" w:after="283"/>
              <w:jc w:val="right"/>
              <w:rPr/>
            </w:pPr>
            <w:r>
              <w:rPr/>
              <w:t> </w:t>
            </w:r>
          </w:p>
        </w:tc>
        <w:tc>
          <w:tcPr>
            <w:tcW w:w="88" w:type="dxa"/>
            <w:tcBorders/>
            <w:shd w:fill="CCEEFF" w:val="clear"/>
            <w:vAlign w:val="bottom"/>
          </w:tcPr>
          <w:p>
            <w:pPr>
              <w:pStyle w:val="TableContents"/>
              <w:spacing w:before="0" w:after="283"/>
              <w:jc w:val="left"/>
              <w:rPr/>
            </w:pPr>
            <w:r>
              <w:rPr/>
              <w:t> </w:t>
            </w:r>
          </w:p>
        </w:tc>
        <w:tc>
          <w:tcPr>
            <w:tcW w:w="716"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10.00</w:t>
            </w:r>
          </w:p>
        </w:tc>
        <w:tc>
          <w:tcPr>
            <w:tcW w:w="200"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r>
      <w:tr>
        <w:trPr/>
        <w:tc>
          <w:tcPr>
            <w:tcW w:w="39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485" w:type="dxa"/>
            <w:tcBorders/>
            <w:shd w:fill="auto" w:val="clear"/>
            <w:vAlign w:val="bottom"/>
          </w:tcPr>
          <w:p>
            <w:pPr>
              <w:pStyle w:val="TableContents"/>
              <w:spacing w:before="0" w:after="283"/>
              <w:jc w:val="right"/>
              <w:rPr/>
            </w:pPr>
            <w:r>
              <w:rPr/>
              <w:t> </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1" w:type="dxa"/>
            <w:tcBorders/>
            <w:shd w:fill="auto" w:val="clear"/>
            <w:vAlign w:val="bottom"/>
          </w:tcPr>
          <w:p>
            <w:pPr>
              <w:pStyle w:val="TableContents"/>
              <w:spacing w:before="0" w:after="283"/>
              <w:jc w:val="left"/>
              <w:rPr/>
            </w:pPr>
            <w:r>
              <w:rPr/>
              <w:t> </w:t>
            </w:r>
          </w:p>
        </w:tc>
        <w:tc>
          <w:tcPr>
            <w:tcW w:w="788" w:type="dxa"/>
            <w:tcBorders/>
            <w:shd w:fill="auto" w:val="clear"/>
            <w:vAlign w:val="bottom"/>
          </w:tcPr>
          <w:p>
            <w:pPr>
              <w:pStyle w:val="TableContents"/>
              <w:spacing w:before="0" w:after="283"/>
              <w:jc w:val="right"/>
              <w:rPr/>
            </w:pPr>
            <w:r>
              <w:rPr/>
              <w:t> </w:t>
            </w:r>
          </w:p>
        </w:tc>
        <w:tc>
          <w:tcPr>
            <w:tcW w:w="68" w:type="dxa"/>
            <w:tcBorders/>
            <w:shd w:fill="auto" w:val="clear"/>
            <w:vAlign w:val="bottom"/>
          </w:tcPr>
          <w:p>
            <w:pPr>
              <w:pStyle w:val="TableContents"/>
              <w:spacing w:before="0" w:after="283"/>
              <w:jc w:val="left"/>
              <w:rPr/>
            </w:pPr>
            <w:r>
              <w:rPr/>
              <w:t> </w:t>
            </w:r>
          </w:p>
        </w:tc>
        <w:tc>
          <w:tcPr>
            <w:tcW w:w="68" w:type="dxa"/>
            <w:tcBorders/>
            <w:shd w:fill="auto" w:val="clear"/>
            <w:vAlign w:val="bottom"/>
          </w:tcPr>
          <w:p>
            <w:pPr>
              <w:pStyle w:val="TableContents"/>
              <w:spacing w:before="0" w:after="283"/>
              <w:jc w:val="right"/>
              <w:rPr/>
            </w:pPr>
            <w:r>
              <w:rPr/>
              <w:t> </w:t>
            </w:r>
          </w:p>
        </w:tc>
        <w:tc>
          <w:tcPr>
            <w:tcW w:w="68" w:type="dxa"/>
            <w:tcBorders/>
            <w:shd w:fill="auto" w:val="clear"/>
            <w:vAlign w:val="bottom"/>
          </w:tcPr>
          <w:p>
            <w:pPr>
              <w:pStyle w:val="TableContents"/>
              <w:spacing w:before="0" w:after="283"/>
              <w:jc w:val="left"/>
              <w:rPr/>
            </w:pPr>
            <w:r>
              <w:rPr/>
              <w:t> </w:t>
            </w:r>
          </w:p>
        </w:tc>
        <w:tc>
          <w:tcPr>
            <w:tcW w:w="550" w:type="dxa"/>
            <w:tcBorders/>
            <w:shd w:fill="auto" w:val="clear"/>
            <w:vAlign w:val="bottom"/>
          </w:tcPr>
          <w:p>
            <w:pPr>
              <w:pStyle w:val="TableContents"/>
              <w:spacing w:before="0" w:after="283"/>
              <w:jc w:val="right"/>
              <w:rPr/>
            </w:pPr>
            <w:r>
              <w:rPr/>
              <w:t> </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84" w:type="dxa"/>
            <w:tcBorders/>
            <w:shd w:fill="auto" w:val="clear"/>
            <w:vAlign w:val="bottom"/>
          </w:tcPr>
          <w:p>
            <w:pPr>
              <w:pStyle w:val="TableContents"/>
              <w:spacing w:before="0" w:after="283"/>
              <w:jc w:val="left"/>
              <w:rPr/>
            </w:pPr>
            <w:r>
              <w:rPr/>
              <w:t> </w:t>
            </w:r>
          </w:p>
        </w:tc>
        <w:tc>
          <w:tcPr>
            <w:tcW w:w="1027" w:type="dxa"/>
            <w:tcBorders/>
            <w:shd w:fill="auto" w:val="clear"/>
            <w:vAlign w:val="bottom"/>
          </w:tcPr>
          <w:p>
            <w:pPr>
              <w:pStyle w:val="TableContents"/>
              <w:spacing w:before="0" w:after="283"/>
              <w:jc w:val="right"/>
              <w:rPr/>
            </w:pPr>
            <w:r>
              <w:rPr/>
              <w:t> </w:t>
            </w:r>
          </w:p>
        </w:tc>
        <w:tc>
          <w:tcPr>
            <w:tcW w:w="88" w:type="dxa"/>
            <w:tcBorders/>
            <w:shd w:fill="auto" w:val="clear"/>
            <w:vAlign w:val="bottom"/>
          </w:tcPr>
          <w:p>
            <w:pPr>
              <w:pStyle w:val="TableContents"/>
              <w:spacing w:before="0" w:after="283"/>
              <w:jc w:val="left"/>
              <w:rPr/>
            </w:pPr>
            <w:r>
              <w:rPr/>
              <w:t> </w:t>
            </w:r>
          </w:p>
        </w:tc>
        <w:tc>
          <w:tcPr>
            <w:tcW w:w="88" w:type="dxa"/>
            <w:tcBorders/>
            <w:shd w:fill="auto" w:val="clear"/>
            <w:vAlign w:val="bottom"/>
          </w:tcPr>
          <w:p>
            <w:pPr>
              <w:pStyle w:val="TableContents"/>
              <w:spacing w:before="0" w:after="283"/>
              <w:jc w:val="right"/>
              <w:rPr/>
            </w:pPr>
            <w:r>
              <w:rPr/>
              <w:t> </w:t>
            </w:r>
          </w:p>
        </w:tc>
        <w:tc>
          <w:tcPr>
            <w:tcW w:w="88" w:type="dxa"/>
            <w:tcBorders/>
            <w:shd w:fill="auto" w:val="clear"/>
            <w:vAlign w:val="bottom"/>
          </w:tcPr>
          <w:p>
            <w:pPr>
              <w:pStyle w:val="TableContents"/>
              <w:spacing w:before="0" w:after="283"/>
              <w:jc w:val="left"/>
              <w:rPr/>
            </w:pPr>
            <w:r>
              <w:rPr/>
              <w:t> </w:t>
            </w:r>
          </w:p>
        </w:tc>
        <w:tc>
          <w:tcPr>
            <w:tcW w:w="716" w:type="dxa"/>
            <w:tcBorders/>
            <w:shd w:fill="auto" w:val="clear"/>
            <w:vAlign w:val="bottom"/>
          </w:tcPr>
          <w:p>
            <w:pPr>
              <w:pStyle w:val="TableContents"/>
              <w:spacing w:before="0" w:after="283"/>
              <w:jc w:val="right"/>
              <w:rPr/>
            </w:pPr>
            <w:r>
              <w:rPr/>
              <w:t> </w:t>
            </w:r>
          </w:p>
        </w:tc>
        <w:tc>
          <w:tcPr>
            <w:tcW w:w="200" w:type="dxa"/>
            <w:tcBorders/>
            <w:shd w:fill="auto" w:val="clear"/>
            <w:vAlign w:val="bottom"/>
          </w:tcPr>
          <w:p>
            <w:pPr>
              <w:pStyle w:val="TableContents"/>
              <w:spacing w:before="0" w:after="283"/>
              <w:jc w:val="left"/>
              <w:rPr/>
            </w:pPr>
            <w:r>
              <w:rPr/>
              <w:t> </w:t>
            </w:r>
          </w:p>
        </w:tc>
      </w:tr>
      <w:tr>
        <w:trPr/>
        <w:tc>
          <w:tcPr>
            <w:tcW w:w="3995" w:type="dxa"/>
            <w:tcBorders/>
            <w:shd w:fill="CCEE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Tier I Capital to Risk Weighted Assets:</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485" w:type="dxa"/>
            <w:tcBorders/>
            <w:shd w:fill="CCEEFF" w:val="clear"/>
            <w:vAlign w:val="bottom"/>
          </w:tcPr>
          <w:p>
            <w:pPr>
              <w:pStyle w:val="TableContents"/>
              <w:spacing w:before="0" w:after="283"/>
              <w:jc w:val="right"/>
              <w:rPr/>
            </w:pPr>
            <w:r>
              <w:rPr/>
              <w:t> </w:t>
            </w:r>
          </w:p>
        </w:tc>
        <w:tc>
          <w:tcPr>
            <w:tcW w:w="18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1" w:type="dxa"/>
            <w:tcBorders/>
            <w:shd w:fill="CCEEFF" w:val="clear"/>
            <w:vAlign w:val="bottom"/>
          </w:tcPr>
          <w:p>
            <w:pPr>
              <w:pStyle w:val="TableContents"/>
              <w:spacing w:before="0" w:after="283"/>
              <w:jc w:val="left"/>
              <w:rPr/>
            </w:pPr>
            <w:r>
              <w:rPr/>
              <w:t> </w:t>
            </w:r>
          </w:p>
        </w:tc>
        <w:tc>
          <w:tcPr>
            <w:tcW w:w="788" w:type="dxa"/>
            <w:tcBorders/>
            <w:shd w:fill="CCEEFF" w:val="clear"/>
            <w:vAlign w:val="bottom"/>
          </w:tcPr>
          <w:p>
            <w:pPr>
              <w:pStyle w:val="TableContents"/>
              <w:spacing w:before="0" w:after="283"/>
              <w:jc w:val="right"/>
              <w:rPr/>
            </w:pPr>
            <w:r>
              <w:rPr/>
              <w:t> </w:t>
            </w:r>
          </w:p>
        </w:tc>
        <w:tc>
          <w:tcPr>
            <w:tcW w:w="68" w:type="dxa"/>
            <w:tcBorders/>
            <w:shd w:fill="CCEEFF" w:val="clear"/>
            <w:vAlign w:val="bottom"/>
          </w:tcPr>
          <w:p>
            <w:pPr>
              <w:pStyle w:val="TableContents"/>
              <w:spacing w:before="0" w:after="283"/>
              <w:jc w:val="left"/>
              <w:rPr/>
            </w:pPr>
            <w:r>
              <w:rPr/>
              <w:t> </w:t>
            </w:r>
          </w:p>
        </w:tc>
        <w:tc>
          <w:tcPr>
            <w:tcW w:w="68" w:type="dxa"/>
            <w:tcBorders/>
            <w:shd w:fill="CCEEFF" w:val="clear"/>
            <w:vAlign w:val="bottom"/>
          </w:tcPr>
          <w:p>
            <w:pPr>
              <w:pStyle w:val="TableContents"/>
              <w:spacing w:before="0" w:after="283"/>
              <w:jc w:val="right"/>
              <w:rPr/>
            </w:pPr>
            <w:r>
              <w:rPr/>
              <w:t> </w:t>
            </w:r>
          </w:p>
        </w:tc>
        <w:tc>
          <w:tcPr>
            <w:tcW w:w="68" w:type="dxa"/>
            <w:tcBorders/>
            <w:shd w:fill="CCEEFF" w:val="clear"/>
            <w:vAlign w:val="bottom"/>
          </w:tcPr>
          <w:p>
            <w:pPr>
              <w:pStyle w:val="TableContents"/>
              <w:spacing w:before="0" w:after="283"/>
              <w:jc w:val="left"/>
              <w:rPr/>
            </w:pPr>
            <w:r>
              <w:rPr/>
              <w:t> </w:t>
            </w:r>
          </w:p>
        </w:tc>
        <w:tc>
          <w:tcPr>
            <w:tcW w:w="550" w:type="dxa"/>
            <w:tcBorders/>
            <w:shd w:fill="CCEEFF" w:val="clear"/>
            <w:vAlign w:val="bottom"/>
          </w:tcPr>
          <w:p>
            <w:pPr>
              <w:pStyle w:val="TableContents"/>
              <w:spacing w:before="0" w:after="283"/>
              <w:jc w:val="right"/>
              <w:rPr/>
            </w:pPr>
            <w:r>
              <w:rPr/>
              <w:t> </w:t>
            </w:r>
          </w:p>
        </w:tc>
        <w:tc>
          <w:tcPr>
            <w:tcW w:w="18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4" w:type="dxa"/>
            <w:tcBorders/>
            <w:shd w:fill="CCEEFF" w:val="clear"/>
            <w:vAlign w:val="bottom"/>
          </w:tcPr>
          <w:p>
            <w:pPr>
              <w:pStyle w:val="TableContents"/>
              <w:spacing w:before="0" w:after="283"/>
              <w:jc w:val="left"/>
              <w:rPr/>
            </w:pPr>
            <w:r>
              <w:rPr/>
              <w:t> </w:t>
            </w:r>
          </w:p>
        </w:tc>
        <w:tc>
          <w:tcPr>
            <w:tcW w:w="1027" w:type="dxa"/>
            <w:tcBorders/>
            <w:shd w:fill="CCEEFF" w:val="clear"/>
            <w:vAlign w:val="bottom"/>
          </w:tcPr>
          <w:p>
            <w:pPr>
              <w:pStyle w:val="TableContents"/>
              <w:spacing w:before="0" w:after="283"/>
              <w:jc w:val="right"/>
              <w:rPr/>
            </w:pPr>
            <w:r>
              <w:rPr/>
              <w:t> </w:t>
            </w:r>
          </w:p>
        </w:tc>
        <w:tc>
          <w:tcPr>
            <w:tcW w:w="88" w:type="dxa"/>
            <w:tcBorders/>
            <w:shd w:fill="CCEEFF" w:val="clear"/>
            <w:vAlign w:val="bottom"/>
          </w:tcPr>
          <w:p>
            <w:pPr>
              <w:pStyle w:val="TableContents"/>
              <w:spacing w:before="0" w:after="283"/>
              <w:jc w:val="left"/>
              <w:rPr/>
            </w:pPr>
            <w:r>
              <w:rPr/>
              <w:t> </w:t>
            </w:r>
          </w:p>
        </w:tc>
        <w:tc>
          <w:tcPr>
            <w:tcW w:w="88" w:type="dxa"/>
            <w:tcBorders/>
            <w:shd w:fill="CCEEFF" w:val="clear"/>
            <w:vAlign w:val="bottom"/>
          </w:tcPr>
          <w:p>
            <w:pPr>
              <w:pStyle w:val="TableContents"/>
              <w:spacing w:before="0" w:after="283"/>
              <w:jc w:val="right"/>
              <w:rPr/>
            </w:pPr>
            <w:r>
              <w:rPr/>
              <w:t> </w:t>
            </w:r>
          </w:p>
        </w:tc>
        <w:tc>
          <w:tcPr>
            <w:tcW w:w="88" w:type="dxa"/>
            <w:tcBorders/>
            <w:shd w:fill="CCEEFF" w:val="clear"/>
            <w:vAlign w:val="bottom"/>
          </w:tcPr>
          <w:p>
            <w:pPr>
              <w:pStyle w:val="TableContents"/>
              <w:spacing w:before="0" w:after="283"/>
              <w:jc w:val="left"/>
              <w:rPr/>
            </w:pPr>
            <w:r>
              <w:rPr/>
              <w:t> </w:t>
            </w:r>
          </w:p>
        </w:tc>
        <w:tc>
          <w:tcPr>
            <w:tcW w:w="716" w:type="dxa"/>
            <w:tcBorders/>
            <w:shd w:fill="CCEEFF" w:val="clear"/>
            <w:vAlign w:val="bottom"/>
          </w:tcPr>
          <w:p>
            <w:pPr>
              <w:pStyle w:val="TableContents"/>
              <w:spacing w:before="0" w:after="283"/>
              <w:jc w:val="right"/>
              <w:rPr/>
            </w:pPr>
            <w:r>
              <w:rPr/>
              <w:t> </w:t>
            </w:r>
          </w:p>
        </w:tc>
        <w:tc>
          <w:tcPr>
            <w:tcW w:w="200" w:type="dxa"/>
            <w:tcBorders/>
            <w:shd w:fill="CCEEFF" w:val="clear"/>
            <w:vAlign w:val="bottom"/>
          </w:tcPr>
          <w:p>
            <w:pPr>
              <w:pStyle w:val="TableContents"/>
              <w:spacing w:before="0" w:after="283"/>
              <w:jc w:val="left"/>
              <w:rPr/>
            </w:pPr>
            <w:r>
              <w:rPr/>
              <w:t> </w:t>
            </w:r>
          </w:p>
        </w:tc>
      </w:tr>
      <w:tr>
        <w:trPr/>
        <w:tc>
          <w:tcPr>
            <w:tcW w:w="3995" w:type="dxa"/>
            <w:tcBorders/>
            <w:shd w:fill="auto"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Consolidated</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443,265</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485"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13.15</w:t>
            </w:r>
          </w:p>
        </w:tc>
        <w:tc>
          <w:tcPr>
            <w:tcW w:w="185"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auto" w:val="clear"/>
            <w:vAlign w:val="bottom"/>
          </w:tcPr>
          <w:p>
            <w:pPr>
              <w:pStyle w:val="TableContents"/>
              <w:spacing w:before="0" w:after="283"/>
              <w:jc w:val="right"/>
              <w:rPr/>
            </w:pPr>
            <w:r>
              <w:rPr/>
              <w:t> </w:t>
            </w:r>
          </w:p>
        </w:tc>
        <w:tc>
          <w:tcPr>
            <w:tcW w:w="141" w:type="dxa"/>
            <w:tcBorders/>
            <w:shd w:fill="auto" w:val="clear"/>
            <w:vAlign w:val="bottom"/>
          </w:tcPr>
          <w:p>
            <w:pPr>
              <w:pStyle w:val="TableContents"/>
              <w:spacing w:before="0" w:after="283"/>
              <w:jc w:val="left"/>
              <w:rPr/>
            </w:pPr>
            <w:r>
              <w:rPr/>
              <w:t> </w:t>
            </w:r>
          </w:p>
        </w:tc>
        <w:tc>
          <w:tcPr>
            <w:tcW w:w="788"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286,608</w:t>
            </w:r>
          </w:p>
        </w:tc>
        <w:tc>
          <w:tcPr>
            <w:tcW w:w="68" w:type="dxa"/>
            <w:tcBorders/>
            <w:shd w:fill="auto" w:val="clear"/>
            <w:vAlign w:val="bottom"/>
          </w:tcPr>
          <w:p>
            <w:pPr>
              <w:pStyle w:val="TableContents"/>
              <w:spacing w:before="0" w:after="283"/>
              <w:jc w:val="left"/>
              <w:rPr/>
            </w:pPr>
            <w:r>
              <w:rPr/>
              <w:t> </w:t>
            </w:r>
          </w:p>
        </w:tc>
        <w:tc>
          <w:tcPr>
            <w:tcW w:w="68" w:type="dxa"/>
            <w:tcBorders/>
            <w:shd w:fill="auto" w:val="clear"/>
            <w:vAlign w:val="bottom"/>
          </w:tcPr>
          <w:p>
            <w:pPr>
              <w:pStyle w:val="TableContents"/>
              <w:spacing w:before="0" w:after="283"/>
              <w:jc w:val="right"/>
              <w:rPr/>
            </w:pPr>
            <w:r>
              <w:rPr/>
              <w:t> </w:t>
            </w:r>
          </w:p>
        </w:tc>
        <w:tc>
          <w:tcPr>
            <w:tcW w:w="68" w:type="dxa"/>
            <w:tcBorders/>
            <w:shd w:fill="auto" w:val="clear"/>
            <w:vAlign w:val="bottom"/>
          </w:tcPr>
          <w:p>
            <w:pPr>
              <w:pStyle w:val="TableContents"/>
              <w:spacing w:before="0" w:after="283"/>
              <w:jc w:val="left"/>
              <w:rPr/>
            </w:pPr>
            <w:r>
              <w:rPr/>
              <w:t> </w:t>
            </w:r>
          </w:p>
        </w:tc>
        <w:tc>
          <w:tcPr>
            <w:tcW w:w="550"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8.50</w:t>
            </w:r>
          </w:p>
        </w:tc>
        <w:tc>
          <w:tcPr>
            <w:tcW w:w="185"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auto" w:val="clear"/>
            <w:vAlign w:val="bottom"/>
          </w:tcPr>
          <w:p>
            <w:pPr>
              <w:pStyle w:val="TableContents"/>
              <w:spacing w:before="0" w:after="283"/>
              <w:jc w:val="right"/>
              <w:rPr/>
            </w:pPr>
            <w:r>
              <w:rPr/>
              <w:t> </w:t>
            </w:r>
          </w:p>
        </w:tc>
        <w:tc>
          <w:tcPr>
            <w:tcW w:w="184" w:type="dxa"/>
            <w:tcBorders/>
            <w:shd w:fill="auto" w:val="clear"/>
            <w:vAlign w:val="bottom"/>
          </w:tcPr>
          <w:p>
            <w:pPr>
              <w:pStyle w:val="TableContents"/>
              <w:spacing w:before="0" w:after="283"/>
              <w:jc w:val="left"/>
              <w:rPr/>
            </w:pPr>
            <w:r>
              <w:rPr/>
              <w:t> </w:t>
            </w:r>
          </w:p>
        </w:tc>
        <w:tc>
          <w:tcPr>
            <w:tcW w:w="1027"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N/A</w:t>
            </w:r>
          </w:p>
        </w:tc>
        <w:tc>
          <w:tcPr>
            <w:tcW w:w="88" w:type="dxa"/>
            <w:tcBorders/>
            <w:shd w:fill="auto" w:val="clear"/>
            <w:vAlign w:val="bottom"/>
          </w:tcPr>
          <w:p>
            <w:pPr>
              <w:pStyle w:val="TableContents"/>
              <w:spacing w:before="0" w:after="283"/>
              <w:jc w:val="left"/>
              <w:rPr/>
            </w:pPr>
            <w:r>
              <w:rPr/>
              <w:t> </w:t>
            </w:r>
          </w:p>
        </w:tc>
        <w:tc>
          <w:tcPr>
            <w:tcW w:w="88" w:type="dxa"/>
            <w:tcBorders/>
            <w:shd w:fill="auto" w:val="clear"/>
            <w:vAlign w:val="bottom"/>
          </w:tcPr>
          <w:p>
            <w:pPr>
              <w:pStyle w:val="TableContents"/>
              <w:spacing w:before="0" w:after="283"/>
              <w:jc w:val="right"/>
              <w:rPr/>
            </w:pPr>
            <w:r>
              <w:rPr/>
              <w:t> </w:t>
            </w:r>
          </w:p>
        </w:tc>
        <w:tc>
          <w:tcPr>
            <w:tcW w:w="88" w:type="dxa"/>
            <w:tcBorders/>
            <w:shd w:fill="auto" w:val="clear"/>
            <w:vAlign w:val="bottom"/>
          </w:tcPr>
          <w:p>
            <w:pPr>
              <w:pStyle w:val="TableContents"/>
              <w:spacing w:before="0" w:after="283"/>
              <w:jc w:val="left"/>
              <w:rPr/>
            </w:pPr>
            <w:r>
              <w:rPr/>
              <w:t> </w:t>
            </w:r>
          </w:p>
        </w:tc>
        <w:tc>
          <w:tcPr>
            <w:tcW w:w="716"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N/A</w:t>
            </w:r>
          </w:p>
        </w:tc>
        <w:tc>
          <w:tcPr>
            <w:tcW w:w="200" w:type="dxa"/>
            <w:tcBorders/>
            <w:shd w:fill="auto" w:val="clear"/>
            <w:vAlign w:val="bottom"/>
          </w:tcPr>
          <w:p>
            <w:pPr>
              <w:pStyle w:val="TableContents"/>
              <w:spacing w:before="0" w:after="283"/>
              <w:jc w:val="left"/>
              <w:rPr/>
            </w:pPr>
            <w:r>
              <w:rPr/>
              <w:t> </w:t>
            </w:r>
          </w:p>
        </w:tc>
      </w:tr>
      <w:tr>
        <w:trPr/>
        <w:tc>
          <w:tcPr>
            <w:tcW w:w="3995" w:type="dxa"/>
            <w:tcBorders/>
            <w:shd w:fill="CCEE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City Bank</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414,559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485"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12.30</w:t>
            </w:r>
          </w:p>
        </w:tc>
        <w:tc>
          <w:tcPr>
            <w:tcW w:w="18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right"/>
              <w:rPr/>
            </w:pPr>
            <w:r>
              <w:rPr/>
              <w:t> </w:t>
            </w:r>
          </w:p>
        </w:tc>
        <w:tc>
          <w:tcPr>
            <w:tcW w:w="141" w:type="dxa"/>
            <w:tcBorders/>
            <w:shd w:fill="CCEEFF" w:val="clear"/>
            <w:vAlign w:val="bottom"/>
          </w:tcPr>
          <w:p>
            <w:pPr>
              <w:pStyle w:val="TableContents"/>
              <w:spacing w:before="0" w:after="283"/>
              <w:jc w:val="left"/>
              <w:rPr/>
            </w:pPr>
            <w:r>
              <w:rPr/>
              <w:t> </w:t>
            </w:r>
          </w:p>
        </w:tc>
        <w:tc>
          <w:tcPr>
            <w:tcW w:w="788"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286,545</w:t>
            </w:r>
          </w:p>
        </w:tc>
        <w:tc>
          <w:tcPr>
            <w:tcW w:w="68" w:type="dxa"/>
            <w:tcBorders/>
            <w:shd w:fill="CCEEFF" w:val="clear"/>
            <w:vAlign w:val="bottom"/>
          </w:tcPr>
          <w:p>
            <w:pPr>
              <w:pStyle w:val="TableContents"/>
              <w:spacing w:before="0" w:after="283"/>
              <w:jc w:val="left"/>
              <w:rPr/>
            </w:pPr>
            <w:r>
              <w:rPr/>
              <w:t> </w:t>
            </w:r>
          </w:p>
        </w:tc>
        <w:tc>
          <w:tcPr>
            <w:tcW w:w="68" w:type="dxa"/>
            <w:tcBorders/>
            <w:shd w:fill="CCEEFF" w:val="clear"/>
            <w:vAlign w:val="bottom"/>
          </w:tcPr>
          <w:p>
            <w:pPr>
              <w:pStyle w:val="TableContents"/>
              <w:spacing w:before="0" w:after="283"/>
              <w:jc w:val="right"/>
              <w:rPr/>
            </w:pPr>
            <w:r>
              <w:rPr/>
              <w:t> </w:t>
            </w:r>
          </w:p>
        </w:tc>
        <w:tc>
          <w:tcPr>
            <w:tcW w:w="68" w:type="dxa"/>
            <w:tcBorders/>
            <w:shd w:fill="CCEEFF" w:val="clear"/>
            <w:vAlign w:val="bottom"/>
          </w:tcPr>
          <w:p>
            <w:pPr>
              <w:pStyle w:val="TableContents"/>
              <w:spacing w:before="0" w:after="283"/>
              <w:jc w:val="left"/>
              <w:rPr/>
            </w:pPr>
            <w:r>
              <w:rPr/>
              <w:t> </w:t>
            </w:r>
          </w:p>
        </w:tc>
        <w:tc>
          <w:tcPr>
            <w:tcW w:w="550"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8.50</w:t>
            </w:r>
          </w:p>
        </w:tc>
        <w:tc>
          <w:tcPr>
            <w:tcW w:w="18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right"/>
              <w:rPr/>
            </w:pPr>
            <w:r>
              <w:rPr/>
              <w:t> </w:t>
            </w:r>
          </w:p>
        </w:tc>
        <w:tc>
          <w:tcPr>
            <w:tcW w:w="184" w:type="dxa"/>
            <w:tcBorders/>
            <w:shd w:fill="CCEEFF" w:val="clear"/>
            <w:vAlign w:val="bottom"/>
          </w:tcPr>
          <w:p>
            <w:pPr>
              <w:pStyle w:val="TableContents"/>
              <w:spacing w:before="0" w:after="283"/>
              <w:jc w:val="left"/>
              <w:rPr/>
            </w:pPr>
            <w:r>
              <w:rPr/>
              <w:t> </w:t>
            </w:r>
          </w:p>
        </w:tc>
        <w:tc>
          <w:tcPr>
            <w:tcW w:w="1027"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269,689</w:t>
            </w:r>
          </w:p>
        </w:tc>
        <w:tc>
          <w:tcPr>
            <w:tcW w:w="88" w:type="dxa"/>
            <w:tcBorders/>
            <w:shd w:fill="CCEEFF" w:val="clear"/>
            <w:vAlign w:val="bottom"/>
          </w:tcPr>
          <w:p>
            <w:pPr>
              <w:pStyle w:val="TableContents"/>
              <w:spacing w:before="0" w:after="283"/>
              <w:jc w:val="left"/>
              <w:rPr/>
            </w:pPr>
            <w:r>
              <w:rPr/>
              <w:t> </w:t>
            </w:r>
          </w:p>
        </w:tc>
        <w:tc>
          <w:tcPr>
            <w:tcW w:w="88" w:type="dxa"/>
            <w:tcBorders/>
            <w:shd w:fill="CCEEFF" w:val="clear"/>
            <w:vAlign w:val="bottom"/>
          </w:tcPr>
          <w:p>
            <w:pPr>
              <w:pStyle w:val="TableContents"/>
              <w:spacing w:before="0" w:after="283"/>
              <w:jc w:val="right"/>
              <w:rPr/>
            </w:pPr>
            <w:r>
              <w:rPr/>
              <w:t> </w:t>
            </w:r>
          </w:p>
        </w:tc>
        <w:tc>
          <w:tcPr>
            <w:tcW w:w="88" w:type="dxa"/>
            <w:tcBorders/>
            <w:shd w:fill="CCEEFF" w:val="clear"/>
            <w:vAlign w:val="bottom"/>
          </w:tcPr>
          <w:p>
            <w:pPr>
              <w:pStyle w:val="TableContents"/>
              <w:spacing w:before="0" w:after="283"/>
              <w:jc w:val="left"/>
              <w:rPr/>
            </w:pPr>
            <w:r>
              <w:rPr/>
              <w:t> </w:t>
            </w:r>
          </w:p>
        </w:tc>
        <w:tc>
          <w:tcPr>
            <w:tcW w:w="716"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8.00</w:t>
            </w:r>
          </w:p>
        </w:tc>
        <w:tc>
          <w:tcPr>
            <w:tcW w:w="200"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r>
      <w:tr>
        <w:trPr/>
        <w:tc>
          <w:tcPr>
            <w:tcW w:w="39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485" w:type="dxa"/>
            <w:tcBorders/>
            <w:shd w:fill="auto" w:val="clear"/>
            <w:vAlign w:val="bottom"/>
          </w:tcPr>
          <w:p>
            <w:pPr>
              <w:pStyle w:val="TableContents"/>
              <w:spacing w:before="0" w:after="283"/>
              <w:jc w:val="right"/>
              <w:rPr/>
            </w:pPr>
            <w:r>
              <w:rPr/>
              <w:t> </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1" w:type="dxa"/>
            <w:tcBorders/>
            <w:shd w:fill="auto" w:val="clear"/>
            <w:vAlign w:val="bottom"/>
          </w:tcPr>
          <w:p>
            <w:pPr>
              <w:pStyle w:val="TableContents"/>
              <w:spacing w:before="0" w:after="283"/>
              <w:jc w:val="left"/>
              <w:rPr/>
            </w:pPr>
            <w:r>
              <w:rPr/>
              <w:t> </w:t>
            </w:r>
          </w:p>
        </w:tc>
        <w:tc>
          <w:tcPr>
            <w:tcW w:w="788" w:type="dxa"/>
            <w:tcBorders/>
            <w:shd w:fill="auto" w:val="clear"/>
            <w:vAlign w:val="bottom"/>
          </w:tcPr>
          <w:p>
            <w:pPr>
              <w:pStyle w:val="TableContents"/>
              <w:spacing w:before="0" w:after="283"/>
              <w:jc w:val="right"/>
              <w:rPr/>
            </w:pPr>
            <w:r>
              <w:rPr/>
              <w:t> </w:t>
            </w:r>
          </w:p>
        </w:tc>
        <w:tc>
          <w:tcPr>
            <w:tcW w:w="68" w:type="dxa"/>
            <w:tcBorders/>
            <w:shd w:fill="auto" w:val="clear"/>
            <w:vAlign w:val="bottom"/>
          </w:tcPr>
          <w:p>
            <w:pPr>
              <w:pStyle w:val="TableContents"/>
              <w:spacing w:before="0" w:after="283"/>
              <w:jc w:val="left"/>
              <w:rPr/>
            </w:pPr>
            <w:r>
              <w:rPr/>
              <w:t> </w:t>
            </w:r>
          </w:p>
        </w:tc>
        <w:tc>
          <w:tcPr>
            <w:tcW w:w="68" w:type="dxa"/>
            <w:tcBorders/>
            <w:shd w:fill="auto" w:val="clear"/>
            <w:vAlign w:val="bottom"/>
          </w:tcPr>
          <w:p>
            <w:pPr>
              <w:pStyle w:val="TableContents"/>
              <w:spacing w:before="0" w:after="283"/>
              <w:jc w:val="right"/>
              <w:rPr/>
            </w:pPr>
            <w:r>
              <w:rPr/>
              <w:t> </w:t>
            </w:r>
          </w:p>
        </w:tc>
        <w:tc>
          <w:tcPr>
            <w:tcW w:w="68" w:type="dxa"/>
            <w:tcBorders/>
            <w:shd w:fill="auto" w:val="clear"/>
            <w:vAlign w:val="bottom"/>
          </w:tcPr>
          <w:p>
            <w:pPr>
              <w:pStyle w:val="TableContents"/>
              <w:spacing w:before="0" w:after="283"/>
              <w:jc w:val="left"/>
              <w:rPr/>
            </w:pPr>
            <w:r>
              <w:rPr/>
              <w:t> </w:t>
            </w:r>
          </w:p>
        </w:tc>
        <w:tc>
          <w:tcPr>
            <w:tcW w:w="550" w:type="dxa"/>
            <w:tcBorders/>
            <w:shd w:fill="auto" w:val="clear"/>
            <w:vAlign w:val="bottom"/>
          </w:tcPr>
          <w:p>
            <w:pPr>
              <w:pStyle w:val="TableContents"/>
              <w:spacing w:before="0" w:after="283"/>
              <w:jc w:val="right"/>
              <w:rPr/>
            </w:pPr>
            <w:r>
              <w:rPr/>
              <w:t> </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84" w:type="dxa"/>
            <w:tcBorders/>
            <w:shd w:fill="auto" w:val="clear"/>
            <w:vAlign w:val="bottom"/>
          </w:tcPr>
          <w:p>
            <w:pPr>
              <w:pStyle w:val="TableContents"/>
              <w:spacing w:before="0" w:after="283"/>
              <w:jc w:val="left"/>
              <w:rPr/>
            </w:pPr>
            <w:r>
              <w:rPr/>
              <w:t> </w:t>
            </w:r>
          </w:p>
        </w:tc>
        <w:tc>
          <w:tcPr>
            <w:tcW w:w="1027" w:type="dxa"/>
            <w:tcBorders/>
            <w:shd w:fill="auto" w:val="clear"/>
            <w:vAlign w:val="bottom"/>
          </w:tcPr>
          <w:p>
            <w:pPr>
              <w:pStyle w:val="TableContents"/>
              <w:spacing w:before="0" w:after="283"/>
              <w:jc w:val="right"/>
              <w:rPr/>
            </w:pPr>
            <w:r>
              <w:rPr/>
              <w:t> </w:t>
            </w:r>
          </w:p>
        </w:tc>
        <w:tc>
          <w:tcPr>
            <w:tcW w:w="88" w:type="dxa"/>
            <w:tcBorders/>
            <w:shd w:fill="auto" w:val="clear"/>
            <w:vAlign w:val="bottom"/>
          </w:tcPr>
          <w:p>
            <w:pPr>
              <w:pStyle w:val="TableContents"/>
              <w:spacing w:before="0" w:after="283"/>
              <w:jc w:val="left"/>
              <w:rPr/>
            </w:pPr>
            <w:r>
              <w:rPr/>
              <w:t> </w:t>
            </w:r>
          </w:p>
        </w:tc>
        <w:tc>
          <w:tcPr>
            <w:tcW w:w="88" w:type="dxa"/>
            <w:tcBorders/>
            <w:shd w:fill="auto" w:val="clear"/>
            <w:vAlign w:val="bottom"/>
          </w:tcPr>
          <w:p>
            <w:pPr>
              <w:pStyle w:val="TableContents"/>
              <w:spacing w:before="0" w:after="283"/>
              <w:jc w:val="right"/>
              <w:rPr/>
            </w:pPr>
            <w:r>
              <w:rPr/>
              <w:t> </w:t>
            </w:r>
          </w:p>
        </w:tc>
        <w:tc>
          <w:tcPr>
            <w:tcW w:w="88" w:type="dxa"/>
            <w:tcBorders/>
            <w:shd w:fill="auto" w:val="clear"/>
            <w:vAlign w:val="bottom"/>
          </w:tcPr>
          <w:p>
            <w:pPr>
              <w:pStyle w:val="TableContents"/>
              <w:spacing w:before="0" w:after="283"/>
              <w:jc w:val="left"/>
              <w:rPr/>
            </w:pPr>
            <w:r>
              <w:rPr/>
              <w:t> </w:t>
            </w:r>
          </w:p>
        </w:tc>
        <w:tc>
          <w:tcPr>
            <w:tcW w:w="716" w:type="dxa"/>
            <w:tcBorders/>
            <w:shd w:fill="auto" w:val="clear"/>
            <w:vAlign w:val="bottom"/>
          </w:tcPr>
          <w:p>
            <w:pPr>
              <w:pStyle w:val="TableContents"/>
              <w:spacing w:before="0" w:after="283"/>
              <w:jc w:val="right"/>
              <w:rPr/>
            </w:pPr>
            <w:r>
              <w:rPr/>
              <w:t> </w:t>
            </w:r>
          </w:p>
        </w:tc>
        <w:tc>
          <w:tcPr>
            <w:tcW w:w="200" w:type="dxa"/>
            <w:tcBorders/>
            <w:shd w:fill="auto" w:val="clear"/>
            <w:vAlign w:val="bottom"/>
          </w:tcPr>
          <w:p>
            <w:pPr>
              <w:pStyle w:val="TableContents"/>
              <w:spacing w:before="0" w:after="283"/>
              <w:jc w:val="left"/>
              <w:rPr/>
            </w:pPr>
            <w:r>
              <w:rPr/>
              <w:t> </w:t>
            </w:r>
          </w:p>
        </w:tc>
      </w:tr>
      <w:tr>
        <w:trPr/>
        <w:tc>
          <w:tcPr>
            <w:tcW w:w="3995" w:type="dxa"/>
            <w:tcBorders/>
            <w:shd w:fill="CCEE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Common Equity Tier 1 to Risk Weighted Assets:</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485" w:type="dxa"/>
            <w:tcBorders/>
            <w:shd w:fill="CCEEFF" w:val="clear"/>
            <w:vAlign w:val="bottom"/>
          </w:tcPr>
          <w:p>
            <w:pPr>
              <w:pStyle w:val="TableContents"/>
              <w:spacing w:before="0" w:after="283"/>
              <w:jc w:val="right"/>
              <w:rPr/>
            </w:pPr>
            <w:r>
              <w:rPr/>
              <w:t> </w:t>
            </w:r>
          </w:p>
        </w:tc>
        <w:tc>
          <w:tcPr>
            <w:tcW w:w="18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1" w:type="dxa"/>
            <w:tcBorders/>
            <w:shd w:fill="CCEEFF" w:val="clear"/>
            <w:vAlign w:val="bottom"/>
          </w:tcPr>
          <w:p>
            <w:pPr>
              <w:pStyle w:val="TableContents"/>
              <w:spacing w:before="0" w:after="283"/>
              <w:jc w:val="left"/>
              <w:rPr/>
            </w:pPr>
            <w:r>
              <w:rPr/>
              <w:t> </w:t>
            </w:r>
          </w:p>
        </w:tc>
        <w:tc>
          <w:tcPr>
            <w:tcW w:w="788" w:type="dxa"/>
            <w:tcBorders/>
            <w:shd w:fill="CCEEFF" w:val="clear"/>
            <w:vAlign w:val="bottom"/>
          </w:tcPr>
          <w:p>
            <w:pPr>
              <w:pStyle w:val="TableContents"/>
              <w:spacing w:before="0" w:after="283"/>
              <w:jc w:val="right"/>
              <w:rPr/>
            </w:pPr>
            <w:r>
              <w:rPr/>
              <w:t> </w:t>
            </w:r>
          </w:p>
        </w:tc>
        <w:tc>
          <w:tcPr>
            <w:tcW w:w="68" w:type="dxa"/>
            <w:tcBorders/>
            <w:shd w:fill="CCEEFF" w:val="clear"/>
            <w:vAlign w:val="bottom"/>
          </w:tcPr>
          <w:p>
            <w:pPr>
              <w:pStyle w:val="TableContents"/>
              <w:spacing w:before="0" w:after="283"/>
              <w:jc w:val="left"/>
              <w:rPr/>
            </w:pPr>
            <w:r>
              <w:rPr/>
              <w:t> </w:t>
            </w:r>
          </w:p>
        </w:tc>
        <w:tc>
          <w:tcPr>
            <w:tcW w:w="68" w:type="dxa"/>
            <w:tcBorders/>
            <w:shd w:fill="CCEEFF" w:val="clear"/>
            <w:vAlign w:val="bottom"/>
          </w:tcPr>
          <w:p>
            <w:pPr>
              <w:pStyle w:val="TableContents"/>
              <w:spacing w:before="0" w:after="283"/>
              <w:jc w:val="right"/>
              <w:rPr/>
            </w:pPr>
            <w:r>
              <w:rPr/>
              <w:t> </w:t>
            </w:r>
          </w:p>
        </w:tc>
        <w:tc>
          <w:tcPr>
            <w:tcW w:w="68" w:type="dxa"/>
            <w:tcBorders/>
            <w:shd w:fill="CCEEFF" w:val="clear"/>
            <w:vAlign w:val="bottom"/>
          </w:tcPr>
          <w:p>
            <w:pPr>
              <w:pStyle w:val="TableContents"/>
              <w:spacing w:before="0" w:after="283"/>
              <w:jc w:val="left"/>
              <w:rPr/>
            </w:pPr>
            <w:r>
              <w:rPr/>
              <w:t> </w:t>
            </w:r>
          </w:p>
        </w:tc>
        <w:tc>
          <w:tcPr>
            <w:tcW w:w="550" w:type="dxa"/>
            <w:tcBorders/>
            <w:shd w:fill="CCEEFF" w:val="clear"/>
            <w:vAlign w:val="bottom"/>
          </w:tcPr>
          <w:p>
            <w:pPr>
              <w:pStyle w:val="TableContents"/>
              <w:spacing w:before="0" w:after="283"/>
              <w:jc w:val="right"/>
              <w:rPr/>
            </w:pPr>
            <w:r>
              <w:rPr/>
              <w:t> </w:t>
            </w:r>
          </w:p>
        </w:tc>
        <w:tc>
          <w:tcPr>
            <w:tcW w:w="18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4" w:type="dxa"/>
            <w:tcBorders/>
            <w:shd w:fill="CCEEFF" w:val="clear"/>
            <w:vAlign w:val="bottom"/>
          </w:tcPr>
          <w:p>
            <w:pPr>
              <w:pStyle w:val="TableContents"/>
              <w:spacing w:before="0" w:after="283"/>
              <w:jc w:val="left"/>
              <w:rPr/>
            </w:pPr>
            <w:r>
              <w:rPr/>
              <w:t> </w:t>
            </w:r>
          </w:p>
        </w:tc>
        <w:tc>
          <w:tcPr>
            <w:tcW w:w="1027" w:type="dxa"/>
            <w:tcBorders/>
            <w:shd w:fill="CCEEFF" w:val="clear"/>
            <w:vAlign w:val="bottom"/>
          </w:tcPr>
          <w:p>
            <w:pPr>
              <w:pStyle w:val="TableContents"/>
              <w:spacing w:before="0" w:after="283"/>
              <w:jc w:val="right"/>
              <w:rPr/>
            </w:pPr>
            <w:r>
              <w:rPr/>
              <w:t> </w:t>
            </w:r>
          </w:p>
        </w:tc>
        <w:tc>
          <w:tcPr>
            <w:tcW w:w="88" w:type="dxa"/>
            <w:tcBorders/>
            <w:shd w:fill="CCEEFF" w:val="clear"/>
            <w:vAlign w:val="bottom"/>
          </w:tcPr>
          <w:p>
            <w:pPr>
              <w:pStyle w:val="TableContents"/>
              <w:spacing w:before="0" w:after="283"/>
              <w:jc w:val="left"/>
              <w:rPr/>
            </w:pPr>
            <w:r>
              <w:rPr/>
              <w:t> </w:t>
            </w:r>
          </w:p>
        </w:tc>
        <w:tc>
          <w:tcPr>
            <w:tcW w:w="88" w:type="dxa"/>
            <w:tcBorders/>
            <w:shd w:fill="CCEEFF" w:val="clear"/>
            <w:vAlign w:val="bottom"/>
          </w:tcPr>
          <w:p>
            <w:pPr>
              <w:pStyle w:val="TableContents"/>
              <w:spacing w:before="0" w:after="283"/>
              <w:jc w:val="right"/>
              <w:rPr/>
            </w:pPr>
            <w:r>
              <w:rPr/>
              <w:t> </w:t>
            </w:r>
          </w:p>
        </w:tc>
        <w:tc>
          <w:tcPr>
            <w:tcW w:w="88" w:type="dxa"/>
            <w:tcBorders/>
            <w:shd w:fill="CCEEFF" w:val="clear"/>
            <w:vAlign w:val="bottom"/>
          </w:tcPr>
          <w:p>
            <w:pPr>
              <w:pStyle w:val="TableContents"/>
              <w:spacing w:before="0" w:after="283"/>
              <w:jc w:val="left"/>
              <w:rPr/>
            </w:pPr>
            <w:r>
              <w:rPr/>
              <w:t> </w:t>
            </w:r>
          </w:p>
        </w:tc>
        <w:tc>
          <w:tcPr>
            <w:tcW w:w="716" w:type="dxa"/>
            <w:tcBorders/>
            <w:shd w:fill="CCEEFF" w:val="clear"/>
            <w:vAlign w:val="bottom"/>
          </w:tcPr>
          <w:p>
            <w:pPr>
              <w:pStyle w:val="TableContents"/>
              <w:spacing w:before="0" w:after="283"/>
              <w:jc w:val="right"/>
              <w:rPr/>
            </w:pPr>
            <w:r>
              <w:rPr/>
              <w:t> </w:t>
            </w:r>
          </w:p>
        </w:tc>
        <w:tc>
          <w:tcPr>
            <w:tcW w:w="200" w:type="dxa"/>
            <w:tcBorders/>
            <w:shd w:fill="CCEEFF" w:val="clear"/>
            <w:vAlign w:val="bottom"/>
          </w:tcPr>
          <w:p>
            <w:pPr>
              <w:pStyle w:val="TableContents"/>
              <w:spacing w:before="0" w:after="283"/>
              <w:jc w:val="left"/>
              <w:rPr/>
            </w:pPr>
            <w:r>
              <w:rPr/>
              <w:t> </w:t>
            </w:r>
          </w:p>
        </w:tc>
      </w:tr>
      <w:tr>
        <w:trPr/>
        <w:tc>
          <w:tcPr>
            <w:tcW w:w="3995" w:type="dxa"/>
            <w:tcBorders/>
            <w:shd w:fill="auto"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Consolidated</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398,265</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485"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11.81</w:t>
            </w:r>
          </w:p>
        </w:tc>
        <w:tc>
          <w:tcPr>
            <w:tcW w:w="185"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auto" w:val="clear"/>
            <w:vAlign w:val="bottom"/>
          </w:tcPr>
          <w:p>
            <w:pPr>
              <w:pStyle w:val="TableContents"/>
              <w:spacing w:before="0" w:after="283"/>
              <w:jc w:val="right"/>
              <w:rPr/>
            </w:pPr>
            <w:r>
              <w:rPr/>
              <w:t> </w:t>
            </w:r>
          </w:p>
        </w:tc>
        <w:tc>
          <w:tcPr>
            <w:tcW w:w="141" w:type="dxa"/>
            <w:tcBorders/>
            <w:shd w:fill="auto" w:val="clear"/>
            <w:vAlign w:val="bottom"/>
          </w:tcPr>
          <w:p>
            <w:pPr>
              <w:pStyle w:val="TableContents"/>
              <w:spacing w:before="0" w:after="283"/>
              <w:jc w:val="left"/>
              <w:rPr/>
            </w:pPr>
            <w:r>
              <w:rPr/>
              <w:t> </w:t>
            </w:r>
          </w:p>
        </w:tc>
        <w:tc>
          <w:tcPr>
            <w:tcW w:w="788"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236,030</w:t>
            </w:r>
          </w:p>
        </w:tc>
        <w:tc>
          <w:tcPr>
            <w:tcW w:w="68" w:type="dxa"/>
            <w:tcBorders/>
            <w:shd w:fill="auto" w:val="clear"/>
            <w:vAlign w:val="bottom"/>
          </w:tcPr>
          <w:p>
            <w:pPr>
              <w:pStyle w:val="TableContents"/>
              <w:spacing w:before="0" w:after="283"/>
              <w:jc w:val="left"/>
              <w:rPr/>
            </w:pPr>
            <w:r>
              <w:rPr/>
              <w:t> </w:t>
            </w:r>
          </w:p>
        </w:tc>
        <w:tc>
          <w:tcPr>
            <w:tcW w:w="68" w:type="dxa"/>
            <w:tcBorders/>
            <w:shd w:fill="auto" w:val="clear"/>
            <w:vAlign w:val="bottom"/>
          </w:tcPr>
          <w:p>
            <w:pPr>
              <w:pStyle w:val="TableContents"/>
              <w:spacing w:before="0" w:after="283"/>
              <w:jc w:val="right"/>
              <w:rPr/>
            </w:pPr>
            <w:r>
              <w:rPr/>
              <w:t> </w:t>
            </w:r>
          </w:p>
        </w:tc>
        <w:tc>
          <w:tcPr>
            <w:tcW w:w="68" w:type="dxa"/>
            <w:tcBorders/>
            <w:shd w:fill="auto" w:val="clear"/>
            <w:vAlign w:val="bottom"/>
          </w:tcPr>
          <w:p>
            <w:pPr>
              <w:pStyle w:val="TableContents"/>
              <w:spacing w:before="0" w:after="283"/>
              <w:jc w:val="left"/>
              <w:rPr/>
            </w:pPr>
            <w:r>
              <w:rPr/>
              <w:t> </w:t>
            </w:r>
          </w:p>
        </w:tc>
        <w:tc>
          <w:tcPr>
            <w:tcW w:w="550"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7.00</w:t>
            </w:r>
          </w:p>
        </w:tc>
        <w:tc>
          <w:tcPr>
            <w:tcW w:w="185"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auto" w:val="clear"/>
            <w:vAlign w:val="bottom"/>
          </w:tcPr>
          <w:p>
            <w:pPr>
              <w:pStyle w:val="TableContents"/>
              <w:spacing w:before="0" w:after="283"/>
              <w:jc w:val="right"/>
              <w:rPr/>
            </w:pPr>
            <w:r>
              <w:rPr/>
              <w:t> </w:t>
            </w:r>
          </w:p>
        </w:tc>
        <w:tc>
          <w:tcPr>
            <w:tcW w:w="184" w:type="dxa"/>
            <w:tcBorders/>
            <w:shd w:fill="auto" w:val="clear"/>
            <w:vAlign w:val="bottom"/>
          </w:tcPr>
          <w:p>
            <w:pPr>
              <w:pStyle w:val="TableContents"/>
              <w:spacing w:before="0" w:after="283"/>
              <w:jc w:val="left"/>
              <w:rPr/>
            </w:pPr>
            <w:r>
              <w:rPr/>
              <w:t> </w:t>
            </w:r>
          </w:p>
        </w:tc>
        <w:tc>
          <w:tcPr>
            <w:tcW w:w="1027"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N/A</w:t>
            </w:r>
          </w:p>
        </w:tc>
        <w:tc>
          <w:tcPr>
            <w:tcW w:w="88" w:type="dxa"/>
            <w:tcBorders/>
            <w:shd w:fill="auto" w:val="clear"/>
            <w:vAlign w:val="bottom"/>
          </w:tcPr>
          <w:p>
            <w:pPr>
              <w:pStyle w:val="TableContents"/>
              <w:spacing w:before="0" w:after="283"/>
              <w:jc w:val="left"/>
              <w:rPr/>
            </w:pPr>
            <w:r>
              <w:rPr/>
              <w:t> </w:t>
            </w:r>
          </w:p>
        </w:tc>
        <w:tc>
          <w:tcPr>
            <w:tcW w:w="88" w:type="dxa"/>
            <w:tcBorders/>
            <w:shd w:fill="auto" w:val="clear"/>
            <w:vAlign w:val="bottom"/>
          </w:tcPr>
          <w:p>
            <w:pPr>
              <w:pStyle w:val="TableContents"/>
              <w:spacing w:before="0" w:after="283"/>
              <w:jc w:val="right"/>
              <w:rPr/>
            </w:pPr>
            <w:r>
              <w:rPr/>
              <w:t> </w:t>
            </w:r>
          </w:p>
        </w:tc>
        <w:tc>
          <w:tcPr>
            <w:tcW w:w="88" w:type="dxa"/>
            <w:tcBorders/>
            <w:shd w:fill="auto" w:val="clear"/>
            <w:vAlign w:val="bottom"/>
          </w:tcPr>
          <w:p>
            <w:pPr>
              <w:pStyle w:val="TableContents"/>
              <w:spacing w:before="0" w:after="283"/>
              <w:jc w:val="left"/>
              <w:rPr/>
            </w:pPr>
            <w:r>
              <w:rPr/>
              <w:t> </w:t>
            </w:r>
          </w:p>
        </w:tc>
        <w:tc>
          <w:tcPr>
            <w:tcW w:w="716"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N/A</w:t>
            </w:r>
          </w:p>
        </w:tc>
        <w:tc>
          <w:tcPr>
            <w:tcW w:w="200" w:type="dxa"/>
            <w:tcBorders/>
            <w:shd w:fill="auto" w:val="clear"/>
            <w:vAlign w:val="bottom"/>
          </w:tcPr>
          <w:p>
            <w:pPr>
              <w:pStyle w:val="TableContents"/>
              <w:spacing w:before="0" w:after="283"/>
              <w:jc w:val="left"/>
              <w:rPr/>
            </w:pPr>
            <w:r>
              <w:rPr/>
              <w:t> </w:t>
            </w:r>
          </w:p>
        </w:tc>
      </w:tr>
      <w:tr>
        <w:trPr/>
        <w:tc>
          <w:tcPr>
            <w:tcW w:w="3995" w:type="dxa"/>
            <w:tcBorders/>
            <w:shd w:fill="CCEE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City Bank</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414,559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485"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12.30</w:t>
            </w:r>
          </w:p>
        </w:tc>
        <w:tc>
          <w:tcPr>
            <w:tcW w:w="18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right"/>
              <w:rPr/>
            </w:pPr>
            <w:r>
              <w:rPr/>
              <w:t> </w:t>
            </w:r>
          </w:p>
        </w:tc>
        <w:tc>
          <w:tcPr>
            <w:tcW w:w="141" w:type="dxa"/>
            <w:tcBorders/>
            <w:shd w:fill="CCEEFF" w:val="clear"/>
            <w:vAlign w:val="bottom"/>
          </w:tcPr>
          <w:p>
            <w:pPr>
              <w:pStyle w:val="TableContents"/>
              <w:spacing w:before="0" w:after="283"/>
              <w:jc w:val="left"/>
              <w:rPr/>
            </w:pPr>
            <w:r>
              <w:rPr/>
              <w:t> </w:t>
            </w:r>
          </w:p>
        </w:tc>
        <w:tc>
          <w:tcPr>
            <w:tcW w:w="788"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235,978</w:t>
            </w:r>
          </w:p>
        </w:tc>
        <w:tc>
          <w:tcPr>
            <w:tcW w:w="68" w:type="dxa"/>
            <w:tcBorders/>
            <w:shd w:fill="CCEEFF" w:val="clear"/>
            <w:vAlign w:val="bottom"/>
          </w:tcPr>
          <w:p>
            <w:pPr>
              <w:pStyle w:val="TableContents"/>
              <w:spacing w:before="0" w:after="283"/>
              <w:jc w:val="left"/>
              <w:rPr/>
            </w:pPr>
            <w:r>
              <w:rPr/>
              <w:t> </w:t>
            </w:r>
          </w:p>
        </w:tc>
        <w:tc>
          <w:tcPr>
            <w:tcW w:w="68" w:type="dxa"/>
            <w:tcBorders/>
            <w:shd w:fill="CCEEFF" w:val="clear"/>
            <w:vAlign w:val="bottom"/>
          </w:tcPr>
          <w:p>
            <w:pPr>
              <w:pStyle w:val="TableContents"/>
              <w:spacing w:before="0" w:after="283"/>
              <w:jc w:val="right"/>
              <w:rPr/>
            </w:pPr>
            <w:r>
              <w:rPr/>
              <w:t> </w:t>
            </w:r>
          </w:p>
        </w:tc>
        <w:tc>
          <w:tcPr>
            <w:tcW w:w="68" w:type="dxa"/>
            <w:tcBorders/>
            <w:shd w:fill="CCEEFF" w:val="clear"/>
            <w:vAlign w:val="bottom"/>
          </w:tcPr>
          <w:p>
            <w:pPr>
              <w:pStyle w:val="TableContents"/>
              <w:spacing w:before="0" w:after="283"/>
              <w:jc w:val="left"/>
              <w:rPr/>
            </w:pPr>
            <w:r>
              <w:rPr/>
              <w:t> </w:t>
            </w:r>
          </w:p>
        </w:tc>
        <w:tc>
          <w:tcPr>
            <w:tcW w:w="550"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7.00</w:t>
            </w:r>
          </w:p>
        </w:tc>
        <w:tc>
          <w:tcPr>
            <w:tcW w:w="18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right"/>
              <w:rPr/>
            </w:pPr>
            <w:r>
              <w:rPr/>
              <w:t> </w:t>
            </w:r>
          </w:p>
        </w:tc>
        <w:tc>
          <w:tcPr>
            <w:tcW w:w="184" w:type="dxa"/>
            <w:tcBorders/>
            <w:shd w:fill="CCEEFF" w:val="clear"/>
            <w:vAlign w:val="bottom"/>
          </w:tcPr>
          <w:p>
            <w:pPr>
              <w:pStyle w:val="TableContents"/>
              <w:spacing w:before="0" w:after="283"/>
              <w:jc w:val="left"/>
              <w:rPr/>
            </w:pPr>
            <w:r>
              <w:rPr/>
              <w:t> </w:t>
            </w:r>
          </w:p>
        </w:tc>
        <w:tc>
          <w:tcPr>
            <w:tcW w:w="1027"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219,122</w:t>
            </w:r>
          </w:p>
        </w:tc>
        <w:tc>
          <w:tcPr>
            <w:tcW w:w="88" w:type="dxa"/>
            <w:tcBorders/>
            <w:shd w:fill="CCEEFF" w:val="clear"/>
            <w:vAlign w:val="bottom"/>
          </w:tcPr>
          <w:p>
            <w:pPr>
              <w:pStyle w:val="TableContents"/>
              <w:spacing w:before="0" w:after="283"/>
              <w:jc w:val="left"/>
              <w:rPr/>
            </w:pPr>
            <w:r>
              <w:rPr/>
              <w:t> </w:t>
            </w:r>
          </w:p>
        </w:tc>
        <w:tc>
          <w:tcPr>
            <w:tcW w:w="88" w:type="dxa"/>
            <w:tcBorders/>
            <w:shd w:fill="CCEEFF" w:val="clear"/>
            <w:vAlign w:val="bottom"/>
          </w:tcPr>
          <w:p>
            <w:pPr>
              <w:pStyle w:val="TableContents"/>
              <w:spacing w:before="0" w:after="283"/>
              <w:jc w:val="right"/>
              <w:rPr/>
            </w:pPr>
            <w:r>
              <w:rPr/>
              <w:t> </w:t>
            </w:r>
          </w:p>
        </w:tc>
        <w:tc>
          <w:tcPr>
            <w:tcW w:w="88" w:type="dxa"/>
            <w:tcBorders/>
            <w:shd w:fill="CCEEFF" w:val="clear"/>
            <w:vAlign w:val="bottom"/>
          </w:tcPr>
          <w:p>
            <w:pPr>
              <w:pStyle w:val="TableContents"/>
              <w:spacing w:before="0" w:after="283"/>
              <w:jc w:val="left"/>
              <w:rPr/>
            </w:pPr>
            <w:r>
              <w:rPr/>
              <w:t> </w:t>
            </w:r>
          </w:p>
        </w:tc>
        <w:tc>
          <w:tcPr>
            <w:tcW w:w="716"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6.50</w:t>
            </w:r>
          </w:p>
        </w:tc>
        <w:tc>
          <w:tcPr>
            <w:tcW w:w="200"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r>
      <w:tr>
        <w:trPr/>
        <w:tc>
          <w:tcPr>
            <w:tcW w:w="39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485" w:type="dxa"/>
            <w:tcBorders/>
            <w:shd w:fill="auto" w:val="clear"/>
            <w:vAlign w:val="bottom"/>
          </w:tcPr>
          <w:p>
            <w:pPr>
              <w:pStyle w:val="TableContents"/>
              <w:spacing w:before="0" w:after="283"/>
              <w:jc w:val="right"/>
              <w:rPr/>
            </w:pPr>
            <w:r>
              <w:rPr/>
              <w:t> </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1" w:type="dxa"/>
            <w:tcBorders/>
            <w:shd w:fill="auto" w:val="clear"/>
            <w:vAlign w:val="bottom"/>
          </w:tcPr>
          <w:p>
            <w:pPr>
              <w:pStyle w:val="TableContents"/>
              <w:spacing w:before="0" w:after="283"/>
              <w:jc w:val="left"/>
              <w:rPr/>
            </w:pPr>
            <w:r>
              <w:rPr/>
              <w:t> </w:t>
            </w:r>
          </w:p>
        </w:tc>
        <w:tc>
          <w:tcPr>
            <w:tcW w:w="788" w:type="dxa"/>
            <w:tcBorders/>
            <w:shd w:fill="auto" w:val="clear"/>
            <w:vAlign w:val="bottom"/>
          </w:tcPr>
          <w:p>
            <w:pPr>
              <w:pStyle w:val="TableContents"/>
              <w:spacing w:before="0" w:after="283"/>
              <w:jc w:val="right"/>
              <w:rPr/>
            </w:pPr>
            <w:r>
              <w:rPr/>
              <w:t> </w:t>
            </w:r>
          </w:p>
        </w:tc>
        <w:tc>
          <w:tcPr>
            <w:tcW w:w="68" w:type="dxa"/>
            <w:tcBorders/>
            <w:shd w:fill="auto" w:val="clear"/>
            <w:vAlign w:val="bottom"/>
          </w:tcPr>
          <w:p>
            <w:pPr>
              <w:pStyle w:val="TableContents"/>
              <w:spacing w:before="0" w:after="283"/>
              <w:jc w:val="left"/>
              <w:rPr/>
            </w:pPr>
            <w:r>
              <w:rPr/>
              <w:t> </w:t>
            </w:r>
          </w:p>
        </w:tc>
        <w:tc>
          <w:tcPr>
            <w:tcW w:w="68" w:type="dxa"/>
            <w:tcBorders/>
            <w:shd w:fill="auto" w:val="clear"/>
            <w:vAlign w:val="bottom"/>
          </w:tcPr>
          <w:p>
            <w:pPr>
              <w:pStyle w:val="TableContents"/>
              <w:spacing w:before="0" w:after="283"/>
              <w:jc w:val="right"/>
              <w:rPr/>
            </w:pPr>
            <w:r>
              <w:rPr/>
              <w:t> </w:t>
            </w:r>
          </w:p>
        </w:tc>
        <w:tc>
          <w:tcPr>
            <w:tcW w:w="68" w:type="dxa"/>
            <w:tcBorders/>
            <w:shd w:fill="auto" w:val="clear"/>
            <w:vAlign w:val="bottom"/>
          </w:tcPr>
          <w:p>
            <w:pPr>
              <w:pStyle w:val="TableContents"/>
              <w:spacing w:before="0" w:after="283"/>
              <w:jc w:val="left"/>
              <w:rPr/>
            </w:pPr>
            <w:r>
              <w:rPr/>
              <w:t> </w:t>
            </w:r>
          </w:p>
        </w:tc>
        <w:tc>
          <w:tcPr>
            <w:tcW w:w="550" w:type="dxa"/>
            <w:tcBorders/>
            <w:shd w:fill="auto" w:val="clear"/>
            <w:vAlign w:val="bottom"/>
          </w:tcPr>
          <w:p>
            <w:pPr>
              <w:pStyle w:val="TableContents"/>
              <w:spacing w:before="0" w:after="283"/>
              <w:jc w:val="right"/>
              <w:rPr/>
            </w:pPr>
            <w:r>
              <w:rPr/>
              <w:t> </w:t>
            </w:r>
          </w:p>
        </w:tc>
        <w:tc>
          <w:tcPr>
            <w:tcW w:w="185"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84" w:type="dxa"/>
            <w:tcBorders/>
            <w:shd w:fill="auto" w:val="clear"/>
            <w:vAlign w:val="bottom"/>
          </w:tcPr>
          <w:p>
            <w:pPr>
              <w:pStyle w:val="TableContents"/>
              <w:spacing w:before="0" w:after="283"/>
              <w:jc w:val="left"/>
              <w:rPr/>
            </w:pPr>
            <w:r>
              <w:rPr/>
              <w:t> </w:t>
            </w:r>
          </w:p>
        </w:tc>
        <w:tc>
          <w:tcPr>
            <w:tcW w:w="1027" w:type="dxa"/>
            <w:tcBorders/>
            <w:shd w:fill="auto" w:val="clear"/>
            <w:vAlign w:val="bottom"/>
          </w:tcPr>
          <w:p>
            <w:pPr>
              <w:pStyle w:val="TableContents"/>
              <w:spacing w:before="0" w:after="283"/>
              <w:jc w:val="right"/>
              <w:rPr/>
            </w:pPr>
            <w:r>
              <w:rPr/>
              <w:t> </w:t>
            </w:r>
          </w:p>
        </w:tc>
        <w:tc>
          <w:tcPr>
            <w:tcW w:w="88" w:type="dxa"/>
            <w:tcBorders/>
            <w:shd w:fill="auto" w:val="clear"/>
            <w:vAlign w:val="bottom"/>
          </w:tcPr>
          <w:p>
            <w:pPr>
              <w:pStyle w:val="TableContents"/>
              <w:spacing w:before="0" w:after="283"/>
              <w:jc w:val="left"/>
              <w:rPr/>
            </w:pPr>
            <w:r>
              <w:rPr/>
              <w:t> </w:t>
            </w:r>
          </w:p>
        </w:tc>
        <w:tc>
          <w:tcPr>
            <w:tcW w:w="88" w:type="dxa"/>
            <w:tcBorders/>
            <w:shd w:fill="auto" w:val="clear"/>
            <w:vAlign w:val="bottom"/>
          </w:tcPr>
          <w:p>
            <w:pPr>
              <w:pStyle w:val="TableContents"/>
              <w:spacing w:before="0" w:after="283"/>
              <w:jc w:val="right"/>
              <w:rPr/>
            </w:pPr>
            <w:r>
              <w:rPr/>
              <w:t> </w:t>
            </w:r>
          </w:p>
        </w:tc>
        <w:tc>
          <w:tcPr>
            <w:tcW w:w="88" w:type="dxa"/>
            <w:tcBorders/>
            <w:shd w:fill="auto" w:val="clear"/>
            <w:vAlign w:val="bottom"/>
          </w:tcPr>
          <w:p>
            <w:pPr>
              <w:pStyle w:val="TableContents"/>
              <w:spacing w:before="0" w:after="283"/>
              <w:jc w:val="left"/>
              <w:rPr/>
            </w:pPr>
            <w:r>
              <w:rPr/>
              <w:t> </w:t>
            </w:r>
          </w:p>
        </w:tc>
        <w:tc>
          <w:tcPr>
            <w:tcW w:w="716" w:type="dxa"/>
            <w:tcBorders/>
            <w:shd w:fill="auto" w:val="clear"/>
            <w:vAlign w:val="bottom"/>
          </w:tcPr>
          <w:p>
            <w:pPr>
              <w:pStyle w:val="TableContents"/>
              <w:spacing w:before="0" w:after="283"/>
              <w:jc w:val="right"/>
              <w:rPr/>
            </w:pPr>
            <w:r>
              <w:rPr/>
              <w:t> </w:t>
            </w:r>
          </w:p>
        </w:tc>
        <w:tc>
          <w:tcPr>
            <w:tcW w:w="200" w:type="dxa"/>
            <w:tcBorders/>
            <w:shd w:fill="auto" w:val="clear"/>
            <w:vAlign w:val="bottom"/>
          </w:tcPr>
          <w:p>
            <w:pPr>
              <w:pStyle w:val="TableContents"/>
              <w:spacing w:before="0" w:after="283"/>
              <w:jc w:val="left"/>
              <w:rPr/>
            </w:pPr>
            <w:r>
              <w:rPr/>
              <w:t> </w:t>
            </w:r>
          </w:p>
        </w:tc>
      </w:tr>
      <w:tr>
        <w:trPr/>
        <w:tc>
          <w:tcPr>
            <w:tcW w:w="3995" w:type="dxa"/>
            <w:tcBorders/>
            <w:shd w:fill="CCEE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Tier I Capital to Average Assets:</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485" w:type="dxa"/>
            <w:tcBorders/>
            <w:shd w:fill="CCEEFF" w:val="clear"/>
            <w:vAlign w:val="bottom"/>
          </w:tcPr>
          <w:p>
            <w:pPr>
              <w:pStyle w:val="TableContents"/>
              <w:spacing w:before="0" w:after="283"/>
              <w:jc w:val="right"/>
              <w:rPr/>
            </w:pPr>
            <w:r>
              <w:rPr/>
              <w:t> </w:t>
            </w:r>
          </w:p>
        </w:tc>
        <w:tc>
          <w:tcPr>
            <w:tcW w:w="18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1" w:type="dxa"/>
            <w:tcBorders/>
            <w:shd w:fill="CCEEFF" w:val="clear"/>
            <w:vAlign w:val="bottom"/>
          </w:tcPr>
          <w:p>
            <w:pPr>
              <w:pStyle w:val="TableContents"/>
              <w:spacing w:before="0" w:after="283"/>
              <w:jc w:val="left"/>
              <w:rPr/>
            </w:pPr>
            <w:r>
              <w:rPr/>
              <w:t> </w:t>
            </w:r>
          </w:p>
        </w:tc>
        <w:tc>
          <w:tcPr>
            <w:tcW w:w="788" w:type="dxa"/>
            <w:tcBorders/>
            <w:shd w:fill="CCEEFF" w:val="clear"/>
            <w:vAlign w:val="bottom"/>
          </w:tcPr>
          <w:p>
            <w:pPr>
              <w:pStyle w:val="TableContents"/>
              <w:spacing w:before="0" w:after="283"/>
              <w:jc w:val="right"/>
              <w:rPr/>
            </w:pPr>
            <w:r>
              <w:rPr/>
              <w:t> </w:t>
            </w:r>
          </w:p>
        </w:tc>
        <w:tc>
          <w:tcPr>
            <w:tcW w:w="68" w:type="dxa"/>
            <w:tcBorders/>
            <w:shd w:fill="CCEEFF" w:val="clear"/>
            <w:vAlign w:val="bottom"/>
          </w:tcPr>
          <w:p>
            <w:pPr>
              <w:pStyle w:val="TableContents"/>
              <w:spacing w:before="0" w:after="283"/>
              <w:jc w:val="left"/>
              <w:rPr/>
            </w:pPr>
            <w:r>
              <w:rPr/>
              <w:t> </w:t>
            </w:r>
          </w:p>
        </w:tc>
        <w:tc>
          <w:tcPr>
            <w:tcW w:w="68" w:type="dxa"/>
            <w:tcBorders/>
            <w:shd w:fill="CCEEFF" w:val="clear"/>
            <w:vAlign w:val="bottom"/>
          </w:tcPr>
          <w:p>
            <w:pPr>
              <w:pStyle w:val="TableContents"/>
              <w:spacing w:before="0" w:after="283"/>
              <w:jc w:val="right"/>
              <w:rPr/>
            </w:pPr>
            <w:r>
              <w:rPr/>
              <w:t> </w:t>
            </w:r>
          </w:p>
        </w:tc>
        <w:tc>
          <w:tcPr>
            <w:tcW w:w="68" w:type="dxa"/>
            <w:tcBorders/>
            <w:shd w:fill="CCEEFF" w:val="clear"/>
            <w:vAlign w:val="bottom"/>
          </w:tcPr>
          <w:p>
            <w:pPr>
              <w:pStyle w:val="TableContents"/>
              <w:spacing w:before="0" w:after="283"/>
              <w:jc w:val="left"/>
              <w:rPr/>
            </w:pPr>
            <w:r>
              <w:rPr/>
              <w:t> </w:t>
            </w:r>
          </w:p>
        </w:tc>
        <w:tc>
          <w:tcPr>
            <w:tcW w:w="550" w:type="dxa"/>
            <w:tcBorders/>
            <w:shd w:fill="CCEEFF" w:val="clear"/>
            <w:vAlign w:val="bottom"/>
          </w:tcPr>
          <w:p>
            <w:pPr>
              <w:pStyle w:val="TableContents"/>
              <w:spacing w:before="0" w:after="283"/>
              <w:jc w:val="right"/>
              <w:rPr/>
            </w:pPr>
            <w:r>
              <w:rPr/>
              <w:t> </w:t>
            </w:r>
          </w:p>
        </w:tc>
        <w:tc>
          <w:tcPr>
            <w:tcW w:w="185"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4" w:type="dxa"/>
            <w:tcBorders/>
            <w:shd w:fill="CCEEFF" w:val="clear"/>
            <w:vAlign w:val="bottom"/>
          </w:tcPr>
          <w:p>
            <w:pPr>
              <w:pStyle w:val="TableContents"/>
              <w:spacing w:before="0" w:after="283"/>
              <w:jc w:val="left"/>
              <w:rPr/>
            </w:pPr>
            <w:r>
              <w:rPr/>
              <w:t> </w:t>
            </w:r>
          </w:p>
        </w:tc>
        <w:tc>
          <w:tcPr>
            <w:tcW w:w="1027" w:type="dxa"/>
            <w:tcBorders/>
            <w:shd w:fill="CCEEFF" w:val="clear"/>
            <w:vAlign w:val="bottom"/>
          </w:tcPr>
          <w:p>
            <w:pPr>
              <w:pStyle w:val="TableContents"/>
              <w:spacing w:before="0" w:after="283"/>
              <w:jc w:val="right"/>
              <w:rPr/>
            </w:pPr>
            <w:r>
              <w:rPr/>
              <w:t> </w:t>
            </w:r>
          </w:p>
        </w:tc>
        <w:tc>
          <w:tcPr>
            <w:tcW w:w="88" w:type="dxa"/>
            <w:tcBorders/>
            <w:shd w:fill="CCEEFF" w:val="clear"/>
            <w:vAlign w:val="bottom"/>
          </w:tcPr>
          <w:p>
            <w:pPr>
              <w:pStyle w:val="TableContents"/>
              <w:spacing w:before="0" w:after="283"/>
              <w:jc w:val="left"/>
              <w:rPr/>
            </w:pPr>
            <w:r>
              <w:rPr/>
              <w:t> </w:t>
            </w:r>
          </w:p>
        </w:tc>
        <w:tc>
          <w:tcPr>
            <w:tcW w:w="88" w:type="dxa"/>
            <w:tcBorders/>
            <w:shd w:fill="CCEEFF" w:val="clear"/>
            <w:vAlign w:val="bottom"/>
          </w:tcPr>
          <w:p>
            <w:pPr>
              <w:pStyle w:val="TableContents"/>
              <w:spacing w:before="0" w:after="283"/>
              <w:jc w:val="right"/>
              <w:rPr/>
            </w:pPr>
            <w:r>
              <w:rPr/>
              <w:t> </w:t>
            </w:r>
          </w:p>
        </w:tc>
        <w:tc>
          <w:tcPr>
            <w:tcW w:w="88" w:type="dxa"/>
            <w:tcBorders/>
            <w:shd w:fill="CCEEFF" w:val="clear"/>
            <w:vAlign w:val="bottom"/>
          </w:tcPr>
          <w:p>
            <w:pPr>
              <w:pStyle w:val="TableContents"/>
              <w:spacing w:before="0" w:after="283"/>
              <w:jc w:val="left"/>
              <w:rPr/>
            </w:pPr>
            <w:r>
              <w:rPr/>
              <w:t> </w:t>
            </w:r>
          </w:p>
        </w:tc>
        <w:tc>
          <w:tcPr>
            <w:tcW w:w="716" w:type="dxa"/>
            <w:tcBorders/>
            <w:shd w:fill="CCEEFF" w:val="clear"/>
            <w:vAlign w:val="bottom"/>
          </w:tcPr>
          <w:p>
            <w:pPr>
              <w:pStyle w:val="TableContents"/>
              <w:spacing w:before="0" w:after="283"/>
              <w:jc w:val="right"/>
              <w:rPr/>
            </w:pPr>
            <w:r>
              <w:rPr/>
              <w:t> </w:t>
            </w:r>
          </w:p>
        </w:tc>
        <w:tc>
          <w:tcPr>
            <w:tcW w:w="200" w:type="dxa"/>
            <w:tcBorders/>
            <w:shd w:fill="CCEEFF" w:val="clear"/>
            <w:vAlign w:val="bottom"/>
          </w:tcPr>
          <w:p>
            <w:pPr>
              <w:pStyle w:val="TableContents"/>
              <w:spacing w:before="0" w:after="283"/>
              <w:jc w:val="left"/>
              <w:rPr/>
            </w:pPr>
            <w:r>
              <w:rPr/>
              <w:t> </w:t>
            </w:r>
          </w:p>
        </w:tc>
      </w:tr>
      <w:tr>
        <w:trPr/>
        <w:tc>
          <w:tcPr>
            <w:tcW w:w="3995" w:type="dxa"/>
            <w:tcBorders/>
            <w:shd w:fill="auto"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Consolidated</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443,265</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485"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11.03</w:t>
            </w:r>
          </w:p>
        </w:tc>
        <w:tc>
          <w:tcPr>
            <w:tcW w:w="185"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auto" w:val="clear"/>
            <w:vAlign w:val="bottom"/>
          </w:tcPr>
          <w:p>
            <w:pPr>
              <w:pStyle w:val="TableContents"/>
              <w:spacing w:before="0" w:after="283"/>
              <w:jc w:val="right"/>
              <w:rPr/>
            </w:pPr>
            <w:r>
              <w:rPr/>
              <w:t> </w:t>
            </w:r>
          </w:p>
        </w:tc>
        <w:tc>
          <w:tcPr>
            <w:tcW w:w="141" w:type="dxa"/>
            <w:tcBorders/>
            <w:shd w:fill="auto" w:val="clear"/>
            <w:vAlign w:val="bottom"/>
          </w:tcPr>
          <w:p>
            <w:pPr>
              <w:pStyle w:val="TableContents"/>
              <w:spacing w:before="0" w:after="283"/>
              <w:jc w:val="left"/>
              <w:rPr/>
            </w:pPr>
            <w:r>
              <w:rPr/>
              <w:t> </w:t>
            </w:r>
          </w:p>
        </w:tc>
        <w:tc>
          <w:tcPr>
            <w:tcW w:w="788"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161,662</w:t>
            </w:r>
          </w:p>
        </w:tc>
        <w:tc>
          <w:tcPr>
            <w:tcW w:w="68" w:type="dxa"/>
            <w:tcBorders/>
            <w:shd w:fill="auto" w:val="clear"/>
            <w:vAlign w:val="bottom"/>
          </w:tcPr>
          <w:p>
            <w:pPr>
              <w:pStyle w:val="TableContents"/>
              <w:spacing w:before="0" w:after="283"/>
              <w:jc w:val="left"/>
              <w:rPr/>
            </w:pPr>
            <w:r>
              <w:rPr/>
              <w:t> </w:t>
            </w:r>
          </w:p>
        </w:tc>
        <w:tc>
          <w:tcPr>
            <w:tcW w:w="68" w:type="dxa"/>
            <w:tcBorders/>
            <w:shd w:fill="auto" w:val="clear"/>
            <w:vAlign w:val="bottom"/>
          </w:tcPr>
          <w:p>
            <w:pPr>
              <w:pStyle w:val="TableContents"/>
              <w:spacing w:before="0" w:after="283"/>
              <w:jc w:val="right"/>
              <w:rPr/>
            </w:pPr>
            <w:r>
              <w:rPr/>
              <w:t> </w:t>
            </w:r>
          </w:p>
        </w:tc>
        <w:tc>
          <w:tcPr>
            <w:tcW w:w="68" w:type="dxa"/>
            <w:tcBorders/>
            <w:shd w:fill="auto" w:val="clear"/>
            <w:vAlign w:val="bottom"/>
          </w:tcPr>
          <w:p>
            <w:pPr>
              <w:pStyle w:val="TableContents"/>
              <w:spacing w:before="0" w:after="283"/>
              <w:jc w:val="left"/>
              <w:rPr/>
            </w:pPr>
            <w:r>
              <w:rPr/>
              <w:t> </w:t>
            </w:r>
          </w:p>
        </w:tc>
        <w:tc>
          <w:tcPr>
            <w:tcW w:w="550"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4.00</w:t>
            </w:r>
          </w:p>
        </w:tc>
        <w:tc>
          <w:tcPr>
            <w:tcW w:w="185"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auto" w:val="clear"/>
            <w:vAlign w:val="bottom"/>
          </w:tcPr>
          <w:p>
            <w:pPr>
              <w:pStyle w:val="TableContents"/>
              <w:spacing w:before="0" w:after="283"/>
              <w:jc w:val="right"/>
              <w:rPr/>
            </w:pPr>
            <w:r>
              <w:rPr/>
              <w:t> </w:t>
            </w:r>
          </w:p>
        </w:tc>
        <w:tc>
          <w:tcPr>
            <w:tcW w:w="184" w:type="dxa"/>
            <w:tcBorders/>
            <w:shd w:fill="auto" w:val="clear"/>
            <w:vAlign w:val="bottom"/>
          </w:tcPr>
          <w:p>
            <w:pPr>
              <w:pStyle w:val="TableContents"/>
              <w:spacing w:before="0" w:after="283"/>
              <w:jc w:val="left"/>
              <w:rPr/>
            </w:pPr>
            <w:r>
              <w:rPr/>
              <w:t> </w:t>
            </w:r>
          </w:p>
        </w:tc>
        <w:tc>
          <w:tcPr>
            <w:tcW w:w="1027"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N/A</w:t>
            </w:r>
          </w:p>
        </w:tc>
        <w:tc>
          <w:tcPr>
            <w:tcW w:w="88" w:type="dxa"/>
            <w:tcBorders/>
            <w:shd w:fill="auto" w:val="clear"/>
            <w:vAlign w:val="bottom"/>
          </w:tcPr>
          <w:p>
            <w:pPr>
              <w:pStyle w:val="TableContents"/>
              <w:spacing w:before="0" w:after="283"/>
              <w:jc w:val="left"/>
              <w:rPr/>
            </w:pPr>
            <w:r>
              <w:rPr/>
              <w:t> </w:t>
            </w:r>
          </w:p>
        </w:tc>
        <w:tc>
          <w:tcPr>
            <w:tcW w:w="88" w:type="dxa"/>
            <w:tcBorders/>
            <w:shd w:fill="auto" w:val="clear"/>
            <w:vAlign w:val="bottom"/>
          </w:tcPr>
          <w:p>
            <w:pPr>
              <w:pStyle w:val="TableContents"/>
              <w:spacing w:before="0" w:after="283"/>
              <w:jc w:val="right"/>
              <w:rPr/>
            </w:pPr>
            <w:r>
              <w:rPr/>
              <w:t> </w:t>
            </w:r>
          </w:p>
        </w:tc>
        <w:tc>
          <w:tcPr>
            <w:tcW w:w="88" w:type="dxa"/>
            <w:tcBorders/>
            <w:shd w:fill="auto" w:val="clear"/>
            <w:vAlign w:val="bottom"/>
          </w:tcPr>
          <w:p>
            <w:pPr>
              <w:pStyle w:val="TableContents"/>
              <w:spacing w:before="0" w:after="283"/>
              <w:jc w:val="left"/>
              <w:rPr/>
            </w:pPr>
            <w:r>
              <w:rPr/>
              <w:t> </w:t>
            </w:r>
          </w:p>
        </w:tc>
        <w:tc>
          <w:tcPr>
            <w:tcW w:w="716"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N/A</w:t>
            </w:r>
          </w:p>
        </w:tc>
        <w:tc>
          <w:tcPr>
            <w:tcW w:w="200" w:type="dxa"/>
            <w:tcBorders/>
            <w:shd w:fill="auto" w:val="clear"/>
            <w:vAlign w:val="bottom"/>
          </w:tcPr>
          <w:p>
            <w:pPr>
              <w:pStyle w:val="TableContents"/>
              <w:spacing w:before="0" w:after="283"/>
              <w:jc w:val="left"/>
              <w:rPr/>
            </w:pPr>
            <w:r>
              <w:rPr/>
              <w:t> </w:t>
            </w:r>
          </w:p>
        </w:tc>
      </w:tr>
      <w:tr>
        <w:trPr/>
        <w:tc>
          <w:tcPr>
            <w:tcW w:w="3995" w:type="dxa"/>
            <w:tcBorders/>
            <w:shd w:fill="CCEE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City Bank</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414,559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485"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10.32</w:t>
            </w:r>
          </w:p>
        </w:tc>
        <w:tc>
          <w:tcPr>
            <w:tcW w:w="18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right"/>
              <w:rPr/>
            </w:pPr>
            <w:r>
              <w:rPr/>
              <w:t> </w:t>
            </w:r>
          </w:p>
        </w:tc>
        <w:tc>
          <w:tcPr>
            <w:tcW w:w="141" w:type="dxa"/>
            <w:tcBorders/>
            <w:shd w:fill="CCEEFF" w:val="clear"/>
            <w:vAlign w:val="bottom"/>
          </w:tcPr>
          <w:p>
            <w:pPr>
              <w:pStyle w:val="TableContents"/>
              <w:spacing w:before="0" w:after="283"/>
              <w:jc w:val="left"/>
              <w:rPr/>
            </w:pPr>
            <w:r>
              <w:rPr/>
              <w:t> </w:t>
            </w:r>
          </w:p>
        </w:tc>
        <w:tc>
          <w:tcPr>
            <w:tcW w:w="788"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161,574</w:t>
            </w:r>
          </w:p>
        </w:tc>
        <w:tc>
          <w:tcPr>
            <w:tcW w:w="68" w:type="dxa"/>
            <w:tcBorders/>
            <w:shd w:fill="CCEEFF" w:val="clear"/>
            <w:vAlign w:val="bottom"/>
          </w:tcPr>
          <w:p>
            <w:pPr>
              <w:pStyle w:val="TableContents"/>
              <w:spacing w:before="0" w:after="283"/>
              <w:jc w:val="left"/>
              <w:rPr/>
            </w:pPr>
            <w:r>
              <w:rPr/>
              <w:t> </w:t>
            </w:r>
          </w:p>
        </w:tc>
        <w:tc>
          <w:tcPr>
            <w:tcW w:w="68" w:type="dxa"/>
            <w:tcBorders/>
            <w:shd w:fill="CCEEFF" w:val="clear"/>
            <w:vAlign w:val="bottom"/>
          </w:tcPr>
          <w:p>
            <w:pPr>
              <w:pStyle w:val="TableContents"/>
              <w:spacing w:before="0" w:after="283"/>
              <w:jc w:val="right"/>
              <w:rPr/>
            </w:pPr>
            <w:r>
              <w:rPr/>
              <w:t> </w:t>
            </w:r>
          </w:p>
        </w:tc>
        <w:tc>
          <w:tcPr>
            <w:tcW w:w="68" w:type="dxa"/>
            <w:tcBorders/>
            <w:shd w:fill="CCEEFF" w:val="clear"/>
            <w:vAlign w:val="bottom"/>
          </w:tcPr>
          <w:p>
            <w:pPr>
              <w:pStyle w:val="TableContents"/>
              <w:spacing w:before="0" w:after="283"/>
              <w:jc w:val="left"/>
              <w:rPr/>
            </w:pPr>
            <w:r>
              <w:rPr/>
              <w:t> </w:t>
            </w:r>
          </w:p>
        </w:tc>
        <w:tc>
          <w:tcPr>
            <w:tcW w:w="550"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4.00</w:t>
            </w:r>
          </w:p>
        </w:tc>
        <w:tc>
          <w:tcPr>
            <w:tcW w:w="18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right"/>
              <w:rPr/>
            </w:pPr>
            <w:r>
              <w:rPr/>
              <w:t> </w:t>
            </w:r>
          </w:p>
        </w:tc>
        <w:tc>
          <w:tcPr>
            <w:tcW w:w="184" w:type="dxa"/>
            <w:tcBorders/>
            <w:shd w:fill="CCEEFF" w:val="clear"/>
            <w:vAlign w:val="bottom"/>
          </w:tcPr>
          <w:p>
            <w:pPr>
              <w:pStyle w:val="TableContents"/>
              <w:spacing w:before="0" w:after="283"/>
              <w:jc w:val="left"/>
              <w:rPr/>
            </w:pPr>
            <w:r>
              <w:rPr/>
              <w:t> </w:t>
            </w:r>
          </w:p>
        </w:tc>
        <w:tc>
          <w:tcPr>
            <w:tcW w:w="1027"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200,774</w:t>
            </w:r>
          </w:p>
        </w:tc>
        <w:tc>
          <w:tcPr>
            <w:tcW w:w="88" w:type="dxa"/>
            <w:tcBorders/>
            <w:shd w:fill="CCEEFF" w:val="clear"/>
            <w:vAlign w:val="bottom"/>
          </w:tcPr>
          <w:p>
            <w:pPr>
              <w:pStyle w:val="TableContents"/>
              <w:spacing w:before="0" w:after="283"/>
              <w:jc w:val="left"/>
              <w:rPr/>
            </w:pPr>
            <w:r>
              <w:rPr/>
              <w:t> </w:t>
            </w:r>
          </w:p>
        </w:tc>
        <w:tc>
          <w:tcPr>
            <w:tcW w:w="88" w:type="dxa"/>
            <w:tcBorders/>
            <w:shd w:fill="CCEEFF" w:val="clear"/>
            <w:vAlign w:val="bottom"/>
          </w:tcPr>
          <w:p>
            <w:pPr>
              <w:pStyle w:val="TableContents"/>
              <w:spacing w:before="0" w:after="283"/>
              <w:jc w:val="right"/>
              <w:rPr/>
            </w:pPr>
            <w:r>
              <w:rPr/>
              <w:t> </w:t>
            </w:r>
          </w:p>
        </w:tc>
        <w:tc>
          <w:tcPr>
            <w:tcW w:w="88" w:type="dxa"/>
            <w:tcBorders/>
            <w:shd w:fill="CCEEFF" w:val="clear"/>
            <w:vAlign w:val="bottom"/>
          </w:tcPr>
          <w:p>
            <w:pPr>
              <w:pStyle w:val="TableContents"/>
              <w:spacing w:before="0" w:after="283"/>
              <w:jc w:val="left"/>
              <w:rPr/>
            </w:pPr>
            <w:r>
              <w:rPr/>
              <w:t> </w:t>
            </w:r>
          </w:p>
        </w:tc>
        <w:tc>
          <w:tcPr>
            <w:tcW w:w="716"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5.00</w:t>
            </w:r>
          </w:p>
        </w:tc>
        <w:tc>
          <w:tcPr>
            <w:tcW w:w="200"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r>
    </w:tbl>
    <w:p>
      <w:pPr>
        <w:pStyle w:val="TextBody"/>
        <w:spacing w:before="0" w:after="0"/>
        <w:jc w:val="left"/>
        <w:rPr/>
      </w:pPr>
      <w:r>
        <w:rPr/>
      </w:r>
    </w:p>
    <w:p>
      <w:pPr>
        <w:pStyle w:val="TextBody"/>
        <w:spacing w:before="0" w:after="0"/>
        <w:jc w:val="both"/>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The Company is subject to the Basel III capital ratio requirements which include a “capital conservation buffer” of 2.50% above the regulatory minimum risk-based capital adequacy requirements. This 2.50% capital conservation buffer is reflected in the table above. Both the Company’s and the Bank’s actual ratios, as outlined in the table above, exceeded the Basel III risk-based capital requirement with the capital conservation buffer as of March 31, 2023.</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State banking regulations place certain restrictions on dividends paid by banks to their shareholders. Dividends paid by the Company’s bank subsidiary would be prohibited if the effect thereof would cause the bank subsidiary’s capital to be reduced below applicable minimum capital requirements.</w:t>
      </w:r>
    </w:p>
    <w:p>
      <w:pPr>
        <w:pStyle w:val="TextBody"/>
        <w:spacing w:before="0" w:after="0"/>
        <w:jc w:val="left"/>
        <w:rPr/>
      </w:pPr>
      <w:r>
        <w:rPr/>
      </w:r>
    </w:p>
    <w:p>
      <w:pPr>
        <w:pStyle w:val="TextBody"/>
        <w:spacing w:before="0" w:after="0"/>
        <w:ind w:left="0" w:right="0" w:hanging="0"/>
        <w:jc w:val="left"/>
        <w:rPr>
          <w:rFonts w:ascii="Times New Roman" w:hAnsi="Times New Roman"/>
          <w:b/>
          <w:color w:val="000000"/>
          <w:sz w:val="20"/>
        </w:rPr>
      </w:pPr>
      <w:r>
        <w:rPr>
          <w:rFonts w:ascii="Times New Roman" w:hAnsi="Times New Roman"/>
          <w:b/>
          <w:color w:val="000000"/>
          <w:sz w:val="20"/>
        </w:rPr>
        <w:t>11.  DERIVATIVES</w:t>
      </w:r>
    </w:p>
    <w:p>
      <w:pPr>
        <w:pStyle w:val="TextBody"/>
        <w:spacing w:before="0" w:after="0"/>
        <w:jc w:val="both"/>
        <w:rPr/>
      </w:pPr>
      <w:r>
        <w:rPr/>
      </w:r>
    </w:p>
    <w:p>
      <w:pPr>
        <w:pStyle w:val="TextBody"/>
        <w:spacing w:before="0" w:after="0"/>
        <w:jc w:val="both"/>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The Company utilizes interest rate swap agreements as part of its asset-liability management strategy to help manage its interest rate risk position. These interest rate swaps are designated and qualify as fair value hedges and are entered into to reduce exposure to changes in fair value of fixed rate financial instruments. The notional amount of the interest rate swaps do not represent amounts exchanged by the parties. The amount exchanged is determined by reference to the notional amounts and the other terms of the individual interest rate swap agreements.</w:t>
      </w:r>
    </w:p>
    <w:p>
      <w:pPr>
        <w:pStyle w:val="TextBody"/>
        <w:spacing w:before="0" w:after="0"/>
        <w:jc w:val="both"/>
        <w:rPr/>
      </w:pPr>
      <w:r>
        <w:rPr/>
      </w:r>
    </w:p>
    <w:p>
      <w:pPr>
        <w:pStyle w:val="TextBody"/>
        <w:spacing w:before="0" w:after="0"/>
        <w:ind w:left="0" w:right="0" w:hanging="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following table reflects the changes in fair value hedges included in the Company’s Consolidated Statements of Comprehensive Income (Loss) for the periods indicated (dollars in thousands):</w:t>
      </w:r>
    </w:p>
    <w:p>
      <w:pPr>
        <w:pStyle w:val="TextBody"/>
        <w:spacing w:before="0" w:after="0"/>
        <w:jc w:val="both"/>
        <w:rPr>
          <w:b w:val="false"/>
          <w:i w:val="false"/>
          <w:caps w:val="false"/>
          <w:smallCaps w:val="false"/>
          <w:color w:val="000000"/>
          <w:sz w:val="20"/>
        </w:rPr>
      </w:pPr>
      <w:r>
        <w:rPr>
          <w:b w:val="false"/>
          <w:i w:val="false"/>
          <w:caps w:val="false"/>
          <w:smallCaps w:val="false"/>
          <w:color w:val="000000"/>
          <w:sz w:val="20"/>
        </w:rPr>
      </w:r>
    </w:p>
    <w:tbl>
      <w:tblPr>
        <w:tblW w:w="10005" w:type="dxa"/>
        <w:jc w:val="left"/>
        <w:tblInd w:w="0" w:type="dxa"/>
        <w:tblCellMar>
          <w:top w:w="0" w:type="dxa"/>
          <w:left w:w="0" w:type="dxa"/>
          <w:bottom w:w="0" w:type="dxa"/>
          <w:right w:w="0" w:type="dxa"/>
        </w:tblCellMar>
      </w:tblPr>
      <w:tblGrid>
        <w:gridCol w:w="5870"/>
        <w:gridCol w:w="60"/>
        <w:gridCol w:w="2135"/>
        <w:gridCol w:w="60"/>
        <w:gridCol w:w="141"/>
        <w:gridCol w:w="643"/>
        <w:gridCol w:w="96"/>
        <w:gridCol w:w="60"/>
        <w:gridCol w:w="202"/>
        <w:gridCol w:w="643"/>
        <w:gridCol w:w="95"/>
      </w:tblGrid>
      <w:tr>
        <w:trPr/>
        <w:tc>
          <w:tcPr>
            <w:tcW w:w="5870" w:type="dxa"/>
            <w:tcBorders/>
            <w:shd w:fill="auto" w:val="clear"/>
            <w:vAlign w:val="bottom"/>
          </w:tcPr>
          <w:p>
            <w:pPr>
              <w:pStyle w:val="TableContents"/>
              <w:spacing w:before="0" w:after="283"/>
              <w:rPr/>
            </w:pPr>
            <w:r>
              <w:rPr/>
            </w:r>
          </w:p>
        </w:tc>
        <w:tc>
          <w:tcPr>
            <w:tcW w:w="60" w:type="dxa"/>
            <w:tcBorders/>
            <w:shd w:fill="auto" w:val="clear"/>
            <w:vAlign w:val="bottom"/>
          </w:tcPr>
          <w:p>
            <w:pPr>
              <w:pStyle w:val="TableContents"/>
              <w:spacing w:before="0" w:after="283"/>
              <w:rPr>
                <w:caps w:val="false"/>
                <w:smallCaps w:val="false"/>
                <w:color w:val="000000"/>
              </w:rPr>
            </w:pPr>
            <w:r>
              <w:rPr>
                <w:caps w:val="false"/>
                <w:smallCaps w:val="false"/>
                <w:color w:val="000000"/>
              </w:rPr>
              <w:t> </w:t>
            </w:r>
          </w:p>
        </w:tc>
        <w:tc>
          <w:tcPr>
            <w:tcW w:w="2135" w:type="dxa"/>
            <w:tcBorders/>
            <w:shd w:fill="auto" w:val="clear"/>
            <w:vAlign w:val="bottom"/>
          </w:tcPr>
          <w:p>
            <w:pPr>
              <w:pStyle w:val="TableContents"/>
              <w:spacing w:before="0" w:after="283"/>
              <w:rPr/>
            </w:pPr>
            <w:r>
              <w:rPr/>
            </w:r>
          </w:p>
        </w:tc>
        <w:tc>
          <w:tcPr>
            <w:tcW w:w="60" w:type="dxa"/>
            <w:tcBorders/>
            <w:shd w:fill="auto" w:val="clear"/>
            <w:vAlign w:val="bottom"/>
          </w:tcPr>
          <w:p>
            <w:pPr>
              <w:pStyle w:val="TableContents"/>
              <w:spacing w:before="0" w:after="283"/>
              <w:rPr>
                <w:caps w:val="false"/>
                <w:smallCaps w:val="false"/>
                <w:color w:val="000000"/>
              </w:rPr>
            </w:pPr>
            <w:r>
              <w:rPr>
                <w:caps w:val="false"/>
                <w:smallCaps w:val="false"/>
                <w:color w:val="000000"/>
              </w:rPr>
              <w:t> </w:t>
            </w:r>
          </w:p>
        </w:tc>
        <w:tc>
          <w:tcPr>
            <w:tcW w:w="1785" w:type="dxa"/>
            <w:gridSpan w:val="6"/>
            <w:tcBorders/>
            <w:shd w:fill="auto" w:val="clear"/>
            <w:vAlign w:val="bottom"/>
          </w:tcPr>
          <w:p>
            <w:pPr>
              <w:pStyle w:val="TableContents"/>
              <w:spacing w:before="0" w:after="0"/>
              <w:ind w:left="0" w:right="0" w:hanging="14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Three Months Ended</w:t>
            </w:r>
          </w:p>
        </w:tc>
        <w:tc>
          <w:tcPr>
            <w:tcW w:w="95" w:type="dxa"/>
            <w:tcBorders/>
            <w:shd w:fill="auto" w:val="clear"/>
            <w:vAlign w:val="bottom"/>
          </w:tcPr>
          <w:p>
            <w:pPr>
              <w:pStyle w:val="TableContents"/>
              <w:spacing w:before="0" w:after="283"/>
              <w:jc w:val="left"/>
              <w:rPr>
                <w:caps w:val="false"/>
                <w:smallCaps w:val="false"/>
                <w:color w:val="000000"/>
              </w:rPr>
            </w:pPr>
            <w:r>
              <w:rPr>
                <w:caps w:val="false"/>
                <w:smallCaps w:val="false"/>
                <w:color w:val="000000"/>
              </w:rPr>
              <w:t> </w:t>
            </w:r>
          </w:p>
        </w:tc>
      </w:tr>
      <w:tr>
        <w:trPr/>
        <w:tc>
          <w:tcPr>
            <w:tcW w:w="5870" w:type="dxa"/>
            <w:tcBorders/>
            <w:shd w:fill="auto" w:val="clear"/>
            <w:vAlign w:val="bottom"/>
          </w:tcPr>
          <w:p>
            <w:pPr>
              <w:pStyle w:val="TableContents"/>
              <w:spacing w:before="0" w:after="283"/>
              <w:rPr>
                <w:caps w:val="false"/>
                <w:smallCaps w:val="false"/>
                <w:color w:val="000000"/>
              </w:rPr>
            </w:pPr>
            <w:r>
              <w:rPr>
                <w:caps w:val="false"/>
                <w:smallCaps w:val="false"/>
                <w:color w:val="000000"/>
              </w:rPr>
              <w:t> </w:t>
            </w:r>
          </w:p>
        </w:tc>
        <w:tc>
          <w:tcPr>
            <w:tcW w:w="60" w:type="dxa"/>
            <w:tcBorders/>
            <w:shd w:fill="auto" w:val="clear"/>
            <w:vAlign w:val="bottom"/>
          </w:tcPr>
          <w:p>
            <w:pPr>
              <w:pStyle w:val="TableContents"/>
              <w:spacing w:before="0" w:after="283"/>
              <w:rPr>
                <w:caps w:val="false"/>
                <w:smallCaps w:val="false"/>
                <w:color w:val="000000"/>
              </w:rPr>
            </w:pPr>
            <w:r>
              <w:rPr>
                <w:caps w:val="false"/>
                <w:smallCaps w:val="false"/>
                <w:color w:val="000000"/>
              </w:rPr>
              <w:t> </w:t>
            </w:r>
          </w:p>
        </w:tc>
        <w:tc>
          <w:tcPr>
            <w:tcW w:w="2135" w:type="dxa"/>
            <w:tcBorders/>
            <w:shd w:fill="auto" w:val="clear"/>
            <w:vAlign w:val="bottom"/>
          </w:tcPr>
          <w:p>
            <w:pPr>
              <w:pStyle w:val="TableContents"/>
              <w:spacing w:before="0" w:after="283"/>
              <w:rPr>
                <w:caps w:val="false"/>
                <w:smallCaps w:val="false"/>
                <w:color w:val="000000"/>
              </w:rPr>
            </w:pPr>
            <w:r>
              <w:rPr>
                <w:caps w:val="false"/>
                <w:smallCaps w:val="false"/>
                <w:color w:val="000000"/>
              </w:rPr>
              <w:t>     </w:t>
            </w:r>
          </w:p>
        </w:tc>
        <w:tc>
          <w:tcPr>
            <w:tcW w:w="60" w:type="dxa"/>
            <w:tcBorders/>
            <w:shd w:fill="auto" w:val="clear"/>
            <w:vAlign w:val="bottom"/>
          </w:tcPr>
          <w:p>
            <w:pPr>
              <w:pStyle w:val="TableContents"/>
              <w:spacing w:before="0" w:after="283"/>
              <w:rPr>
                <w:caps w:val="false"/>
                <w:smallCaps w:val="false"/>
                <w:color w:val="000000"/>
              </w:rPr>
            </w:pPr>
            <w:r>
              <w:rPr>
                <w:caps w:val="false"/>
                <w:smallCaps w:val="false"/>
                <w:color w:val="000000"/>
              </w:rPr>
              <w:t> </w:t>
            </w:r>
          </w:p>
        </w:tc>
        <w:tc>
          <w:tcPr>
            <w:tcW w:w="1785"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March 31,</w:t>
            </w:r>
          </w:p>
        </w:tc>
        <w:tc>
          <w:tcPr>
            <w:tcW w:w="95" w:type="dxa"/>
            <w:tcBorders/>
            <w:shd w:fill="auto" w:val="clear"/>
            <w:vAlign w:val="bottom"/>
          </w:tcPr>
          <w:p>
            <w:pPr>
              <w:pStyle w:val="TableContents"/>
              <w:spacing w:before="0" w:after="283"/>
              <w:jc w:val="left"/>
              <w:rPr>
                <w:caps w:val="false"/>
                <w:smallCaps w:val="false"/>
                <w:color w:val="000000"/>
              </w:rPr>
            </w:pPr>
            <w:r>
              <w:rPr>
                <w:caps w:val="false"/>
                <w:smallCaps w:val="false"/>
                <w:color w:val="000000"/>
              </w:rPr>
              <w:t> </w:t>
            </w:r>
          </w:p>
        </w:tc>
      </w:tr>
      <w:tr>
        <w:trPr/>
        <w:tc>
          <w:tcPr>
            <w:tcW w:w="5870" w:type="dxa"/>
            <w:tcBorders>
              <w:bottom w:val="single" w:sz="12" w:space="0" w:color="000000"/>
            </w:tcBorders>
            <w:shd w:fill="auto" w:val="clear"/>
            <w:tcMar>
              <w:bottom w:w="28" w:type="dxa"/>
            </w:tcMar>
            <w:vAlign w:val="bottom"/>
          </w:tcPr>
          <w:p>
            <w:pPr>
              <w:pStyle w:val="TableContents"/>
              <w:spacing w:before="0" w:after="0"/>
              <w:ind w:left="180" w:right="0" w:hanging="18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Interest Rate Contracts</w:t>
            </w:r>
          </w:p>
        </w:tc>
        <w:tc>
          <w:tcPr>
            <w:tcW w:w="60" w:type="dxa"/>
            <w:tcBorders/>
            <w:shd w:fill="auto" w:val="clear"/>
            <w:vAlign w:val="bottom"/>
          </w:tcPr>
          <w:p>
            <w:pPr>
              <w:pStyle w:val="TableContents"/>
              <w:spacing w:before="0" w:after="283"/>
              <w:rPr>
                <w:caps w:val="false"/>
                <w:smallCaps w:val="false"/>
                <w:color w:val="000000"/>
              </w:rPr>
            </w:pPr>
            <w:r>
              <w:rPr>
                <w:caps w:val="false"/>
                <w:smallCaps w:val="false"/>
                <w:color w:val="000000"/>
              </w:rPr>
              <w:t> </w:t>
            </w:r>
          </w:p>
        </w:tc>
        <w:tc>
          <w:tcPr>
            <w:tcW w:w="2135" w:type="dxa"/>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Location</w:t>
            </w:r>
          </w:p>
        </w:tc>
        <w:tc>
          <w:tcPr>
            <w:tcW w:w="60" w:type="dxa"/>
            <w:tcBorders/>
            <w:shd w:fill="auto" w:val="clear"/>
            <w:vAlign w:val="bottom"/>
          </w:tcPr>
          <w:p>
            <w:pPr>
              <w:pStyle w:val="TableContents"/>
              <w:spacing w:before="0" w:after="283"/>
              <w:rPr>
                <w:caps w:val="false"/>
                <w:smallCaps w:val="false"/>
                <w:color w:val="000000"/>
              </w:rPr>
            </w:pPr>
            <w:r>
              <w:rPr>
                <w:caps w:val="false"/>
                <w:smallCaps w:val="false"/>
                <w:color w:val="000000"/>
              </w:rPr>
              <w:t> </w:t>
            </w:r>
          </w:p>
        </w:tc>
        <w:tc>
          <w:tcPr>
            <w:tcW w:w="784"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2023</w:t>
            </w:r>
          </w:p>
        </w:tc>
        <w:tc>
          <w:tcPr>
            <w:tcW w:w="96" w:type="dxa"/>
            <w:tcBorders/>
            <w:shd w:fill="auto" w:val="clear"/>
            <w:vAlign w:val="bottom"/>
          </w:tcPr>
          <w:p>
            <w:pPr>
              <w:pStyle w:val="TableContents"/>
              <w:spacing w:before="0" w:after="283"/>
              <w:jc w:val="left"/>
              <w:rPr>
                <w:caps w:val="false"/>
                <w:smallCaps w:val="false"/>
                <w:color w:val="000000"/>
              </w:rPr>
            </w:pPr>
            <w:r>
              <w:rPr>
                <w:caps w:val="false"/>
                <w:smallCaps w:val="false"/>
                <w:color w:val="000000"/>
              </w:rPr>
              <w:t> </w:t>
            </w:r>
          </w:p>
        </w:tc>
        <w:tc>
          <w:tcPr>
            <w:tcW w:w="60" w:type="dxa"/>
            <w:tcBorders/>
            <w:shd w:fill="auto" w:val="clear"/>
            <w:vAlign w:val="bottom"/>
          </w:tcPr>
          <w:p>
            <w:pPr>
              <w:pStyle w:val="TableContents"/>
              <w:spacing w:before="0" w:after="283"/>
              <w:rPr>
                <w:caps w:val="false"/>
                <w:smallCaps w:val="false"/>
                <w:color w:val="000000"/>
              </w:rPr>
            </w:pPr>
            <w:r>
              <w:rPr>
                <w:caps w:val="false"/>
                <w:smallCaps w:val="false"/>
                <w:color w:val="000000"/>
              </w:rPr>
              <w:t> </w:t>
            </w:r>
          </w:p>
        </w:tc>
        <w:tc>
          <w:tcPr>
            <w:tcW w:w="84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2022</w:t>
            </w:r>
          </w:p>
        </w:tc>
        <w:tc>
          <w:tcPr>
            <w:tcW w:w="95" w:type="dxa"/>
            <w:tcBorders/>
            <w:shd w:fill="auto" w:val="clear"/>
            <w:vAlign w:val="bottom"/>
          </w:tcPr>
          <w:p>
            <w:pPr>
              <w:pStyle w:val="TableContents"/>
              <w:spacing w:before="0" w:after="283"/>
              <w:jc w:val="left"/>
              <w:rPr>
                <w:caps w:val="false"/>
                <w:smallCaps w:val="false"/>
                <w:color w:val="000000"/>
              </w:rPr>
            </w:pPr>
            <w:r>
              <w:rPr>
                <w:caps w:val="false"/>
                <w:smallCaps w:val="false"/>
                <w:color w:val="000000"/>
              </w:rPr>
              <w:t> </w:t>
            </w:r>
          </w:p>
        </w:tc>
      </w:tr>
      <w:tr>
        <w:trPr/>
        <w:tc>
          <w:tcPr>
            <w:tcW w:w="5870" w:type="dxa"/>
            <w:tcBorders/>
            <w:shd w:fill="CCEEFF" w:val="clear"/>
            <w:vAlign w:val="bottom"/>
          </w:tcPr>
          <w:p>
            <w:pPr>
              <w:pStyle w:val="TableContents"/>
              <w:spacing w:before="0" w:after="0"/>
              <w:ind w:left="180" w:right="0" w:hanging="18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Change in fair value of interest rate swaps hedging investment securities</w:t>
            </w:r>
          </w:p>
        </w:tc>
        <w:tc>
          <w:tcPr>
            <w:tcW w:w="60" w:type="dxa"/>
            <w:tcBorders/>
            <w:shd w:fill="CCEEFF" w:val="clear"/>
            <w:vAlign w:val="bottom"/>
          </w:tcPr>
          <w:p>
            <w:pPr>
              <w:pStyle w:val="TableContents"/>
              <w:spacing w:before="0" w:after="283"/>
              <w:rPr>
                <w:caps w:val="false"/>
                <w:smallCaps w:val="false"/>
                <w:color w:val="000000"/>
              </w:rPr>
            </w:pPr>
            <w:r>
              <w:rPr>
                <w:caps w:val="false"/>
                <w:smallCaps w:val="false"/>
                <w:color w:val="000000"/>
              </w:rPr>
              <w:t> </w:t>
            </w:r>
          </w:p>
        </w:tc>
        <w:tc>
          <w:tcPr>
            <w:tcW w:w="2135" w:type="dxa"/>
            <w:tcBorders/>
            <w:shd w:fill="CCEEFF" w:val="clear"/>
            <w:vAlign w:val="bottom"/>
          </w:tcPr>
          <w:p>
            <w:pPr>
              <w:pStyle w:val="TableContents"/>
              <w:spacing w:before="0" w:after="0"/>
              <w:ind w:left="180" w:right="0" w:hanging="18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 noninterest expense</w:t>
            </w:r>
          </w:p>
        </w:tc>
        <w:tc>
          <w:tcPr>
            <w:tcW w:w="60" w:type="dxa"/>
            <w:tcBorders/>
            <w:shd w:fill="CCEEFF" w:val="clear"/>
            <w:vAlign w:val="bottom"/>
          </w:tcPr>
          <w:p>
            <w:pPr>
              <w:pStyle w:val="TableContents"/>
              <w:spacing w:before="0" w:after="283"/>
              <w:jc w:val="right"/>
              <w:rPr/>
            </w:pPr>
            <w:r>
              <w:rPr/>
              <w:t> </w:t>
            </w:r>
          </w:p>
        </w:tc>
        <w:tc>
          <w:tcPr>
            <w:tcW w:w="141" w:type="dxa"/>
            <w:tcBorders/>
            <w:shd w:fill="CCEEFF" w:val="clear"/>
            <w:vAlign w:val="bottom"/>
          </w:tcPr>
          <w:p>
            <w:pPr>
              <w:pStyle w:val="TableContents"/>
              <w:spacing w:before="0" w:after="0"/>
              <w:jc w:val="left"/>
              <w:rPr>
                <w:rFonts w:ascii="Times New Roman" w:hAnsi="Times New Roman"/>
                <w:color w:val="000000"/>
              </w:rPr>
            </w:pPr>
            <w:r>
              <w:rPr>
                <w:rFonts w:ascii="Times New Roman" w:hAnsi="Times New Roman"/>
                <w:color w:val="000000"/>
              </w:rPr>
              <w:t>$</w:t>
            </w:r>
          </w:p>
        </w:tc>
        <w:tc>
          <w:tcPr>
            <w:tcW w:w="643" w:type="dxa"/>
            <w:tcBorders/>
            <w:shd w:fill="CCEEFF" w:val="clear"/>
            <w:vAlign w:val="bottom"/>
          </w:tcPr>
          <w:p>
            <w:pPr>
              <w:pStyle w:val="TableContents"/>
              <w:spacing w:before="0" w:after="0"/>
              <w:jc w:val="right"/>
              <w:rPr>
                <w:rFonts w:ascii="Times New Roman" w:hAnsi="Times New Roman"/>
                <w:color w:val="000000"/>
              </w:rPr>
            </w:pPr>
            <w:r>
              <w:rPr>
                <w:rFonts w:ascii="Times New Roman" w:hAnsi="Times New Roman"/>
                <w:color w:val="000000"/>
              </w:rPr>
              <w:t>(2,654</w:t>
            </w:r>
          </w:p>
        </w:tc>
        <w:tc>
          <w:tcPr>
            <w:tcW w:w="96" w:type="dxa"/>
            <w:tcBorders/>
            <w:shd w:fill="CCEEFF" w:val="clear"/>
            <w:vAlign w:val="bottom"/>
          </w:tcPr>
          <w:p>
            <w:pPr>
              <w:pStyle w:val="TableContents"/>
              <w:spacing w:before="0" w:after="0"/>
              <w:jc w:val="left"/>
              <w:rPr>
                <w:rFonts w:ascii="Times New Roman" w:hAnsi="Times New Roman"/>
                <w:color w:val="000000"/>
              </w:rPr>
            </w:pPr>
            <w:r>
              <w:rPr>
                <w:rFonts w:ascii="Times New Roman" w:hAnsi="Times New Roman"/>
                <w:color w:val="000000"/>
              </w:rPr>
              <w:t>)</w:t>
            </w:r>
          </w:p>
        </w:tc>
        <w:tc>
          <w:tcPr>
            <w:tcW w:w="60" w:type="dxa"/>
            <w:tcBorders/>
            <w:shd w:fill="CCEEFF" w:val="clear"/>
            <w:vAlign w:val="bottom"/>
          </w:tcPr>
          <w:p>
            <w:pPr>
              <w:pStyle w:val="TableContents"/>
              <w:spacing w:before="0" w:after="283"/>
              <w:jc w:val="right"/>
              <w:rPr/>
            </w:pPr>
            <w:r>
              <w:rPr/>
              <w:t> </w:t>
            </w:r>
          </w:p>
        </w:tc>
        <w:tc>
          <w:tcPr>
            <w:tcW w:w="202" w:type="dxa"/>
            <w:tcBorders/>
            <w:shd w:fill="CCEEFF" w:val="clear"/>
            <w:vAlign w:val="bottom"/>
          </w:tcPr>
          <w:p>
            <w:pPr>
              <w:pStyle w:val="TableContents"/>
              <w:spacing w:before="0" w:after="0"/>
              <w:jc w:val="left"/>
              <w:rPr>
                <w:rFonts w:ascii="Times New Roman" w:hAnsi="Times New Roman"/>
                <w:color w:val="000000"/>
              </w:rPr>
            </w:pPr>
            <w:r>
              <w:rPr>
                <w:rFonts w:ascii="Times New Roman" w:hAnsi="Times New Roman"/>
                <w:color w:val="000000"/>
              </w:rPr>
              <w:t>$</w:t>
            </w:r>
          </w:p>
        </w:tc>
        <w:tc>
          <w:tcPr>
            <w:tcW w:w="643" w:type="dxa"/>
            <w:tcBorders/>
            <w:shd w:fill="CCEEFF" w:val="clear"/>
            <w:vAlign w:val="bottom"/>
          </w:tcPr>
          <w:p>
            <w:pPr>
              <w:pStyle w:val="TableContents"/>
              <w:spacing w:before="0" w:after="0"/>
              <w:jc w:val="right"/>
              <w:rPr>
                <w:rFonts w:ascii="Times New Roman" w:hAnsi="Times New Roman"/>
                <w:color w:val="000000"/>
              </w:rPr>
            </w:pPr>
            <w:r>
              <w:rPr>
                <w:rFonts w:ascii="Times New Roman" w:hAnsi="Times New Roman"/>
                <w:color w:val="000000"/>
              </w:rPr>
              <w:t>6,749</w:t>
            </w:r>
          </w:p>
        </w:tc>
        <w:tc>
          <w:tcPr>
            <w:tcW w:w="95" w:type="dxa"/>
            <w:tcBorders/>
            <w:shd w:fill="CCEEFF" w:val="clear"/>
            <w:vAlign w:val="bottom"/>
          </w:tcPr>
          <w:p>
            <w:pPr>
              <w:pStyle w:val="TableContents"/>
              <w:spacing w:before="0" w:after="283"/>
              <w:jc w:val="left"/>
              <w:rPr/>
            </w:pPr>
            <w:r>
              <w:rPr/>
              <w:t> </w:t>
            </w:r>
          </w:p>
        </w:tc>
      </w:tr>
      <w:tr>
        <w:trPr/>
        <w:tc>
          <w:tcPr>
            <w:tcW w:w="5870" w:type="dxa"/>
            <w:tcBorders/>
            <w:shd w:fill="auto" w:val="clear"/>
            <w:vAlign w:val="bottom"/>
          </w:tcPr>
          <w:p>
            <w:pPr>
              <w:pStyle w:val="TableContents"/>
              <w:spacing w:before="0" w:after="0"/>
              <w:ind w:left="360" w:right="0" w:hanging="36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Change in fair value of hedged investment securities</w:t>
            </w:r>
          </w:p>
        </w:tc>
        <w:tc>
          <w:tcPr>
            <w:tcW w:w="60" w:type="dxa"/>
            <w:tcBorders/>
            <w:shd w:fill="auto" w:val="clear"/>
            <w:vAlign w:val="bottom"/>
          </w:tcPr>
          <w:p>
            <w:pPr>
              <w:pStyle w:val="TableContents"/>
              <w:spacing w:before="0" w:after="283"/>
              <w:rPr>
                <w:caps w:val="false"/>
                <w:smallCaps w:val="false"/>
                <w:color w:val="000000"/>
              </w:rPr>
            </w:pPr>
            <w:r>
              <w:rPr>
                <w:caps w:val="false"/>
                <w:smallCaps w:val="false"/>
                <w:color w:val="000000"/>
              </w:rPr>
              <w:t> </w:t>
            </w:r>
          </w:p>
        </w:tc>
        <w:tc>
          <w:tcPr>
            <w:tcW w:w="2135" w:type="dxa"/>
            <w:tcBorders/>
            <w:shd w:fill="auto" w:val="clear"/>
            <w:vAlign w:val="bottom"/>
          </w:tcPr>
          <w:p>
            <w:pPr>
              <w:pStyle w:val="TableContents"/>
              <w:spacing w:before="0" w:after="0"/>
              <w:ind w:left="180" w:right="0" w:hanging="18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 noninterest expense</w:t>
            </w:r>
          </w:p>
        </w:tc>
        <w:tc>
          <w:tcPr>
            <w:tcW w:w="60" w:type="dxa"/>
            <w:tcBorders/>
            <w:shd w:fill="auto" w:val="clear"/>
            <w:vAlign w:val="bottom"/>
          </w:tcPr>
          <w:p>
            <w:pPr>
              <w:pStyle w:val="TableContents"/>
              <w:spacing w:before="0" w:after="283"/>
              <w:jc w:val="right"/>
              <w:rPr/>
            </w:pPr>
            <w:r>
              <w:rPr/>
              <w:t> </w:t>
            </w:r>
          </w:p>
        </w:tc>
        <w:tc>
          <w:tcPr>
            <w:tcW w:w="141" w:type="dxa"/>
            <w:tcBorders/>
            <w:shd w:fill="auto" w:val="clear"/>
            <w:vAlign w:val="bottom"/>
          </w:tcPr>
          <w:p>
            <w:pPr>
              <w:pStyle w:val="TableContents"/>
              <w:spacing w:before="0" w:after="283"/>
              <w:jc w:val="left"/>
              <w:rPr/>
            </w:pPr>
            <w:r>
              <w:rPr/>
              <w:t> </w:t>
            </w:r>
          </w:p>
        </w:tc>
        <w:tc>
          <w:tcPr>
            <w:tcW w:w="643" w:type="dxa"/>
            <w:tcBorders/>
            <w:shd w:fill="auto" w:val="clear"/>
            <w:vAlign w:val="bottom"/>
          </w:tcPr>
          <w:p>
            <w:pPr>
              <w:pStyle w:val="TableContents"/>
              <w:spacing w:before="0" w:after="0"/>
              <w:jc w:val="right"/>
              <w:rPr>
                <w:rFonts w:ascii="Times New Roman" w:hAnsi="Times New Roman"/>
                <w:color w:val="000000"/>
              </w:rPr>
            </w:pPr>
            <w:r>
              <w:rPr>
                <w:rFonts w:ascii="Times New Roman" w:hAnsi="Times New Roman"/>
                <w:color w:val="000000"/>
              </w:rPr>
              <w:t>2,638</w:t>
            </w:r>
          </w:p>
        </w:tc>
        <w:tc>
          <w:tcPr>
            <w:tcW w:w="96"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02" w:type="dxa"/>
            <w:tcBorders/>
            <w:shd w:fill="auto" w:val="clear"/>
            <w:vAlign w:val="bottom"/>
          </w:tcPr>
          <w:p>
            <w:pPr>
              <w:pStyle w:val="TableContents"/>
              <w:spacing w:before="0" w:after="0"/>
              <w:rPr>
                <w:rFonts w:ascii="Times New Roman" w:hAnsi="Times New Roman"/>
                <w:color w:val="000000"/>
              </w:rPr>
            </w:pPr>
            <w:r>
              <w:rPr>
                <w:rFonts w:ascii="Times New Roman" w:hAnsi="Times New Roman"/>
                <w:color w:val="000000"/>
              </w:rPr>
            </w:r>
          </w:p>
        </w:tc>
        <w:tc>
          <w:tcPr>
            <w:tcW w:w="643" w:type="dxa"/>
            <w:tcBorders/>
            <w:shd w:fill="auto" w:val="clear"/>
            <w:vAlign w:val="bottom"/>
          </w:tcPr>
          <w:p>
            <w:pPr>
              <w:pStyle w:val="TableContents"/>
              <w:spacing w:before="0" w:after="0"/>
              <w:jc w:val="right"/>
              <w:rPr>
                <w:rFonts w:ascii="Times New Roman" w:hAnsi="Times New Roman"/>
                <w:color w:val="000000"/>
              </w:rPr>
            </w:pPr>
            <w:r>
              <w:rPr>
                <w:rFonts w:ascii="Times New Roman" w:hAnsi="Times New Roman"/>
                <w:color w:val="000000"/>
              </w:rPr>
              <w:t>(6,899</w:t>
            </w:r>
          </w:p>
        </w:tc>
        <w:tc>
          <w:tcPr>
            <w:tcW w:w="95" w:type="dxa"/>
            <w:tcBorders/>
            <w:shd w:fill="auto" w:val="clear"/>
            <w:vAlign w:val="bottom"/>
          </w:tcPr>
          <w:p>
            <w:pPr>
              <w:pStyle w:val="TableContents"/>
              <w:spacing w:before="0" w:after="0"/>
              <w:jc w:val="left"/>
              <w:rPr>
                <w:rFonts w:ascii="Times New Roman" w:hAnsi="Times New Roman"/>
                <w:color w:val="000000"/>
              </w:rPr>
            </w:pPr>
            <w:r>
              <w:rPr>
                <w:rFonts w:ascii="Times New Roman" w:hAnsi="Times New Roman"/>
                <w:color w:val="000000"/>
              </w:rPr>
              <w:t>)</w:t>
            </w:r>
          </w:p>
        </w:tc>
      </w:tr>
      <w:tr>
        <w:trPr/>
        <w:tc>
          <w:tcPr>
            <w:tcW w:w="5870" w:type="dxa"/>
            <w:tcBorders/>
            <w:shd w:fill="CCEEFF" w:val="clear"/>
            <w:vAlign w:val="bottom"/>
          </w:tcPr>
          <w:p>
            <w:pPr>
              <w:pStyle w:val="TableContents"/>
              <w:spacing w:before="0" w:after="0"/>
              <w:ind w:left="180" w:right="0" w:hanging="180"/>
              <w:rPr>
                <w:b w:val="false"/>
                <w:i w:val="false"/>
                <w:caps w:val="false"/>
                <w:smallCaps w:val="false"/>
                <w:color w:val="000000"/>
                <w:sz w:val="20"/>
              </w:rPr>
            </w:pPr>
            <w:r>
              <w:rPr>
                <w:b w:val="false"/>
                <w:i w:val="false"/>
                <w:caps w:val="false"/>
                <w:smallCaps w:val="false"/>
                <w:color w:val="000000"/>
                <w:sz w:val="20"/>
              </w:rPr>
              <w:t xml:space="preserve">Change in fair value of interest rate swaps hedging fixed rate loans </w:t>
            </w:r>
          </w:p>
        </w:tc>
        <w:tc>
          <w:tcPr>
            <w:tcW w:w="60" w:type="dxa"/>
            <w:tcBorders/>
            <w:shd w:fill="CCEEFF" w:val="clear"/>
            <w:vAlign w:val="bottom"/>
          </w:tcPr>
          <w:p>
            <w:pPr>
              <w:pStyle w:val="TableContents"/>
              <w:spacing w:before="0" w:after="283"/>
              <w:rPr>
                <w:caps w:val="false"/>
                <w:smallCaps w:val="false"/>
                <w:color w:val="000000"/>
              </w:rPr>
            </w:pPr>
            <w:r>
              <w:rPr>
                <w:caps w:val="false"/>
                <w:smallCaps w:val="false"/>
                <w:color w:val="000000"/>
              </w:rPr>
              <w:t> </w:t>
            </w:r>
          </w:p>
        </w:tc>
        <w:tc>
          <w:tcPr>
            <w:tcW w:w="2135" w:type="dxa"/>
            <w:tcBorders/>
            <w:shd w:fill="CCEEFF" w:val="clear"/>
            <w:vAlign w:val="bottom"/>
          </w:tcPr>
          <w:p>
            <w:pPr>
              <w:pStyle w:val="TableContents"/>
              <w:spacing w:before="0" w:after="283"/>
              <w:rPr>
                <w:b w:val="false"/>
                <w:i w:val="false"/>
                <w:caps w:val="false"/>
                <w:smallCaps w:val="false"/>
                <w:color w:val="000000"/>
                <w:sz w:val="20"/>
              </w:rPr>
            </w:pPr>
            <w:r>
              <w:rPr>
                <w:b w:val="false"/>
                <w:i w:val="false"/>
                <w:caps w:val="false"/>
                <w:smallCaps w:val="false"/>
                <w:color w:val="000000"/>
                <w:sz w:val="20"/>
              </w:rPr>
              <w:t xml:space="preserve">Interest income - Loans </w:t>
            </w:r>
          </w:p>
        </w:tc>
        <w:tc>
          <w:tcPr>
            <w:tcW w:w="60" w:type="dxa"/>
            <w:tcBorders/>
            <w:shd w:fill="CCEEFF" w:val="clear"/>
            <w:vAlign w:val="bottom"/>
          </w:tcPr>
          <w:p>
            <w:pPr>
              <w:pStyle w:val="TableContents"/>
              <w:spacing w:before="0" w:after="283"/>
              <w:jc w:val="right"/>
              <w:rPr/>
            </w:pPr>
            <w:r>
              <w:rPr/>
              <w:t> </w:t>
            </w:r>
          </w:p>
        </w:tc>
        <w:tc>
          <w:tcPr>
            <w:tcW w:w="141" w:type="dxa"/>
            <w:tcBorders/>
            <w:shd w:fill="CCEEFF" w:val="clear"/>
            <w:vAlign w:val="bottom"/>
          </w:tcPr>
          <w:p>
            <w:pPr>
              <w:pStyle w:val="TableContents"/>
              <w:spacing w:before="0" w:after="283"/>
              <w:jc w:val="left"/>
              <w:rPr/>
            </w:pPr>
            <w:r>
              <w:rPr/>
              <w:t>$</w:t>
            </w:r>
          </w:p>
        </w:tc>
        <w:tc>
          <w:tcPr>
            <w:tcW w:w="643" w:type="dxa"/>
            <w:tcBorders/>
            <w:shd w:fill="CCEEFF" w:val="clear"/>
            <w:vAlign w:val="bottom"/>
          </w:tcPr>
          <w:p>
            <w:pPr>
              <w:pStyle w:val="TableContents"/>
              <w:spacing w:before="0" w:after="283"/>
              <w:jc w:val="right"/>
              <w:rPr/>
            </w:pPr>
            <w:r>
              <w:rPr/>
              <w:t>—</w:t>
            </w:r>
          </w:p>
        </w:tc>
        <w:tc>
          <w:tcPr>
            <w:tcW w:w="96"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02" w:type="dxa"/>
            <w:tcBorders/>
            <w:shd w:fill="CCEEFF" w:val="clear"/>
            <w:vAlign w:val="bottom"/>
          </w:tcPr>
          <w:p>
            <w:pPr>
              <w:pStyle w:val="TableContents"/>
              <w:spacing w:before="0" w:after="283"/>
              <w:jc w:val="left"/>
              <w:rPr/>
            </w:pPr>
            <w:r>
              <w:rPr/>
              <w:t xml:space="preserve">$ </w:t>
            </w:r>
          </w:p>
        </w:tc>
        <w:tc>
          <w:tcPr>
            <w:tcW w:w="643" w:type="dxa"/>
            <w:tcBorders/>
            <w:shd w:fill="CCEEFF" w:val="clear"/>
            <w:vAlign w:val="bottom"/>
          </w:tcPr>
          <w:p>
            <w:pPr>
              <w:pStyle w:val="TableContents"/>
              <w:spacing w:before="0" w:after="283"/>
              <w:jc w:val="right"/>
              <w:rPr/>
            </w:pPr>
            <w:r>
              <w:rPr/>
              <w:t>458</w:t>
            </w:r>
          </w:p>
        </w:tc>
        <w:tc>
          <w:tcPr>
            <w:tcW w:w="95" w:type="dxa"/>
            <w:tcBorders/>
            <w:shd w:fill="CCEEFF" w:val="clear"/>
            <w:vAlign w:val="bottom"/>
          </w:tcPr>
          <w:p>
            <w:pPr>
              <w:pStyle w:val="TableContents"/>
              <w:spacing w:before="0" w:after="283"/>
              <w:jc w:val="left"/>
              <w:rPr/>
            </w:pPr>
            <w:r>
              <w:rPr/>
              <w:t> </w:t>
            </w:r>
          </w:p>
        </w:tc>
      </w:tr>
      <w:tr>
        <w:trPr/>
        <w:tc>
          <w:tcPr>
            <w:tcW w:w="5870" w:type="dxa"/>
            <w:tcBorders/>
            <w:shd w:fill="auto" w:val="clear"/>
            <w:vAlign w:val="bottom"/>
          </w:tcPr>
          <w:p>
            <w:pPr>
              <w:pStyle w:val="TableContents"/>
              <w:spacing w:before="0" w:after="0"/>
              <w:ind w:left="180" w:right="0" w:hanging="180"/>
              <w:rPr>
                <w:b w:val="false"/>
                <w:i w:val="false"/>
                <w:caps w:val="false"/>
                <w:smallCaps w:val="false"/>
                <w:color w:val="000000"/>
                <w:sz w:val="20"/>
              </w:rPr>
            </w:pPr>
            <w:r>
              <w:rPr>
                <w:b w:val="false"/>
                <w:i w:val="false"/>
                <w:caps w:val="false"/>
                <w:smallCaps w:val="false"/>
                <w:color w:val="000000"/>
                <w:sz w:val="20"/>
              </w:rPr>
              <w:t xml:space="preserve">Change in fair value of hedged fixed rate loans </w:t>
            </w:r>
          </w:p>
        </w:tc>
        <w:tc>
          <w:tcPr>
            <w:tcW w:w="60" w:type="dxa"/>
            <w:tcBorders/>
            <w:shd w:fill="auto" w:val="clear"/>
            <w:vAlign w:val="bottom"/>
          </w:tcPr>
          <w:p>
            <w:pPr>
              <w:pStyle w:val="TableContents"/>
              <w:spacing w:before="0" w:after="283"/>
              <w:rPr>
                <w:caps w:val="false"/>
                <w:smallCaps w:val="false"/>
                <w:color w:val="000000"/>
              </w:rPr>
            </w:pPr>
            <w:r>
              <w:rPr>
                <w:caps w:val="false"/>
                <w:smallCaps w:val="false"/>
                <w:color w:val="000000"/>
              </w:rPr>
              <w:t> </w:t>
            </w:r>
          </w:p>
        </w:tc>
        <w:tc>
          <w:tcPr>
            <w:tcW w:w="2135" w:type="dxa"/>
            <w:tcBorders/>
            <w:shd w:fill="auto" w:val="clear"/>
            <w:vAlign w:val="bottom"/>
          </w:tcPr>
          <w:p>
            <w:pPr>
              <w:pStyle w:val="TableContents"/>
              <w:spacing w:before="0" w:after="283"/>
              <w:rPr>
                <w:b w:val="false"/>
                <w:i w:val="false"/>
                <w:caps w:val="false"/>
                <w:smallCaps w:val="false"/>
                <w:color w:val="000000"/>
                <w:sz w:val="20"/>
              </w:rPr>
            </w:pPr>
            <w:r>
              <w:rPr>
                <w:b w:val="false"/>
                <w:i w:val="false"/>
                <w:caps w:val="false"/>
                <w:smallCaps w:val="false"/>
                <w:color w:val="000000"/>
                <w:sz w:val="20"/>
              </w:rPr>
              <w:t xml:space="preserve">Interest income - Loans </w:t>
            </w:r>
          </w:p>
        </w:tc>
        <w:tc>
          <w:tcPr>
            <w:tcW w:w="60" w:type="dxa"/>
            <w:tcBorders/>
            <w:shd w:fill="auto" w:val="clear"/>
            <w:vAlign w:val="bottom"/>
          </w:tcPr>
          <w:p>
            <w:pPr>
              <w:pStyle w:val="TableContents"/>
              <w:spacing w:before="0" w:after="283"/>
              <w:jc w:val="right"/>
              <w:rPr/>
            </w:pPr>
            <w:r>
              <w:rPr/>
              <w:t> </w:t>
            </w:r>
          </w:p>
        </w:tc>
        <w:tc>
          <w:tcPr>
            <w:tcW w:w="141" w:type="dxa"/>
            <w:tcBorders/>
            <w:shd w:fill="auto" w:val="clear"/>
            <w:vAlign w:val="bottom"/>
          </w:tcPr>
          <w:p>
            <w:pPr>
              <w:pStyle w:val="TableContents"/>
              <w:spacing w:before="0" w:after="283"/>
              <w:jc w:val="left"/>
              <w:rPr/>
            </w:pPr>
            <w:r>
              <w:rPr/>
              <w:t> </w:t>
            </w:r>
          </w:p>
        </w:tc>
        <w:tc>
          <w:tcPr>
            <w:tcW w:w="643" w:type="dxa"/>
            <w:tcBorders/>
            <w:shd w:fill="auto" w:val="clear"/>
            <w:vAlign w:val="bottom"/>
          </w:tcPr>
          <w:p>
            <w:pPr>
              <w:pStyle w:val="TableContents"/>
              <w:spacing w:before="0" w:after="283"/>
              <w:jc w:val="right"/>
              <w:rPr/>
            </w:pPr>
            <w:r>
              <w:rPr/>
              <w:t>—</w:t>
            </w:r>
          </w:p>
        </w:tc>
        <w:tc>
          <w:tcPr>
            <w:tcW w:w="96"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202" w:type="dxa"/>
            <w:tcBorders/>
            <w:shd w:fill="auto" w:val="clear"/>
            <w:vAlign w:val="bottom"/>
          </w:tcPr>
          <w:p>
            <w:pPr>
              <w:pStyle w:val="TableContents"/>
              <w:spacing w:before="0" w:after="283"/>
              <w:jc w:val="left"/>
              <w:rPr/>
            </w:pPr>
            <w:r>
              <w:rPr/>
              <w:t> </w:t>
            </w:r>
          </w:p>
        </w:tc>
        <w:tc>
          <w:tcPr>
            <w:tcW w:w="643" w:type="dxa"/>
            <w:tcBorders/>
            <w:shd w:fill="auto" w:val="clear"/>
            <w:vAlign w:val="bottom"/>
          </w:tcPr>
          <w:p>
            <w:pPr>
              <w:pStyle w:val="TableContents"/>
              <w:spacing w:before="0" w:after="283"/>
              <w:jc w:val="right"/>
              <w:rPr/>
            </w:pPr>
            <w:r>
              <w:rPr/>
              <w:t>(463</w:t>
            </w:r>
          </w:p>
        </w:tc>
        <w:tc>
          <w:tcPr>
            <w:tcW w:w="95" w:type="dxa"/>
            <w:tcBorders/>
            <w:shd w:fill="auto" w:val="clear"/>
            <w:vAlign w:val="bottom"/>
          </w:tcPr>
          <w:p>
            <w:pPr>
              <w:pStyle w:val="TableContents"/>
              <w:spacing w:before="0" w:after="283"/>
              <w:jc w:val="left"/>
              <w:rPr/>
            </w:pPr>
            <w:r>
              <w:rPr/>
              <w:t>)</w:t>
            </w:r>
          </w:p>
        </w:tc>
      </w:tr>
    </w:tbl>
    <w:p>
      <w:pPr>
        <w:pStyle w:val="TextBody"/>
        <w:spacing w:before="0" w:after="0"/>
        <w:jc w:val="both"/>
        <w:rPr/>
      </w:pPr>
      <w:r>
        <w:rPr/>
      </w:r>
    </w:p>
    <w:p>
      <w:pPr>
        <w:pStyle w:val="TextBody"/>
        <w:spacing w:before="200" w:after="200"/>
        <w:ind w:left="0" w:right="0" w:hanging="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24</w:t>
      </w:r>
    </w:p>
    <w:p>
      <w:pPr>
        <w:pStyle w:val="HorizontalLine"/>
        <w:spacing w:before="200" w:after="200"/>
        <w:jc w:val="both"/>
        <w:rPr/>
      </w:pPr>
      <w:r>
        <w:rPr/>
      </w:r>
    </w:p>
    <w:p>
      <w:pPr>
        <w:pStyle w:val="TextBody"/>
        <w:spacing w:before="200" w:after="200"/>
        <w:jc w:val="both"/>
        <w:rPr/>
      </w:pPr>
      <w:hyperlink w:anchor="TABLEOFCONTENTS">
        <w:r>
          <w:rPr>
            <w:rStyle w:val="InternetLink"/>
            <w:rFonts w:ascii="Times New Roman" w:hAnsi="Times New Roman"/>
            <w:b w:val="false"/>
            <w:i/>
            <w:caps w:val="false"/>
            <w:smallCaps w:val="false"/>
            <w:color w:val="000000"/>
            <w:sz w:val="16"/>
          </w:rPr>
          <w:t>Table of Contents</w:t>
        </w:r>
      </w:hyperlink>
    </w:p>
    <w:p>
      <w:pPr>
        <w:pStyle w:val="TextBody"/>
        <w:spacing w:before="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following table reflects the fair value hedges included in the Company’s Consolidated Balance Sheets at the dates indicated (dollars in thousands):</w:t>
      </w:r>
    </w:p>
    <w:p>
      <w:pPr>
        <w:pStyle w:val="TextBody"/>
        <w:spacing w:before="0" w:after="0"/>
        <w:jc w:val="both"/>
        <w:rPr/>
      </w:pPr>
      <w:r>
        <w:rPr/>
      </w:r>
    </w:p>
    <w:tbl>
      <w:tblPr>
        <w:tblW w:w="9597" w:type="dxa"/>
        <w:jc w:val="left"/>
        <w:tblInd w:w="0" w:type="dxa"/>
        <w:tblCellMar>
          <w:top w:w="0" w:type="dxa"/>
          <w:left w:w="0" w:type="dxa"/>
          <w:bottom w:w="0" w:type="dxa"/>
          <w:right w:w="0" w:type="dxa"/>
        </w:tblCellMar>
      </w:tblPr>
      <w:tblGrid>
        <w:gridCol w:w="5510"/>
        <w:gridCol w:w="60"/>
        <w:gridCol w:w="140"/>
        <w:gridCol w:w="800"/>
        <w:gridCol w:w="60"/>
        <w:gridCol w:w="60"/>
        <w:gridCol w:w="140"/>
        <w:gridCol w:w="680"/>
        <w:gridCol w:w="60"/>
        <w:gridCol w:w="60"/>
        <w:gridCol w:w="145"/>
        <w:gridCol w:w="831"/>
        <w:gridCol w:w="62"/>
        <w:gridCol w:w="62"/>
        <w:gridCol w:w="145"/>
        <w:gridCol w:w="707"/>
        <w:gridCol w:w="75"/>
      </w:tblGrid>
      <w:tr>
        <w:trPr/>
        <w:tc>
          <w:tcPr>
            <w:tcW w:w="551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80" w:type="dxa"/>
            <w:gridSpan w:val="6"/>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March 31, 2023</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952" w:type="dxa"/>
            <w:gridSpan w:val="6"/>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December 31, 2022</w:t>
            </w:r>
          </w:p>
        </w:tc>
        <w:tc>
          <w:tcPr>
            <w:tcW w:w="75" w:type="dxa"/>
            <w:tcBorders/>
            <w:shd w:fill="auto" w:val="clear"/>
            <w:vAlign w:val="bottom"/>
          </w:tcPr>
          <w:p>
            <w:pPr>
              <w:pStyle w:val="TableContents"/>
              <w:spacing w:before="0" w:after="283"/>
              <w:jc w:val="left"/>
              <w:rPr/>
            </w:pPr>
            <w:r>
              <w:rPr/>
              <w:t> </w:t>
            </w:r>
          </w:p>
        </w:tc>
      </w:tr>
      <w:tr>
        <w:trPr/>
        <w:tc>
          <w:tcPr>
            <w:tcW w:w="551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Notional</w:t>
            </w:r>
          </w:p>
          <w:p>
            <w:pPr>
              <w:pStyle w:val="TableContents"/>
              <w:spacing w:before="0" w:after="0"/>
              <w:jc w:val="center"/>
              <w:rPr>
                <w:b/>
                <w:color w:val="000000"/>
              </w:rPr>
            </w:pPr>
            <w:r>
              <w:rPr>
                <w:b/>
                <w:color w:val="000000"/>
              </w:rPr>
              <w:t>Amount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2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Fair</w:t>
            </w:r>
          </w:p>
          <w:p>
            <w:pPr>
              <w:pStyle w:val="TableContents"/>
              <w:spacing w:before="0" w:after="0"/>
              <w:jc w:val="center"/>
              <w:rPr>
                <w:b/>
                <w:color w:val="000000"/>
              </w:rPr>
            </w:pPr>
            <w:r>
              <w:rPr>
                <w:b/>
                <w:color w:val="000000"/>
              </w:rPr>
              <w:t>Value</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76"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Notional</w:t>
            </w:r>
          </w:p>
          <w:p>
            <w:pPr>
              <w:pStyle w:val="TableContents"/>
              <w:spacing w:before="0" w:after="0"/>
              <w:jc w:val="center"/>
              <w:rPr>
                <w:b/>
                <w:color w:val="000000"/>
              </w:rPr>
            </w:pPr>
            <w:r>
              <w:rPr>
                <w:b/>
                <w:color w:val="000000"/>
              </w:rPr>
              <w:t>Amount</w:t>
            </w:r>
          </w:p>
        </w:tc>
        <w:tc>
          <w:tcPr>
            <w:tcW w:w="62" w:type="dxa"/>
            <w:tcBorders/>
            <w:shd w:fill="auto" w:val="clear"/>
            <w:vAlign w:val="bottom"/>
          </w:tcPr>
          <w:p>
            <w:pPr>
              <w:pStyle w:val="TableContents"/>
              <w:spacing w:before="0" w:after="283"/>
              <w:jc w:val="left"/>
              <w:rPr/>
            </w:pPr>
            <w:r>
              <w:rPr/>
              <w:t> </w:t>
            </w:r>
          </w:p>
        </w:tc>
        <w:tc>
          <w:tcPr>
            <w:tcW w:w="62" w:type="dxa"/>
            <w:tcBorders/>
            <w:shd w:fill="auto" w:val="clear"/>
            <w:vAlign w:val="bottom"/>
          </w:tcPr>
          <w:p>
            <w:pPr>
              <w:pStyle w:val="TableContents"/>
              <w:spacing w:before="0" w:after="283"/>
              <w:rPr/>
            </w:pPr>
            <w:r>
              <w:rPr/>
              <w:t> </w:t>
            </w:r>
          </w:p>
        </w:tc>
        <w:tc>
          <w:tcPr>
            <w:tcW w:w="852"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Fair</w:t>
            </w:r>
          </w:p>
          <w:p>
            <w:pPr>
              <w:pStyle w:val="TableContents"/>
              <w:spacing w:before="0" w:after="0"/>
              <w:jc w:val="center"/>
              <w:rPr>
                <w:b/>
                <w:color w:val="000000"/>
              </w:rPr>
            </w:pPr>
            <w:r>
              <w:rPr>
                <w:b/>
                <w:color w:val="000000"/>
              </w:rPr>
              <w:t>Value</w:t>
            </w:r>
          </w:p>
        </w:tc>
        <w:tc>
          <w:tcPr>
            <w:tcW w:w="75" w:type="dxa"/>
            <w:tcBorders/>
            <w:shd w:fill="auto" w:val="clear"/>
            <w:vAlign w:val="bottom"/>
          </w:tcPr>
          <w:p>
            <w:pPr>
              <w:pStyle w:val="TableContents"/>
              <w:spacing w:before="0" w:after="283"/>
              <w:jc w:val="left"/>
              <w:rPr/>
            </w:pPr>
            <w:r>
              <w:rPr/>
              <w:t> </w:t>
            </w:r>
          </w:p>
        </w:tc>
      </w:tr>
      <w:tr>
        <w:trPr/>
        <w:tc>
          <w:tcPr>
            <w:tcW w:w="551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2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76" w:type="dxa"/>
            <w:gridSpan w:val="2"/>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jc w:val="left"/>
              <w:rPr/>
            </w:pPr>
            <w:r>
              <w:rPr/>
              <w:t> </w:t>
            </w:r>
          </w:p>
        </w:tc>
        <w:tc>
          <w:tcPr>
            <w:tcW w:w="62" w:type="dxa"/>
            <w:tcBorders/>
            <w:shd w:fill="auto" w:val="clear"/>
            <w:vAlign w:val="bottom"/>
          </w:tcPr>
          <w:p>
            <w:pPr>
              <w:pStyle w:val="TableContents"/>
              <w:spacing w:before="0" w:after="283"/>
              <w:rPr/>
            </w:pPr>
            <w:r>
              <w:rPr/>
              <w:t> </w:t>
            </w:r>
          </w:p>
        </w:tc>
        <w:tc>
          <w:tcPr>
            <w:tcW w:w="852"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jc w:val="left"/>
              <w:rPr/>
            </w:pPr>
            <w:r>
              <w:rPr/>
              <w:t> </w:t>
            </w:r>
          </w:p>
        </w:tc>
      </w:tr>
      <w:tr>
        <w:trPr/>
        <w:tc>
          <w:tcPr>
            <w:tcW w:w="5510" w:type="dxa"/>
            <w:tcBorders/>
            <w:shd w:fill="auto" w:val="clear"/>
            <w:vAlign w:val="bottom"/>
          </w:tcPr>
          <w:p>
            <w:pPr>
              <w:pStyle w:val="TableContents"/>
              <w:spacing w:before="0" w:after="0"/>
              <w:ind w:left="180" w:right="0" w:hanging="180"/>
              <w:rPr>
                <w:color w:val="000000"/>
              </w:rPr>
            </w:pPr>
            <w:r>
              <w:rPr>
                <w:color w:val="000000"/>
              </w:rPr>
              <w:t>Included in other liabilities:</w:t>
            </w:r>
          </w:p>
        </w:tc>
        <w:tc>
          <w:tcPr>
            <w:tcW w:w="60" w:type="dxa"/>
            <w:tcBorders/>
            <w:shd w:fill="auto" w:val="clear"/>
            <w:vAlign w:val="bottom"/>
          </w:tcPr>
          <w:p>
            <w:pPr>
              <w:pStyle w:val="TableContents"/>
              <w:spacing w:before="0" w:after="283"/>
              <w:rPr/>
            </w:pPr>
            <w:r>
              <w:rPr/>
              <w:t> </w:t>
            </w:r>
          </w:p>
        </w:tc>
        <w:tc>
          <w:tcPr>
            <w:tcW w:w="94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2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76" w:type="dxa"/>
            <w:gridSpan w:val="2"/>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jc w:val="left"/>
              <w:rPr/>
            </w:pPr>
            <w:r>
              <w:rPr/>
              <w:t> </w:t>
            </w:r>
          </w:p>
        </w:tc>
        <w:tc>
          <w:tcPr>
            <w:tcW w:w="62" w:type="dxa"/>
            <w:tcBorders/>
            <w:shd w:fill="auto" w:val="clear"/>
            <w:vAlign w:val="bottom"/>
          </w:tcPr>
          <w:p>
            <w:pPr>
              <w:pStyle w:val="TableContents"/>
              <w:spacing w:before="0" w:after="283"/>
              <w:rPr/>
            </w:pPr>
            <w:r>
              <w:rPr/>
              <w:t> </w:t>
            </w:r>
          </w:p>
        </w:tc>
        <w:tc>
          <w:tcPr>
            <w:tcW w:w="852"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jc w:val="left"/>
              <w:rPr/>
            </w:pPr>
            <w:r>
              <w:rPr/>
              <w:t> </w:t>
            </w:r>
          </w:p>
        </w:tc>
      </w:tr>
      <w:tr>
        <w:trPr/>
        <w:tc>
          <w:tcPr>
            <w:tcW w:w="5510" w:type="dxa"/>
            <w:tcBorders/>
            <w:shd w:fill="CCEEFF" w:val="clear"/>
            <w:vAlign w:val="bottom"/>
          </w:tcPr>
          <w:p>
            <w:pPr>
              <w:pStyle w:val="TableContents"/>
              <w:spacing w:before="0" w:after="0"/>
              <w:ind w:left="360" w:right="0" w:hanging="180"/>
              <w:rPr>
                <w:color w:val="000000"/>
              </w:rPr>
            </w:pPr>
            <w:r>
              <w:rPr>
                <w:color w:val="000000"/>
              </w:rPr>
              <w:t>Interest rate swaps related to fixed rate loans</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0"/>
              <w:jc w:val="left"/>
              <w:rPr>
                <w:color w:val="000000"/>
              </w:rPr>
            </w:pPr>
            <w:r>
              <w:rPr>
                <w:color w:val="000000"/>
              </w:rPr>
              <w:t>$</w:t>
            </w:r>
          </w:p>
        </w:tc>
        <w:tc>
          <w:tcPr>
            <w:tcW w:w="800"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0"/>
              <w:jc w:val="left"/>
              <w:rPr>
                <w:color w:val="000000"/>
              </w:rPr>
            </w:pPr>
            <w:r>
              <w:rPr>
                <w:color w:val="000000"/>
              </w:rPr>
              <w:t>$</w:t>
            </w:r>
          </w:p>
        </w:tc>
        <w:tc>
          <w:tcPr>
            <w:tcW w:w="680"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5" w:type="dxa"/>
            <w:tcBorders/>
            <w:shd w:fill="CCEEFF" w:val="clear"/>
            <w:vAlign w:val="bottom"/>
          </w:tcPr>
          <w:p>
            <w:pPr>
              <w:pStyle w:val="TableContents"/>
              <w:spacing w:before="0" w:after="0"/>
              <w:jc w:val="left"/>
              <w:rPr>
                <w:color w:val="000000"/>
              </w:rPr>
            </w:pPr>
            <w:r>
              <w:rPr>
                <w:color w:val="000000"/>
              </w:rPr>
              <w:t>$</w:t>
            </w:r>
          </w:p>
        </w:tc>
        <w:tc>
          <w:tcPr>
            <w:tcW w:w="831" w:type="dxa"/>
            <w:tcBorders/>
            <w:shd w:fill="CCEEFF" w:val="clear"/>
            <w:vAlign w:val="bottom"/>
          </w:tcPr>
          <w:p>
            <w:pPr>
              <w:pStyle w:val="TableContents"/>
              <w:spacing w:before="0" w:after="0"/>
              <w:jc w:val="right"/>
              <w:rPr>
                <w:color w:val="000000"/>
              </w:rPr>
            </w:pPr>
            <w:r>
              <w:rPr>
                <w:color w:val="000000"/>
              </w:rPr>
              <w:t>—</w:t>
            </w:r>
          </w:p>
        </w:tc>
        <w:tc>
          <w:tcPr>
            <w:tcW w:w="62" w:type="dxa"/>
            <w:tcBorders/>
            <w:shd w:fill="CCEEFF" w:val="clear"/>
            <w:vAlign w:val="bottom"/>
          </w:tcPr>
          <w:p>
            <w:pPr>
              <w:pStyle w:val="TableContents"/>
              <w:spacing w:before="0" w:after="283"/>
              <w:jc w:val="left"/>
              <w:rPr/>
            </w:pPr>
            <w:r>
              <w:rPr/>
              <w:t> </w:t>
            </w:r>
          </w:p>
        </w:tc>
        <w:tc>
          <w:tcPr>
            <w:tcW w:w="62" w:type="dxa"/>
            <w:tcBorders/>
            <w:shd w:fill="CCEEFF" w:val="clear"/>
            <w:vAlign w:val="bottom"/>
          </w:tcPr>
          <w:p>
            <w:pPr>
              <w:pStyle w:val="TableContents"/>
              <w:spacing w:before="0" w:after="283"/>
              <w:jc w:val="right"/>
              <w:rPr/>
            </w:pPr>
            <w:r>
              <w:rPr/>
              <w:t> </w:t>
            </w:r>
          </w:p>
        </w:tc>
        <w:tc>
          <w:tcPr>
            <w:tcW w:w="145" w:type="dxa"/>
            <w:tcBorders/>
            <w:shd w:fill="CCEEFF" w:val="clear"/>
            <w:vAlign w:val="bottom"/>
          </w:tcPr>
          <w:p>
            <w:pPr>
              <w:pStyle w:val="TableContents"/>
              <w:spacing w:before="0" w:after="0"/>
              <w:jc w:val="left"/>
              <w:rPr>
                <w:color w:val="000000"/>
              </w:rPr>
            </w:pPr>
            <w:r>
              <w:rPr>
                <w:color w:val="000000"/>
              </w:rPr>
              <w:t>$</w:t>
            </w:r>
          </w:p>
        </w:tc>
        <w:tc>
          <w:tcPr>
            <w:tcW w:w="707" w:type="dxa"/>
            <w:tcBorders/>
            <w:shd w:fill="CCEEFF" w:val="clear"/>
            <w:vAlign w:val="bottom"/>
          </w:tcPr>
          <w:p>
            <w:pPr>
              <w:pStyle w:val="TableContents"/>
              <w:spacing w:before="0" w:after="0"/>
              <w:jc w:val="right"/>
              <w:rPr>
                <w:color w:val="000000"/>
              </w:rPr>
            </w:pPr>
            <w:r>
              <w:rPr>
                <w:color w:val="000000"/>
              </w:rPr>
              <w:t>—</w:t>
            </w:r>
          </w:p>
        </w:tc>
        <w:tc>
          <w:tcPr>
            <w:tcW w:w="75" w:type="dxa"/>
            <w:tcBorders/>
            <w:shd w:fill="CCEEFF" w:val="clear"/>
            <w:vAlign w:val="bottom"/>
          </w:tcPr>
          <w:p>
            <w:pPr>
              <w:pStyle w:val="TableContents"/>
              <w:spacing w:before="0" w:after="283"/>
              <w:jc w:val="left"/>
              <w:rPr/>
            </w:pPr>
            <w:r>
              <w:rPr/>
              <w:t> </w:t>
            </w:r>
          </w:p>
        </w:tc>
      </w:tr>
      <w:tr>
        <w:trPr/>
        <w:tc>
          <w:tcPr>
            <w:tcW w:w="5510" w:type="dxa"/>
            <w:tcBorders/>
            <w:shd w:fill="auto" w:val="clear"/>
            <w:vAlign w:val="bottom"/>
          </w:tcPr>
          <w:p>
            <w:pPr>
              <w:pStyle w:val="TableContents"/>
              <w:spacing w:before="0" w:after="0"/>
              <w:ind w:left="360" w:right="0" w:hanging="180"/>
              <w:rPr>
                <w:color w:val="000000"/>
              </w:rPr>
            </w:pPr>
            <w:r>
              <w:rPr>
                <w:color w:val="000000"/>
              </w:rPr>
              <w:t>Interest rate swaps related to state and municipal securities</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680" w:type="dxa"/>
            <w:tcBorders/>
            <w:shd w:fill="auto" w:val="cle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5" w:type="dxa"/>
            <w:tcBorders/>
            <w:shd w:fill="auto" w:val="clear"/>
            <w:vAlign w:val="bottom"/>
          </w:tcPr>
          <w:p>
            <w:pPr>
              <w:pStyle w:val="TableContents"/>
              <w:spacing w:before="0" w:after="283"/>
              <w:jc w:val="left"/>
              <w:rPr/>
            </w:pPr>
            <w:r>
              <w:rPr/>
              <w:t> </w:t>
            </w:r>
          </w:p>
        </w:tc>
        <w:tc>
          <w:tcPr>
            <w:tcW w:w="831" w:type="dxa"/>
            <w:tcBorders/>
            <w:shd w:fill="auto" w:val="clear"/>
            <w:vAlign w:val="bottom"/>
          </w:tcPr>
          <w:p>
            <w:pPr>
              <w:pStyle w:val="TableContents"/>
              <w:spacing w:before="0" w:after="0"/>
              <w:jc w:val="right"/>
              <w:rPr>
                <w:color w:val="000000"/>
              </w:rPr>
            </w:pPr>
            <w:r>
              <w:rPr>
                <w:color w:val="000000"/>
              </w:rPr>
              <w:t>—</w:t>
            </w:r>
          </w:p>
        </w:tc>
        <w:tc>
          <w:tcPr>
            <w:tcW w:w="62" w:type="dxa"/>
            <w:tcBorders/>
            <w:shd w:fill="auto" w:val="clear"/>
            <w:vAlign w:val="bottom"/>
          </w:tcPr>
          <w:p>
            <w:pPr>
              <w:pStyle w:val="TableContents"/>
              <w:spacing w:before="0" w:after="283"/>
              <w:jc w:val="left"/>
              <w:rPr/>
            </w:pPr>
            <w:r>
              <w:rPr/>
              <w:t> </w:t>
            </w:r>
          </w:p>
        </w:tc>
        <w:tc>
          <w:tcPr>
            <w:tcW w:w="62" w:type="dxa"/>
            <w:tcBorders/>
            <w:shd w:fill="auto" w:val="clear"/>
            <w:vAlign w:val="bottom"/>
          </w:tcPr>
          <w:p>
            <w:pPr>
              <w:pStyle w:val="TableContents"/>
              <w:spacing w:before="0" w:after="283"/>
              <w:jc w:val="right"/>
              <w:rPr/>
            </w:pPr>
            <w:r>
              <w:rPr/>
              <w:t> </w:t>
            </w:r>
          </w:p>
        </w:tc>
        <w:tc>
          <w:tcPr>
            <w:tcW w:w="145" w:type="dxa"/>
            <w:tcBorders/>
            <w:shd w:fill="auto" w:val="clear"/>
            <w:vAlign w:val="bottom"/>
          </w:tcPr>
          <w:p>
            <w:pPr>
              <w:pStyle w:val="TableContents"/>
              <w:spacing w:before="0" w:after="283"/>
              <w:jc w:val="left"/>
              <w:rPr/>
            </w:pPr>
            <w:r>
              <w:rPr/>
              <w:t> </w:t>
            </w:r>
          </w:p>
        </w:tc>
        <w:tc>
          <w:tcPr>
            <w:tcW w:w="707" w:type="dxa"/>
            <w:tcBorders/>
            <w:shd w:fill="auto" w:val="clear"/>
            <w:vAlign w:val="bottom"/>
          </w:tcPr>
          <w:p>
            <w:pPr>
              <w:pStyle w:val="TableContents"/>
              <w:spacing w:before="0" w:after="0"/>
              <w:jc w:val="right"/>
              <w:rPr>
                <w:color w:val="000000"/>
              </w:rPr>
            </w:pPr>
            <w:r>
              <w:rPr>
                <w:color w:val="000000"/>
              </w:rPr>
              <w:t>—</w:t>
            </w:r>
          </w:p>
        </w:tc>
        <w:tc>
          <w:tcPr>
            <w:tcW w:w="75" w:type="dxa"/>
            <w:tcBorders/>
            <w:shd w:fill="auto" w:val="clear"/>
            <w:vAlign w:val="bottom"/>
          </w:tcPr>
          <w:p>
            <w:pPr>
              <w:pStyle w:val="TableContents"/>
              <w:spacing w:before="0" w:after="283"/>
              <w:ind w:left="180" w:right="0" w:hanging="180"/>
              <w:jc w:val="left"/>
              <w:rPr/>
            </w:pPr>
            <w:r>
              <w:rPr/>
              <w:t> </w:t>
            </w:r>
          </w:p>
        </w:tc>
      </w:tr>
      <w:tr>
        <w:trPr/>
        <w:tc>
          <w:tcPr>
            <w:tcW w:w="551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80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6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5" w:type="dxa"/>
            <w:tcBorders/>
            <w:shd w:fill="CCEEFF" w:val="clear"/>
            <w:vAlign w:val="bottom"/>
          </w:tcPr>
          <w:p>
            <w:pPr>
              <w:pStyle w:val="TableContents"/>
              <w:spacing w:before="0" w:after="283"/>
              <w:jc w:val="left"/>
              <w:rPr/>
            </w:pPr>
            <w:r>
              <w:rPr/>
              <w:t> </w:t>
            </w:r>
          </w:p>
        </w:tc>
        <w:tc>
          <w:tcPr>
            <w:tcW w:w="831" w:type="dxa"/>
            <w:tcBorders/>
            <w:shd w:fill="CCEEFF" w:val="clear"/>
            <w:vAlign w:val="bottom"/>
          </w:tcPr>
          <w:p>
            <w:pPr>
              <w:pStyle w:val="TableContents"/>
              <w:spacing w:before="0" w:after="283"/>
              <w:jc w:val="right"/>
              <w:rPr/>
            </w:pPr>
            <w:r>
              <w:rPr/>
              <w:t> </w:t>
            </w:r>
          </w:p>
        </w:tc>
        <w:tc>
          <w:tcPr>
            <w:tcW w:w="62" w:type="dxa"/>
            <w:tcBorders/>
            <w:shd w:fill="CCEEFF" w:val="clear"/>
            <w:vAlign w:val="bottom"/>
          </w:tcPr>
          <w:p>
            <w:pPr>
              <w:pStyle w:val="TableContents"/>
              <w:spacing w:before="0" w:after="283"/>
              <w:jc w:val="left"/>
              <w:rPr/>
            </w:pPr>
            <w:r>
              <w:rPr/>
              <w:t> </w:t>
            </w:r>
          </w:p>
        </w:tc>
        <w:tc>
          <w:tcPr>
            <w:tcW w:w="62" w:type="dxa"/>
            <w:tcBorders/>
            <w:shd w:fill="CCEEFF" w:val="clear"/>
            <w:vAlign w:val="bottom"/>
          </w:tcPr>
          <w:p>
            <w:pPr>
              <w:pStyle w:val="TableContents"/>
              <w:spacing w:before="0" w:after="283"/>
              <w:jc w:val="right"/>
              <w:rPr/>
            </w:pPr>
            <w:r>
              <w:rPr/>
              <w:t> </w:t>
            </w:r>
          </w:p>
        </w:tc>
        <w:tc>
          <w:tcPr>
            <w:tcW w:w="145" w:type="dxa"/>
            <w:tcBorders/>
            <w:shd w:fill="CCEEFF" w:val="clear"/>
            <w:vAlign w:val="bottom"/>
          </w:tcPr>
          <w:p>
            <w:pPr>
              <w:pStyle w:val="TableContents"/>
              <w:spacing w:before="0" w:after="283"/>
              <w:jc w:val="left"/>
              <w:rPr/>
            </w:pPr>
            <w:r>
              <w:rPr/>
              <w:t> </w:t>
            </w:r>
          </w:p>
        </w:tc>
        <w:tc>
          <w:tcPr>
            <w:tcW w:w="707"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jc w:val="left"/>
              <w:rPr/>
            </w:pPr>
            <w:r>
              <w:rPr/>
              <w:t> </w:t>
            </w:r>
          </w:p>
        </w:tc>
      </w:tr>
      <w:tr>
        <w:trPr/>
        <w:tc>
          <w:tcPr>
            <w:tcW w:w="5510" w:type="dxa"/>
            <w:tcBorders/>
            <w:shd w:fill="auto" w:val="clear"/>
            <w:vAlign w:val="bottom"/>
          </w:tcPr>
          <w:p>
            <w:pPr>
              <w:pStyle w:val="TableContents"/>
              <w:spacing w:before="0" w:after="0"/>
              <w:ind w:left="180" w:right="0" w:hanging="180"/>
              <w:rPr>
                <w:color w:val="000000"/>
              </w:rPr>
            </w:pPr>
            <w:r>
              <w:rPr>
                <w:color w:val="000000"/>
              </w:rPr>
              <w:t>Included in other assets:</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6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5" w:type="dxa"/>
            <w:tcBorders/>
            <w:shd w:fill="auto" w:val="clear"/>
            <w:vAlign w:val="bottom"/>
          </w:tcPr>
          <w:p>
            <w:pPr>
              <w:pStyle w:val="TableContents"/>
              <w:spacing w:before="0" w:after="283"/>
              <w:jc w:val="left"/>
              <w:rPr/>
            </w:pPr>
            <w:r>
              <w:rPr/>
              <w:t> </w:t>
            </w:r>
          </w:p>
        </w:tc>
        <w:tc>
          <w:tcPr>
            <w:tcW w:w="831" w:type="dxa"/>
            <w:tcBorders/>
            <w:shd w:fill="auto" w:val="clear"/>
            <w:vAlign w:val="bottom"/>
          </w:tcPr>
          <w:p>
            <w:pPr>
              <w:pStyle w:val="TableContents"/>
              <w:spacing w:before="0" w:after="283"/>
              <w:jc w:val="right"/>
              <w:rPr/>
            </w:pPr>
            <w:r>
              <w:rPr/>
              <w:t> </w:t>
            </w:r>
          </w:p>
        </w:tc>
        <w:tc>
          <w:tcPr>
            <w:tcW w:w="62" w:type="dxa"/>
            <w:tcBorders/>
            <w:shd w:fill="auto" w:val="clear"/>
            <w:vAlign w:val="bottom"/>
          </w:tcPr>
          <w:p>
            <w:pPr>
              <w:pStyle w:val="TableContents"/>
              <w:spacing w:before="0" w:after="283"/>
              <w:jc w:val="left"/>
              <w:rPr/>
            </w:pPr>
            <w:r>
              <w:rPr/>
              <w:t> </w:t>
            </w:r>
          </w:p>
        </w:tc>
        <w:tc>
          <w:tcPr>
            <w:tcW w:w="62" w:type="dxa"/>
            <w:tcBorders/>
            <w:shd w:fill="auto" w:val="clear"/>
            <w:vAlign w:val="bottom"/>
          </w:tcPr>
          <w:p>
            <w:pPr>
              <w:pStyle w:val="TableContents"/>
              <w:spacing w:before="0" w:after="283"/>
              <w:jc w:val="right"/>
              <w:rPr/>
            </w:pPr>
            <w:r>
              <w:rPr/>
              <w:t> </w:t>
            </w:r>
          </w:p>
        </w:tc>
        <w:tc>
          <w:tcPr>
            <w:tcW w:w="145" w:type="dxa"/>
            <w:tcBorders/>
            <w:shd w:fill="auto" w:val="clear"/>
            <w:vAlign w:val="bottom"/>
          </w:tcPr>
          <w:p>
            <w:pPr>
              <w:pStyle w:val="TableContents"/>
              <w:spacing w:before="0" w:after="283"/>
              <w:jc w:val="left"/>
              <w:rPr/>
            </w:pPr>
            <w:r>
              <w:rPr/>
              <w:t> </w:t>
            </w:r>
          </w:p>
        </w:tc>
        <w:tc>
          <w:tcPr>
            <w:tcW w:w="707" w:type="dxa"/>
            <w:tcBorders/>
            <w:shd w:fill="auto" w:val="clear"/>
            <w:vAlign w:val="bottom"/>
          </w:tcPr>
          <w:p>
            <w:pPr>
              <w:pStyle w:val="TableContents"/>
              <w:spacing w:before="0" w:after="283"/>
              <w:jc w:val="right"/>
              <w:rPr/>
            </w:pPr>
            <w:r>
              <w:rPr/>
              <w:t> </w:t>
            </w:r>
          </w:p>
        </w:tc>
        <w:tc>
          <w:tcPr>
            <w:tcW w:w="75" w:type="dxa"/>
            <w:tcBorders/>
            <w:shd w:fill="auto" w:val="clear"/>
            <w:vAlign w:val="bottom"/>
          </w:tcPr>
          <w:p>
            <w:pPr>
              <w:pStyle w:val="TableContents"/>
              <w:spacing w:before="0" w:after="283"/>
              <w:jc w:val="left"/>
              <w:rPr/>
            </w:pPr>
            <w:r>
              <w:rPr/>
              <w:t> </w:t>
            </w:r>
          </w:p>
        </w:tc>
      </w:tr>
      <w:tr>
        <w:trPr/>
        <w:tc>
          <w:tcPr>
            <w:tcW w:w="5510" w:type="dxa"/>
            <w:tcBorders/>
            <w:shd w:fill="CCEEFF" w:val="clear"/>
            <w:vAlign w:val="bottom"/>
          </w:tcPr>
          <w:p>
            <w:pPr>
              <w:pStyle w:val="TableContents"/>
              <w:spacing w:before="0" w:after="0"/>
              <w:ind w:left="360" w:right="0" w:hanging="180"/>
              <w:rPr>
                <w:color w:val="000000"/>
              </w:rPr>
            </w:pPr>
            <w:r>
              <w:rPr>
                <w:color w:val="000000"/>
              </w:rPr>
              <w:t>Interest rate swaps related to fixed rate loans</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0"/>
              <w:jc w:val="left"/>
              <w:rPr>
                <w:color w:val="000000"/>
              </w:rPr>
            </w:pPr>
            <w:r>
              <w:rPr>
                <w:color w:val="000000"/>
              </w:rPr>
              <w:t>$</w:t>
            </w:r>
          </w:p>
        </w:tc>
        <w:tc>
          <w:tcPr>
            <w:tcW w:w="800" w:type="dxa"/>
            <w:tcBorders/>
            <w:shd w:fill="CCEEFF" w:val="clear"/>
            <w:vAlign w:val="bottom"/>
          </w:tcPr>
          <w:p>
            <w:pPr>
              <w:pStyle w:val="TableContents"/>
              <w:spacing w:before="0" w:after="0"/>
              <w:jc w:val="right"/>
              <w:rPr>
                <w:color w:val="000000"/>
              </w:rPr>
            </w:pPr>
            <w:r>
              <w:rPr>
                <w:color w:val="000000"/>
              </w:rPr>
              <w:t>9,348</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0"/>
              <w:jc w:val="left"/>
              <w:rPr>
                <w:color w:val="000000"/>
              </w:rPr>
            </w:pPr>
            <w:r>
              <w:rPr>
                <w:color w:val="000000"/>
              </w:rPr>
              <w:t>$</w:t>
            </w:r>
          </w:p>
        </w:tc>
        <w:tc>
          <w:tcPr>
            <w:tcW w:w="680" w:type="dxa"/>
            <w:tcBorders/>
            <w:shd w:fill="CCEEFF" w:val="clear"/>
            <w:vAlign w:val="bottom"/>
          </w:tcPr>
          <w:p>
            <w:pPr>
              <w:pStyle w:val="TableContents"/>
              <w:spacing w:before="0" w:after="0"/>
              <w:jc w:val="right"/>
              <w:rPr>
                <w:color w:val="000000"/>
              </w:rPr>
            </w:pPr>
            <w:r>
              <w:rPr>
                <w:color w:val="000000"/>
              </w:rPr>
              <w:t>482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5" w:type="dxa"/>
            <w:tcBorders/>
            <w:shd w:fill="CCEEFF" w:val="clear"/>
            <w:vAlign w:val="bottom"/>
          </w:tcPr>
          <w:p>
            <w:pPr>
              <w:pStyle w:val="TableContents"/>
              <w:spacing w:before="0" w:after="0"/>
              <w:jc w:val="left"/>
              <w:rPr>
                <w:color w:val="000000"/>
              </w:rPr>
            </w:pPr>
            <w:r>
              <w:rPr>
                <w:color w:val="000000"/>
              </w:rPr>
              <w:t>$</w:t>
            </w:r>
          </w:p>
        </w:tc>
        <w:tc>
          <w:tcPr>
            <w:tcW w:w="831" w:type="dxa"/>
            <w:tcBorders/>
            <w:shd w:fill="CCEEFF" w:val="clear"/>
            <w:vAlign w:val="bottom"/>
          </w:tcPr>
          <w:p>
            <w:pPr>
              <w:pStyle w:val="TableContents"/>
              <w:spacing w:before="0" w:after="0"/>
              <w:jc w:val="right"/>
              <w:rPr>
                <w:color w:val="000000"/>
              </w:rPr>
            </w:pPr>
            <w:r>
              <w:rPr>
                <w:color w:val="000000"/>
              </w:rPr>
              <w:t>9,493</w:t>
            </w:r>
          </w:p>
        </w:tc>
        <w:tc>
          <w:tcPr>
            <w:tcW w:w="62" w:type="dxa"/>
            <w:tcBorders/>
            <w:shd w:fill="CCEEFF" w:val="clear"/>
            <w:vAlign w:val="bottom"/>
          </w:tcPr>
          <w:p>
            <w:pPr>
              <w:pStyle w:val="TableContents"/>
              <w:spacing w:before="0" w:after="283"/>
              <w:jc w:val="left"/>
              <w:rPr/>
            </w:pPr>
            <w:r>
              <w:rPr/>
              <w:t> </w:t>
            </w:r>
          </w:p>
        </w:tc>
        <w:tc>
          <w:tcPr>
            <w:tcW w:w="62" w:type="dxa"/>
            <w:tcBorders/>
            <w:shd w:fill="CCEEFF" w:val="clear"/>
            <w:vAlign w:val="bottom"/>
          </w:tcPr>
          <w:p>
            <w:pPr>
              <w:pStyle w:val="TableContents"/>
              <w:spacing w:before="0" w:after="283"/>
              <w:jc w:val="right"/>
              <w:rPr/>
            </w:pPr>
            <w:r>
              <w:rPr/>
              <w:t> </w:t>
            </w:r>
          </w:p>
        </w:tc>
        <w:tc>
          <w:tcPr>
            <w:tcW w:w="145" w:type="dxa"/>
            <w:tcBorders/>
            <w:shd w:fill="CCEEFF" w:val="clear"/>
            <w:vAlign w:val="bottom"/>
          </w:tcPr>
          <w:p>
            <w:pPr>
              <w:pStyle w:val="TableContents"/>
              <w:spacing w:before="0" w:after="0"/>
              <w:jc w:val="left"/>
              <w:rPr>
                <w:color w:val="000000"/>
              </w:rPr>
            </w:pPr>
            <w:r>
              <w:rPr>
                <w:color w:val="000000"/>
              </w:rPr>
              <w:t>$</w:t>
            </w:r>
          </w:p>
        </w:tc>
        <w:tc>
          <w:tcPr>
            <w:tcW w:w="707" w:type="dxa"/>
            <w:tcBorders/>
            <w:shd w:fill="CCEEFF" w:val="clear"/>
            <w:vAlign w:val="bottom"/>
          </w:tcPr>
          <w:p>
            <w:pPr>
              <w:pStyle w:val="TableContents"/>
              <w:spacing w:before="0" w:after="0"/>
              <w:jc w:val="right"/>
              <w:rPr>
                <w:color w:val="000000"/>
              </w:rPr>
            </w:pPr>
            <w:r>
              <w:rPr>
                <w:color w:val="000000"/>
              </w:rPr>
              <w:t>482</w:t>
            </w:r>
          </w:p>
        </w:tc>
        <w:tc>
          <w:tcPr>
            <w:tcW w:w="75" w:type="dxa"/>
            <w:tcBorders/>
            <w:shd w:fill="CCEEFF" w:val="clear"/>
            <w:vAlign w:val="bottom"/>
          </w:tcPr>
          <w:p>
            <w:pPr>
              <w:pStyle w:val="TableContents"/>
              <w:spacing w:before="0" w:after="283"/>
              <w:jc w:val="left"/>
              <w:rPr/>
            </w:pPr>
            <w:r>
              <w:rPr/>
              <w:t> </w:t>
            </w:r>
          </w:p>
        </w:tc>
      </w:tr>
      <w:tr>
        <w:trPr/>
        <w:tc>
          <w:tcPr>
            <w:tcW w:w="5510" w:type="dxa"/>
            <w:tcBorders/>
            <w:shd w:fill="auto" w:val="clear"/>
            <w:vAlign w:val="bottom"/>
          </w:tcPr>
          <w:p>
            <w:pPr>
              <w:pStyle w:val="TableContents"/>
              <w:spacing w:before="0" w:after="0"/>
              <w:ind w:left="360" w:right="0" w:hanging="180"/>
              <w:rPr>
                <w:color w:val="000000"/>
              </w:rPr>
            </w:pPr>
            <w:r>
              <w:rPr>
                <w:color w:val="000000"/>
              </w:rPr>
              <w:t>Interest rate swaps related to state and municipal securities</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800" w:type="dxa"/>
            <w:tcBorders/>
            <w:shd w:fill="auto" w:val="clear"/>
            <w:vAlign w:val="bottom"/>
          </w:tcPr>
          <w:p>
            <w:pPr>
              <w:pStyle w:val="TableContents"/>
              <w:spacing w:before="0" w:after="0"/>
              <w:jc w:val="right"/>
              <w:rPr>
                <w:color w:val="000000"/>
              </w:rPr>
            </w:pPr>
            <w:r>
              <w:rPr>
                <w:color w:val="000000"/>
              </w:rPr>
              <w:t>123,760</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0" w:type="dxa"/>
            <w:tcBorders/>
            <w:shd w:fill="auto" w:val="clear"/>
            <w:vAlign w:val="bottom"/>
          </w:tcPr>
          <w:p>
            <w:pPr>
              <w:pStyle w:val="TableContents"/>
              <w:spacing w:before="0" w:after="283"/>
              <w:jc w:val="left"/>
              <w:rPr/>
            </w:pPr>
            <w:r>
              <w:rPr/>
              <w:t> </w:t>
            </w:r>
          </w:p>
        </w:tc>
        <w:tc>
          <w:tcPr>
            <w:tcW w:w="680" w:type="dxa"/>
            <w:tcBorders/>
            <w:shd w:fill="auto" w:val="clear"/>
            <w:vAlign w:val="bottom"/>
          </w:tcPr>
          <w:p>
            <w:pPr>
              <w:pStyle w:val="TableContents"/>
              <w:spacing w:before="0" w:after="0"/>
              <w:jc w:val="right"/>
              <w:rPr>
                <w:color w:val="000000"/>
              </w:rPr>
            </w:pPr>
            <w:r>
              <w:rPr>
                <w:color w:val="000000"/>
              </w:rPr>
              <w:t>17,471</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45" w:type="dxa"/>
            <w:tcBorders/>
            <w:shd w:fill="auto" w:val="clear"/>
            <w:vAlign w:val="bottom"/>
          </w:tcPr>
          <w:p>
            <w:pPr>
              <w:pStyle w:val="TableContents"/>
              <w:spacing w:before="0" w:after="283"/>
              <w:jc w:val="left"/>
              <w:rPr/>
            </w:pPr>
            <w:r>
              <w:rPr/>
              <w:t> </w:t>
            </w:r>
          </w:p>
        </w:tc>
        <w:tc>
          <w:tcPr>
            <w:tcW w:w="831" w:type="dxa"/>
            <w:tcBorders/>
            <w:shd w:fill="auto" w:val="clear"/>
            <w:vAlign w:val="bottom"/>
          </w:tcPr>
          <w:p>
            <w:pPr>
              <w:pStyle w:val="TableContents"/>
              <w:spacing w:before="0" w:after="0"/>
              <w:jc w:val="right"/>
              <w:rPr>
                <w:color w:val="000000"/>
              </w:rPr>
            </w:pPr>
            <w:r>
              <w:rPr>
                <w:color w:val="000000"/>
              </w:rPr>
              <w:t>123,760</w:t>
            </w:r>
          </w:p>
        </w:tc>
        <w:tc>
          <w:tcPr>
            <w:tcW w:w="62" w:type="dxa"/>
            <w:tcBorders/>
            <w:shd w:fill="auto" w:val="clear"/>
            <w:vAlign w:val="bottom"/>
          </w:tcPr>
          <w:p>
            <w:pPr>
              <w:pStyle w:val="TableContents"/>
              <w:spacing w:before="0" w:after="283"/>
              <w:jc w:val="left"/>
              <w:rPr/>
            </w:pPr>
            <w:r>
              <w:rPr/>
              <w:t> </w:t>
            </w:r>
          </w:p>
        </w:tc>
        <w:tc>
          <w:tcPr>
            <w:tcW w:w="62" w:type="dxa"/>
            <w:tcBorders/>
            <w:shd w:fill="auto" w:val="clear"/>
            <w:vAlign w:val="bottom"/>
          </w:tcPr>
          <w:p>
            <w:pPr>
              <w:pStyle w:val="TableContents"/>
              <w:spacing w:before="0" w:after="283"/>
              <w:jc w:val="right"/>
              <w:rPr/>
            </w:pPr>
            <w:r>
              <w:rPr/>
              <w:t> </w:t>
            </w:r>
          </w:p>
        </w:tc>
        <w:tc>
          <w:tcPr>
            <w:tcW w:w="145" w:type="dxa"/>
            <w:tcBorders/>
            <w:shd w:fill="auto" w:val="clear"/>
            <w:vAlign w:val="bottom"/>
          </w:tcPr>
          <w:p>
            <w:pPr>
              <w:pStyle w:val="TableContents"/>
              <w:spacing w:before="0" w:after="283"/>
              <w:jc w:val="left"/>
              <w:rPr/>
            </w:pPr>
            <w:r>
              <w:rPr/>
              <w:t> </w:t>
            </w:r>
          </w:p>
        </w:tc>
        <w:tc>
          <w:tcPr>
            <w:tcW w:w="707" w:type="dxa"/>
            <w:tcBorders/>
            <w:shd w:fill="auto" w:val="clear"/>
            <w:vAlign w:val="bottom"/>
          </w:tcPr>
          <w:p>
            <w:pPr>
              <w:pStyle w:val="TableContents"/>
              <w:spacing w:before="0" w:after="0"/>
              <w:jc w:val="right"/>
              <w:rPr>
                <w:color w:val="000000"/>
              </w:rPr>
            </w:pPr>
            <w:r>
              <w:rPr>
                <w:color w:val="000000"/>
              </w:rPr>
              <w:t>20,125</w:t>
            </w:r>
          </w:p>
        </w:tc>
        <w:tc>
          <w:tcPr>
            <w:tcW w:w="75" w:type="dxa"/>
            <w:tcBorders/>
            <w:shd w:fill="auto" w:val="clear"/>
            <w:vAlign w:val="bottom"/>
          </w:tcPr>
          <w:p>
            <w:pPr>
              <w:pStyle w:val="TableContents"/>
              <w:spacing w:before="0" w:after="283"/>
              <w:jc w:val="left"/>
              <w:rPr/>
            </w:pPr>
            <w:r>
              <w:rPr/>
              <w:t> </w:t>
            </w:r>
          </w:p>
        </w:tc>
      </w:tr>
    </w:tbl>
    <w:p>
      <w:pPr>
        <w:pStyle w:val="TextBody"/>
        <w:spacing w:before="0" w:after="0"/>
        <w:jc w:val="both"/>
        <w:rPr/>
      </w:pPr>
      <w:r>
        <w:rPr/>
      </w:r>
    </w:p>
    <w:p>
      <w:pPr>
        <w:pStyle w:val="TextBody"/>
        <w:spacing w:before="0" w:after="0"/>
        <w:jc w:val="both"/>
        <w:rPr>
          <w:rFonts w:ascii="Times New Roman" w:hAnsi="Times New Roman"/>
          <w:color w:val="000000"/>
          <w:sz w:val="20"/>
          <w:u w:val="single"/>
        </w:rPr>
      </w:pPr>
      <w:r>
        <w:rPr>
          <w:rFonts w:ascii="Times New Roman" w:hAnsi="Times New Roman"/>
          <w:color w:val="000000"/>
          <w:sz w:val="20"/>
          <w:u w:val="single"/>
        </w:rPr>
        <w:t>Mortgage banking derivatives</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These derivatives are not designated as hedging instruments. The net gains (losses) relating to free standing derivative instruments used for risk management are summarized below for the periods indicated (dollars in thousands):</w:t>
      </w:r>
    </w:p>
    <w:p>
      <w:pPr>
        <w:pStyle w:val="TextBody"/>
        <w:spacing w:before="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r>
    </w:p>
    <w:tbl>
      <w:tblPr>
        <w:tblW w:w="8147" w:type="dxa"/>
        <w:jc w:val="left"/>
        <w:tblInd w:w="0" w:type="dxa"/>
        <w:tblCellMar>
          <w:top w:w="0" w:type="dxa"/>
          <w:left w:w="0" w:type="dxa"/>
          <w:bottom w:w="0" w:type="dxa"/>
          <w:right w:w="0" w:type="dxa"/>
        </w:tblCellMar>
      </w:tblPr>
      <w:tblGrid>
        <w:gridCol w:w="3635"/>
        <w:gridCol w:w="2570"/>
        <w:gridCol w:w="60"/>
        <w:gridCol w:w="168"/>
        <w:gridCol w:w="531"/>
        <w:gridCol w:w="107"/>
        <w:gridCol w:w="80"/>
        <w:gridCol w:w="168"/>
        <w:gridCol w:w="733"/>
        <w:gridCol w:w="95"/>
      </w:tblGrid>
      <w:tr>
        <w:trPr/>
        <w:tc>
          <w:tcPr>
            <w:tcW w:w="3635" w:type="dxa"/>
            <w:tcBorders/>
            <w:shd w:fill="auto" w:val="clear"/>
            <w:vAlign w:val="bottom"/>
          </w:tcPr>
          <w:p>
            <w:pPr>
              <w:pStyle w:val="TableContents"/>
              <w:spacing w:before="0" w:after="283"/>
              <w:rPr/>
            </w:pPr>
            <w:r>
              <w:rPr/>
              <w:t> </w:t>
            </w:r>
          </w:p>
        </w:tc>
        <w:tc>
          <w:tcPr>
            <w:tcW w:w="257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87" w:type="dxa"/>
            <w:gridSpan w:val="6"/>
            <w:tcBorders/>
            <w:shd w:fill="auto" w:val="clear"/>
            <w:vAlign w:val="bottom"/>
          </w:tcPr>
          <w:p>
            <w:pPr>
              <w:pStyle w:val="TableContents"/>
              <w:spacing w:before="0" w:after="0"/>
              <w:jc w:val="center"/>
              <w:rPr>
                <w:rFonts w:ascii="Times New Roman" w:hAnsi="Times New Roman"/>
                <w:b/>
                <w:color w:val="000000"/>
                <w:sz w:val="20"/>
              </w:rPr>
            </w:pPr>
            <w:r>
              <w:rPr>
                <w:rFonts w:ascii="Times New Roman" w:hAnsi="Times New Roman"/>
                <w:b/>
                <w:color w:val="000000"/>
                <w:sz w:val="20"/>
              </w:rPr>
              <w:t>Three Months Ended</w:t>
            </w:r>
          </w:p>
        </w:tc>
        <w:tc>
          <w:tcPr>
            <w:tcW w:w="95" w:type="dxa"/>
            <w:tcBorders/>
            <w:shd w:fill="auto" w:val="clear"/>
            <w:vAlign w:val="bottom"/>
          </w:tcPr>
          <w:p>
            <w:pPr>
              <w:pStyle w:val="TableContents"/>
              <w:spacing w:before="0" w:after="283"/>
              <w:jc w:val="left"/>
              <w:rPr/>
            </w:pPr>
            <w:r>
              <w:rPr/>
              <w:t> </w:t>
            </w:r>
          </w:p>
        </w:tc>
      </w:tr>
      <w:tr>
        <w:trPr/>
        <w:tc>
          <w:tcPr>
            <w:tcW w:w="3635" w:type="dxa"/>
            <w:tcBorders/>
            <w:shd w:fill="auto" w:val="clear"/>
            <w:vAlign w:val="bottom"/>
          </w:tcPr>
          <w:p>
            <w:pPr>
              <w:pStyle w:val="TableContents"/>
              <w:spacing w:before="0" w:after="0"/>
              <w:ind w:left="144" w:right="0" w:hanging="144"/>
              <w:jc w:val="left"/>
              <w:rPr>
                <w:color w:val="000000"/>
              </w:rPr>
            </w:pPr>
            <w:r>
              <w:rPr>
                <w:color w:val="000000"/>
              </w:rPr>
              <w:t> </w:t>
            </w:r>
          </w:p>
        </w:tc>
        <w:tc>
          <w:tcPr>
            <w:tcW w:w="2570" w:type="dxa"/>
            <w:tcBorders/>
            <w:shd w:fill="auto" w:val="clear"/>
            <w:vAlign w:val="bottom"/>
          </w:tcPr>
          <w:p>
            <w:pPr>
              <w:pStyle w:val="TableContents"/>
              <w:spacing w:before="0" w:after="0"/>
              <w:jc w:val="left"/>
              <w:rPr>
                <w:color w:val="000000"/>
              </w:rPr>
            </w:pPr>
            <w:r>
              <w:rPr>
                <w:color w:val="000000"/>
              </w:rPr>
              <w:t>   </w:t>
            </w:r>
          </w:p>
        </w:tc>
        <w:tc>
          <w:tcPr>
            <w:tcW w:w="60" w:type="dxa"/>
            <w:tcBorders/>
            <w:shd w:fill="auto" w:val="clear"/>
            <w:vAlign w:val="bottom"/>
          </w:tcPr>
          <w:p>
            <w:pPr>
              <w:pStyle w:val="TableContents"/>
              <w:spacing w:before="0" w:after="283"/>
              <w:rPr/>
            </w:pPr>
            <w:r>
              <w:rPr/>
              <w:t> </w:t>
            </w:r>
          </w:p>
        </w:tc>
        <w:tc>
          <w:tcPr>
            <w:tcW w:w="1787" w:type="dxa"/>
            <w:gridSpan w:val="6"/>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20"/>
              </w:rPr>
            </w:pPr>
            <w:r>
              <w:rPr>
                <w:rFonts w:ascii="Times New Roman" w:hAnsi="Times New Roman"/>
                <w:b/>
                <w:color w:val="000000"/>
                <w:sz w:val="20"/>
              </w:rPr>
              <w:t>March 31,</w:t>
            </w:r>
          </w:p>
        </w:tc>
        <w:tc>
          <w:tcPr>
            <w:tcW w:w="95" w:type="dxa"/>
            <w:tcBorders/>
            <w:shd w:fill="auto" w:val="clear"/>
            <w:vAlign w:val="bottom"/>
          </w:tcPr>
          <w:p>
            <w:pPr>
              <w:pStyle w:val="TableContents"/>
              <w:spacing w:before="0" w:after="283"/>
              <w:jc w:val="left"/>
              <w:rPr/>
            </w:pPr>
            <w:r>
              <w:rPr/>
              <w:t> </w:t>
            </w:r>
          </w:p>
        </w:tc>
      </w:tr>
      <w:tr>
        <w:trPr/>
        <w:tc>
          <w:tcPr>
            <w:tcW w:w="3635" w:type="dxa"/>
            <w:tcBorders/>
            <w:shd w:fill="auto" w:val="clear"/>
            <w:vAlign w:val="bottom"/>
          </w:tcPr>
          <w:p>
            <w:pPr>
              <w:pStyle w:val="TableContents"/>
              <w:spacing w:before="0" w:after="0"/>
              <w:ind w:left="180" w:right="0" w:hanging="180"/>
              <w:jc w:val="center"/>
              <w:rPr>
                <w:rFonts w:ascii="Times New Roman" w:hAnsi="Times New Roman"/>
                <w:b/>
                <w:color w:val="000000"/>
                <w:sz w:val="20"/>
              </w:rPr>
            </w:pPr>
            <w:r>
              <w:rPr>
                <w:rFonts w:ascii="Times New Roman" w:hAnsi="Times New Roman"/>
                <w:b/>
                <w:color w:val="000000"/>
                <w:sz w:val="20"/>
              </w:rPr>
            </w:r>
          </w:p>
        </w:tc>
        <w:tc>
          <w:tcPr>
            <w:tcW w:w="2570" w:type="dxa"/>
            <w:tcBorders>
              <w:bottom w:val="single" w:sz="12" w:space="0" w:color="000000"/>
            </w:tcBorders>
            <w:shd w:fill="auto" w:val="clear"/>
            <w:tcMar>
              <w:bottom w:w="28" w:type="dxa"/>
            </w:tcMar>
            <w:vAlign w:val="bottom"/>
          </w:tcPr>
          <w:p>
            <w:pPr>
              <w:pStyle w:val="TableContents"/>
              <w:spacing w:before="0" w:after="283"/>
              <w:jc w:val="center"/>
              <w:rPr/>
            </w:pPr>
            <w:r>
              <w:rPr/>
              <w:t> </w:t>
            </w:r>
            <w:r>
              <w:rPr>
                <w:b/>
              </w:rPr>
              <w:t>Location</w:t>
            </w:r>
          </w:p>
        </w:tc>
        <w:tc>
          <w:tcPr>
            <w:tcW w:w="60" w:type="dxa"/>
            <w:tcBorders/>
            <w:shd w:fill="auto" w:val="clear"/>
            <w:vAlign w:val="bottom"/>
          </w:tcPr>
          <w:p>
            <w:pPr>
              <w:pStyle w:val="TableContents"/>
              <w:spacing w:before="0" w:after="283"/>
              <w:rPr/>
            </w:pPr>
            <w:r>
              <w:rPr/>
              <w:t> </w:t>
            </w:r>
          </w:p>
        </w:tc>
        <w:tc>
          <w:tcPr>
            <w:tcW w:w="699"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20"/>
              </w:rPr>
            </w:pPr>
            <w:r>
              <w:rPr>
                <w:rFonts w:ascii="Times New Roman" w:hAnsi="Times New Roman"/>
                <w:b/>
                <w:color w:val="000000"/>
                <w:sz w:val="20"/>
              </w:rPr>
              <w:t>2023</w:t>
            </w:r>
          </w:p>
        </w:tc>
        <w:tc>
          <w:tcPr>
            <w:tcW w:w="107" w:type="dxa"/>
            <w:tcBorders/>
            <w:shd w:fill="auto" w:val="clear"/>
            <w:vAlign w:val="bottom"/>
          </w:tcPr>
          <w:p>
            <w:pPr>
              <w:pStyle w:val="TableContents"/>
              <w:spacing w:before="0" w:after="283"/>
              <w:jc w:val="left"/>
              <w:rPr/>
            </w:pPr>
            <w:r>
              <w:rPr/>
              <w:t> </w:t>
            </w:r>
          </w:p>
        </w:tc>
        <w:tc>
          <w:tcPr>
            <w:tcW w:w="80" w:type="dxa"/>
            <w:tcBorders/>
            <w:shd w:fill="auto" w:val="clear"/>
            <w:vAlign w:val="bottom"/>
          </w:tcPr>
          <w:p>
            <w:pPr>
              <w:pStyle w:val="TableContents"/>
              <w:spacing w:before="0" w:after="283"/>
              <w:rPr/>
            </w:pPr>
            <w:r>
              <w:rPr/>
              <w:t> </w:t>
            </w:r>
          </w:p>
        </w:tc>
        <w:tc>
          <w:tcPr>
            <w:tcW w:w="901"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color w:val="000000"/>
                <w:sz w:val="20"/>
              </w:rPr>
            </w:pPr>
            <w:r>
              <w:rPr>
                <w:rFonts w:ascii="Times New Roman" w:hAnsi="Times New Roman"/>
                <w:b/>
                <w:color w:val="000000"/>
                <w:sz w:val="20"/>
              </w:rPr>
              <w:t>2022</w:t>
            </w:r>
          </w:p>
        </w:tc>
        <w:tc>
          <w:tcPr>
            <w:tcW w:w="95" w:type="dxa"/>
            <w:tcBorders/>
            <w:shd w:fill="auto" w:val="clear"/>
            <w:vAlign w:val="bottom"/>
          </w:tcPr>
          <w:p>
            <w:pPr>
              <w:pStyle w:val="TableContents"/>
              <w:spacing w:before="0" w:after="283"/>
              <w:jc w:val="left"/>
              <w:rPr/>
            </w:pPr>
            <w:r>
              <w:rPr/>
              <w:t> </w:t>
            </w:r>
          </w:p>
        </w:tc>
      </w:tr>
      <w:tr>
        <w:trPr/>
        <w:tc>
          <w:tcPr>
            <w:tcW w:w="3635" w:type="dxa"/>
            <w:tcBorders/>
            <w:shd w:fill="CCEEFF" w:val="clear"/>
            <w:vAlign w:val="bottom"/>
          </w:tcPr>
          <w:p>
            <w:pPr>
              <w:pStyle w:val="TableContents"/>
              <w:spacing w:before="0" w:after="0"/>
              <w:ind w:left="360" w:right="0" w:hanging="360"/>
              <w:jc w:val="left"/>
              <w:rPr>
                <w:rFonts w:ascii="Times New Roman" w:hAnsi="Times New Roman"/>
                <w:color w:val="000000"/>
                <w:sz w:val="20"/>
              </w:rPr>
            </w:pPr>
            <w:r>
              <w:rPr>
                <w:rFonts w:ascii="Times New Roman" w:hAnsi="Times New Roman"/>
                <w:color w:val="000000"/>
                <w:sz w:val="20"/>
              </w:rPr>
              <w:t>Gain (loss) on mortgage banking derivatives</w:t>
            </w:r>
          </w:p>
        </w:tc>
        <w:tc>
          <w:tcPr>
            <w:tcW w:w="2570" w:type="dxa"/>
            <w:tcBorders/>
            <w:shd w:fill="CCEEFF" w:val="clear"/>
            <w:vAlign w:val="bottom"/>
          </w:tcPr>
          <w:p>
            <w:pPr>
              <w:pStyle w:val="TableContents"/>
              <w:spacing w:before="0" w:after="0"/>
              <w:ind w:left="180" w:right="0" w:hanging="180"/>
              <w:jc w:val="left"/>
              <w:rPr>
                <w:rFonts w:ascii="Times New Roman" w:hAnsi="Times New Roman"/>
                <w:color w:val="000000"/>
                <w:sz w:val="20"/>
              </w:rPr>
            </w:pPr>
            <w:r>
              <w:rPr>
                <w:rFonts w:ascii="Times New Roman" w:hAnsi="Times New Roman"/>
                <w:color w:val="000000"/>
                <w:sz w:val="20"/>
              </w:rPr>
              <w:t>Net gain (loss) on sales of loans</w:t>
            </w:r>
          </w:p>
        </w:tc>
        <w:tc>
          <w:tcPr>
            <w:tcW w:w="60" w:type="dxa"/>
            <w:tcBorders/>
            <w:shd w:fill="CCEEFF" w:val="clear"/>
            <w:vAlign w:val="bottom"/>
          </w:tcPr>
          <w:p>
            <w:pPr>
              <w:pStyle w:val="TableContents"/>
              <w:spacing w:before="0" w:after="283"/>
              <w:jc w:val="right"/>
              <w:rPr/>
            </w:pPr>
            <w:r>
              <w:rPr/>
              <w:t> </w:t>
            </w:r>
          </w:p>
        </w:tc>
        <w:tc>
          <w:tcPr>
            <w:tcW w:w="168"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531"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(281</w:t>
            </w:r>
          </w:p>
        </w:tc>
        <w:tc>
          <w:tcPr>
            <w:tcW w:w="107"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80" w:type="dxa"/>
            <w:tcBorders/>
            <w:shd w:fill="CCEEFF" w:val="clear"/>
            <w:vAlign w:val="bottom"/>
          </w:tcPr>
          <w:p>
            <w:pPr>
              <w:pStyle w:val="TableContents"/>
              <w:spacing w:before="0" w:after="283"/>
              <w:jc w:val="right"/>
              <w:rPr/>
            </w:pPr>
            <w:r>
              <w:rPr/>
              <w:t> </w:t>
            </w:r>
          </w:p>
        </w:tc>
        <w:tc>
          <w:tcPr>
            <w:tcW w:w="168"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c>
          <w:tcPr>
            <w:tcW w:w="733" w:type="dxa"/>
            <w:tcBorders/>
            <w:shd w:fill="CCEEFF" w:val="clear"/>
            <w:vAlign w:val="bottom"/>
          </w:tcPr>
          <w:p>
            <w:pPr>
              <w:pStyle w:val="TableContents"/>
              <w:spacing w:before="0" w:after="0"/>
              <w:jc w:val="right"/>
              <w:rPr>
                <w:rFonts w:ascii="Times New Roman" w:hAnsi="Times New Roman"/>
                <w:color w:val="000000"/>
                <w:sz w:val="20"/>
              </w:rPr>
            </w:pPr>
            <w:r>
              <w:rPr>
                <w:rFonts w:ascii="Times New Roman" w:hAnsi="Times New Roman"/>
                <w:color w:val="000000"/>
                <w:sz w:val="20"/>
              </w:rPr>
              <w:t>(1,093</w:t>
            </w:r>
          </w:p>
        </w:tc>
        <w:tc>
          <w:tcPr>
            <w:tcW w:w="95" w:type="dxa"/>
            <w:tcBorders/>
            <w:shd w:fill="CCEEFF" w:val="clear"/>
            <w:vAlign w:val="bottom"/>
          </w:tcPr>
          <w:p>
            <w:pPr>
              <w:pStyle w:val="TableContents"/>
              <w:spacing w:before="0" w:after="0"/>
              <w:jc w:val="left"/>
              <w:rPr>
                <w:rFonts w:ascii="Times New Roman" w:hAnsi="Times New Roman"/>
                <w:color w:val="000000"/>
                <w:sz w:val="20"/>
              </w:rPr>
            </w:pPr>
            <w:r>
              <w:rPr>
                <w:rFonts w:ascii="Times New Roman" w:hAnsi="Times New Roman"/>
                <w:color w:val="000000"/>
                <w:sz w:val="20"/>
              </w:rPr>
              <w:t>)</w:t>
            </w:r>
          </w:p>
        </w:tc>
      </w:tr>
    </w:tbl>
    <w:p>
      <w:pPr>
        <w:pStyle w:val="TextBody"/>
        <w:spacing w:before="0" w:after="0"/>
        <w:jc w:val="both"/>
        <w:rPr>
          <w:rFonts w:ascii="Times New Roman" w:hAnsi="Times New Roman"/>
          <w:sz w:val="20"/>
          <w:u w:val="single"/>
        </w:rPr>
      </w:pPr>
      <w:r>
        <w:rPr>
          <w:rFonts w:ascii="Times New Roman" w:hAnsi="Times New Roman"/>
          <w:sz w:val="20"/>
          <w:u w:val="single"/>
        </w:rPr>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table reflects the amount and fair value of mortgage banking derivatives in the Company’s Consolidated Balance Sheets at the dates indicated (dollars in thousands):</w:t>
      </w:r>
    </w:p>
    <w:p>
      <w:pPr>
        <w:pStyle w:val="TextBody"/>
        <w:spacing w:before="0" w:after="0"/>
        <w:jc w:val="both"/>
        <w:rPr/>
      </w:pPr>
      <w:r>
        <w:rPr/>
      </w:r>
    </w:p>
    <w:tbl>
      <w:tblPr>
        <w:tblW w:w="7896" w:type="dxa"/>
        <w:jc w:val="left"/>
        <w:tblInd w:w="0" w:type="dxa"/>
        <w:tblCellMar>
          <w:top w:w="0" w:type="dxa"/>
          <w:left w:w="0" w:type="dxa"/>
          <w:bottom w:w="0" w:type="dxa"/>
          <w:right w:w="0" w:type="dxa"/>
        </w:tblCellMar>
      </w:tblPr>
      <w:tblGrid>
        <w:gridCol w:w="4610"/>
        <w:gridCol w:w="60"/>
        <w:gridCol w:w="131"/>
        <w:gridCol w:w="624"/>
        <w:gridCol w:w="62"/>
        <w:gridCol w:w="62"/>
        <w:gridCol w:w="139"/>
        <w:gridCol w:w="376"/>
        <w:gridCol w:w="60"/>
        <w:gridCol w:w="60"/>
        <w:gridCol w:w="158"/>
        <w:gridCol w:w="747"/>
        <w:gridCol w:w="75"/>
        <w:gridCol w:w="75"/>
        <w:gridCol w:w="158"/>
        <w:gridCol w:w="424"/>
        <w:gridCol w:w="75"/>
      </w:tblGrid>
      <w:tr>
        <w:trPr/>
        <w:tc>
          <w:tcPr>
            <w:tcW w:w="461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394" w:type="dxa"/>
            <w:gridSpan w:val="6"/>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March 31, 2023</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637" w:type="dxa"/>
            <w:gridSpan w:val="6"/>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December 31, 2022</w:t>
            </w:r>
          </w:p>
        </w:tc>
        <w:tc>
          <w:tcPr>
            <w:tcW w:w="75" w:type="dxa"/>
            <w:tcBorders/>
            <w:shd w:fill="auto" w:val="clear"/>
            <w:vAlign w:val="bottom"/>
          </w:tcPr>
          <w:p>
            <w:pPr>
              <w:pStyle w:val="TableContents"/>
              <w:spacing w:before="0" w:after="283"/>
              <w:jc w:val="left"/>
              <w:rPr/>
            </w:pPr>
            <w:r>
              <w:rPr/>
              <w:t> </w:t>
            </w:r>
          </w:p>
        </w:tc>
      </w:tr>
      <w:tr>
        <w:trPr/>
        <w:tc>
          <w:tcPr>
            <w:tcW w:w="461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Notional</w:t>
            </w:r>
          </w:p>
          <w:p>
            <w:pPr>
              <w:pStyle w:val="TableContents"/>
              <w:spacing w:before="0" w:after="0"/>
              <w:jc w:val="center"/>
              <w:rPr>
                <w:rFonts w:ascii="Times New Roman" w:hAnsi="Times New Roman"/>
                <w:b/>
                <w:sz w:val="20"/>
              </w:rPr>
            </w:pPr>
            <w:r>
              <w:rPr>
                <w:rFonts w:ascii="Times New Roman" w:hAnsi="Times New Roman"/>
                <w:b/>
                <w:sz w:val="20"/>
              </w:rPr>
              <w:t>Amount</w:t>
            </w:r>
          </w:p>
        </w:tc>
        <w:tc>
          <w:tcPr>
            <w:tcW w:w="62" w:type="dxa"/>
            <w:tcBorders/>
            <w:shd w:fill="auto" w:val="clear"/>
            <w:vAlign w:val="bottom"/>
          </w:tcPr>
          <w:p>
            <w:pPr>
              <w:pStyle w:val="TableContents"/>
              <w:spacing w:before="0" w:after="283"/>
              <w:jc w:val="left"/>
              <w:rPr/>
            </w:pPr>
            <w:r>
              <w:rPr/>
              <w:t> </w:t>
            </w:r>
          </w:p>
        </w:tc>
        <w:tc>
          <w:tcPr>
            <w:tcW w:w="62" w:type="dxa"/>
            <w:tcBorders/>
            <w:shd w:fill="auto" w:val="clear"/>
            <w:vAlign w:val="bottom"/>
          </w:tcPr>
          <w:p>
            <w:pPr>
              <w:pStyle w:val="TableContents"/>
              <w:spacing w:before="0" w:after="283"/>
              <w:rPr/>
            </w:pPr>
            <w:r>
              <w:rPr/>
              <w:t> </w:t>
            </w:r>
          </w:p>
        </w:tc>
        <w:tc>
          <w:tcPr>
            <w:tcW w:w="51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Fair</w:t>
            </w:r>
          </w:p>
          <w:p>
            <w:pPr>
              <w:pStyle w:val="TableContents"/>
              <w:spacing w:before="0" w:after="0"/>
              <w:jc w:val="center"/>
              <w:rPr>
                <w:rFonts w:ascii="Times New Roman" w:hAnsi="Times New Roman"/>
                <w:b/>
                <w:sz w:val="20"/>
              </w:rPr>
            </w:pPr>
            <w:r>
              <w:rPr>
                <w:rFonts w:ascii="Times New Roman" w:hAnsi="Times New Roman"/>
                <w:b/>
                <w:sz w:val="20"/>
              </w:rPr>
              <w:t>Value</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0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Notional</w:t>
            </w:r>
          </w:p>
          <w:p>
            <w:pPr>
              <w:pStyle w:val="TableContents"/>
              <w:spacing w:before="0" w:after="0"/>
              <w:jc w:val="center"/>
              <w:rPr>
                <w:rFonts w:ascii="Times New Roman" w:hAnsi="Times New Roman"/>
                <w:b/>
                <w:sz w:val="20"/>
              </w:rPr>
            </w:pPr>
            <w:r>
              <w:rPr>
                <w:rFonts w:ascii="Times New Roman" w:hAnsi="Times New Roman"/>
                <w:b/>
                <w:sz w:val="20"/>
              </w:rPr>
              <w:t>Amount</w:t>
            </w:r>
          </w:p>
        </w:tc>
        <w:tc>
          <w:tcPr>
            <w:tcW w:w="75" w:type="dxa"/>
            <w:tcBorders/>
            <w:shd w:fill="auto" w:val="clear"/>
            <w:vAlign w:val="bottom"/>
          </w:tcPr>
          <w:p>
            <w:pPr>
              <w:pStyle w:val="TableContents"/>
              <w:spacing w:before="0" w:after="283"/>
              <w:jc w:val="left"/>
              <w:rPr/>
            </w:pPr>
            <w:r>
              <w:rPr/>
              <w:t> </w:t>
            </w:r>
          </w:p>
        </w:tc>
        <w:tc>
          <w:tcPr>
            <w:tcW w:w="75" w:type="dxa"/>
            <w:tcBorders/>
            <w:shd w:fill="auto" w:val="clear"/>
            <w:vAlign w:val="bottom"/>
          </w:tcPr>
          <w:p>
            <w:pPr>
              <w:pStyle w:val="TableContents"/>
              <w:spacing w:before="0" w:after="283"/>
              <w:rPr/>
            </w:pPr>
            <w:r>
              <w:rPr/>
              <w:t> </w:t>
            </w:r>
          </w:p>
        </w:tc>
        <w:tc>
          <w:tcPr>
            <w:tcW w:w="582"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Fair</w:t>
            </w:r>
          </w:p>
          <w:p>
            <w:pPr>
              <w:pStyle w:val="TableContents"/>
              <w:spacing w:before="0" w:after="0"/>
              <w:jc w:val="center"/>
              <w:rPr>
                <w:rFonts w:ascii="Times New Roman" w:hAnsi="Times New Roman"/>
                <w:b/>
                <w:sz w:val="20"/>
              </w:rPr>
            </w:pPr>
            <w:r>
              <w:rPr>
                <w:rFonts w:ascii="Times New Roman" w:hAnsi="Times New Roman"/>
                <w:b/>
                <w:sz w:val="20"/>
              </w:rPr>
              <w:t>Value</w:t>
            </w:r>
          </w:p>
        </w:tc>
        <w:tc>
          <w:tcPr>
            <w:tcW w:w="75" w:type="dxa"/>
            <w:tcBorders/>
            <w:shd w:fill="auto" w:val="clear"/>
            <w:vAlign w:val="bottom"/>
          </w:tcPr>
          <w:p>
            <w:pPr>
              <w:pStyle w:val="TableContents"/>
              <w:spacing w:before="0" w:after="283"/>
              <w:jc w:val="left"/>
              <w:rPr/>
            </w:pPr>
            <w:r>
              <w:rPr/>
              <w:t> </w:t>
            </w:r>
          </w:p>
        </w:tc>
      </w:tr>
      <w:tr>
        <w:trPr/>
        <w:tc>
          <w:tcPr>
            <w:tcW w:w="461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5" w:type="dxa"/>
            <w:gridSpan w:val="2"/>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jc w:val="left"/>
              <w:rPr/>
            </w:pPr>
            <w:r>
              <w:rPr/>
              <w:t> </w:t>
            </w:r>
          </w:p>
        </w:tc>
        <w:tc>
          <w:tcPr>
            <w:tcW w:w="62" w:type="dxa"/>
            <w:tcBorders/>
            <w:shd w:fill="auto" w:val="clear"/>
            <w:vAlign w:val="bottom"/>
          </w:tcPr>
          <w:p>
            <w:pPr>
              <w:pStyle w:val="TableContents"/>
              <w:spacing w:before="0" w:after="283"/>
              <w:rPr/>
            </w:pPr>
            <w:r>
              <w:rPr/>
              <w:t> </w:t>
            </w:r>
          </w:p>
        </w:tc>
        <w:tc>
          <w:tcPr>
            <w:tcW w:w="51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05"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jc w:val="left"/>
              <w:rPr/>
            </w:pPr>
            <w:r>
              <w:rPr/>
              <w:t> </w:t>
            </w:r>
          </w:p>
        </w:tc>
        <w:tc>
          <w:tcPr>
            <w:tcW w:w="75" w:type="dxa"/>
            <w:tcBorders/>
            <w:shd w:fill="auto" w:val="clear"/>
            <w:vAlign w:val="bottom"/>
          </w:tcPr>
          <w:p>
            <w:pPr>
              <w:pStyle w:val="TableContents"/>
              <w:spacing w:before="0" w:after="283"/>
              <w:rPr/>
            </w:pPr>
            <w:r>
              <w:rPr/>
              <w:t> </w:t>
            </w:r>
          </w:p>
        </w:tc>
        <w:tc>
          <w:tcPr>
            <w:tcW w:w="582"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jc w:val="left"/>
              <w:rPr/>
            </w:pPr>
            <w:r>
              <w:rPr/>
              <w:t> </w:t>
            </w:r>
          </w:p>
        </w:tc>
      </w:tr>
      <w:tr>
        <w:trPr/>
        <w:tc>
          <w:tcPr>
            <w:tcW w:w="4610" w:type="dxa"/>
            <w:tcBorders/>
            <w:shd w:fill="auto"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Included in other assets:</w:t>
            </w:r>
          </w:p>
        </w:tc>
        <w:tc>
          <w:tcPr>
            <w:tcW w:w="60" w:type="dxa"/>
            <w:tcBorders/>
            <w:shd w:fill="auto" w:val="clear"/>
            <w:vAlign w:val="bottom"/>
          </w:tcPr>
          <w:p>
            <w:pPr>
              <w:pStyle w:val="TableContents"/>
              <w:spacing w:before="0" w:after="283"/>
              <w:rPr/>
            </w:pPr>
            <w:r>
              <w:rPr/>
              <w:t> </w:t>
            </w:r>
          </w:p>
        </w:tc>
        <w:tc>
          <w:tcPr>
            <w:tcW w:w="755" w:type="dxa"/>
            <w:gridSpan w:val="2"/>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jc w:val="left"/>
              <w:rPr/>
            </w:pPr>
            <w:r>
              <w:rPr/>
              <w:t> </w:t>
            </w:r>
          </w:p>
        </w:tc>
        <w:tc>
          <w:tcPr>
            <w:tcW w:w="62" w:type="dxa"/>
            <w:tcBorders/>
            <w:shd w:fill="auto" w:val="clear"/>
            <w:vAlign w:val="bottom"/>
          </w:tcPr>
          <w:p>
            <w:pPr>
              <w:pStyle w:val="TableContents"/>
              <w:spacing w:before="0" w:after="283"/>
              <w:rPr/>
            </w:pPr>
            <w:r>
              <w:rPr/>
              <w:t> </w:t>
            </w:r>
          </w:p>
        </w:tc>
        <w:tc>
          <w:tcPr>
            <w:tcW w:w="51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05"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jc w:val="left"/>
              <w:rPr/>
            </w:pPr>
            <w:r>
              <w:rPr/>
              <w:t> </w:t>
            </w:r>
          </w:p>
        </w:tc>
        <w:tc>
          <w:tcPr>
            <w:tcW w:w="75" w:type="dxa"/>
            <w:tcBorders/>
            <w:shd w:fill="auto" w:val="clear"/>
            <w:vAlign w:val="bottom"/>
          </w:tcPr>
          <w:p>
            <w:pPr>
              <w:pStyle w:val="TableContents"/>
              <w:spacing w:before="0" w:after="283"/>
              <w:rPr/>
            </w:pPr>
            <w:r>
              <w:rPr/>
              <w:t> </w:t>
            </w:r>
          </w:p>
        </w:tc>
        <w:tc>
          <w:tcPr>
            <w:tcW w:w="582" w:type="dxa"/>
            <w:gridSpan w:val="2"/>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jc w:val="left"/>
              <w:rPr/>
            </w:pPr>
            <w:r>
              <w:rPr/>
              <w:t> </w:t>
            </w:r>
          </w:p>
        </w:tc>
      </w:tr>
      <w:tr>
        <w:trPr/>
        <w:tc>
          <w:tcPr>
            <w:tcW w:w="4610" w:type="dxa"/>
            <w:tcBorders/>
            <w:shd w:fill="CCEEFF" w:val="clear"/>
            <w:vAlign w:val="bottom"/>
          </w:tcPr>
          <w:p>
            <w:pPr>
              <w:pStyle w:val="TableContents"/>
              <w:spacing w:before="0" w:after="0"/>
              <w:ind w:left="360" w:right="0" w:hanging="180"/>
              <w:jc w:val="left"/>
              <w:rPr>
                <w:rFonts w:ascii="Times New Roman" w:hAnsi="Times New Roman"/>
                <w:sz w:val="20"/>
              </w:rPr>
            </w:pPr>
            <w:r>
              <w:rPr>
                <w:rFonts w:ascii="Times New Roman" w:hAnsi="Times New Roman"/>
                <w:sz w:val="20"/>
              </w:rPr>
              <w:t>Forward contracts related to mortgage loans held for sale</w:t>
            </w:r>
          </w:p>
        </w:tc>
        <w:tc>
          <w:tcPr>
            <w:tcW w:w="60" w:type="dxa"/>
            <w:tcBorders/>
            <w:shd w:fill="CCEEFF" w:val="clear"/>
            <w:vAlign w:val="bottom"/>
          </w:tcPr>
          <w:p>
            <w:pPr>
              <w:pStyle w:val="TableContents"/>
              <w:spacing w:before="0" w:after="283"/>
              <w:jc w:val="right"/>
              <w:rPr/>
            </w:pPr>
            <w:r>
              <w:rPr/>
              <w:t> </w:t>
            </w:r>
          </w:p>
        </w:tc>
        <w:tc>
          <w:tcPr>
            <w:tcW w:w="131"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24" w:type="dxa"/>
            <w:tcBorders/>
            <w:shd w:fill="CCEEFF" w:val="clear"/>
            <w:vAlign w:val="bottom"/>
          </w:tcPr>
          <w:p>
            <w:pPr>
              <w:pStyle w:val="TableContents"/>
              <w:spacing w:before="0" w:after="0"/>
              <w:jc w:val="right"/>
              <w:rPr/>
            </w:pPr>
            <w:r>
              <w:rPr/>
              <w:t>—</w:t>
            </w:r>
          </w:p>
        </w:tc>
        <w:tc>
          <w:tcPr>
            <w:tcW w:w="62" w:type="dxa"/>
            <w:tcBorders/>
            <w:shd w:fill="CCEEFF" w:val="clear"/>
            <w:vAlign w:val="bottom"/>
          </w:tcPr>
          <w:p>
            <w:pPr>
              <w:pStyle w:val="TableContents"/>
              <w:spacing w:before="0" w:after="283"/>
              <w:jc w:val="left"/>
              <w:rPr/>
            </w:pPr>
            <w:r>
              <w:rPr/>
              <w:t> </w:t>
            </w:r>
          </w:p>
        </w:tc>
        <w:tc>
          <w:tcPr>
            <w:tcW w:w="62" w:type="dxa"/>
            <w:tcBorders/>
            <w:shd w:fill="CCEEFF" w:val="clear"/>
            <w:vAlign w:val="bottom"/>
          </w:tcPr>
          <w:p>
            <w:pPr>
              <w:pStyle w:val="TableContents"/>
              <w:spacing w:before="0" w:after="283"/>
              <w:jc w:val="right"/>
              <w:rPr/>
            </w:pPr>
            <w:r>
              <w:rPr/>
              <w:t> </w:t>
            </w:r>
          </w:p>
        </w:tc>
        <w:tc>
          <w:tcPr>
            <w:tcW w:w="139"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376"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58"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747"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23,500</w:t>
            </w:r>
          </w:p>
        </w:tc>
        <w:tc>
          <w:tcPr>
            <w:tcW w:w="75" w:type="dxa"/>
            <w:tcBorders/>
            <w:shd w:fill="CCEEFF" w:val="clear"/>
            <w:vAlign w:val="bottom"/>
          </w:tcPr>
          <w:p>
            <w:pPr>
              <w:pStyle w:val="TableContents"/>
              <w:spacing w:before="0" w:after="283"/>
              <w:jc w:val="left"/>
              <w:rPr/>
            </w:pPr>
            <w:r>
              <w:rPr/>
              <w:t> </w:t>
            </w:r>
          </w:p>
        </w:tc>
        <w:tc>
          <w:tcPr>
            <w:tcW w:w="75" w:type="dxa"/>
            <w:tcBorders/>
            <w:shd w:fill="CCEEFF" w:val="clear"/>
            <w:vAlign w:val="bottom"/>
          </w:tcPr>
          <w:p>
            <w:pPr>
              <w:pStyle w:val="TableContents"/>
              <w:spacing w:before="0" w:after="283"/>
              <w:jc w:val="right"/>
              <w:rPr/>
            </w:pPr>
            <w:r>
              <w:rPr/>
              <w:t> </w:t>
            </w:r>
          </w:p>
        </w:tc>
        <w:tc>
          <w:tcPr>
            <w:tcW w:w="158"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424"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186</w:t>
            </w:r>
          </w:p>
        </w:tc>
        <w:tc>
          <w:tcPr>
            <w:tcW w:w="75" w:type="dxa"/>
            <w:tcBorders/>
            <w:shd w:fill="CCEEFF" w:val="clear"/>
            <w:vAlign w:val="bottom"/>
          </w:tcPr>
          <w:p>
            <w:pPr>
              <w:pStyle w:val="TableContents"/>
              <w:spacing w:before="0" w:after="283"/>
              <w:jc w:val="left"/>
              <w:rPr/>
            </w:pPr>
            <w:r>
              <w:rPr/>
              <w:t> </w:t>
            </w:r>
          </w:p>
        </w:tc>
      </w:tr>
      <w:tr>
        <w:trPr/>
        <w:tc>
          <w:tcPr>
            <w:tcW w:w="4610" w:type="dxa"/>
            <w:tcBorders/>
            <w:shd w:fill="auto" w:val="clear"/>
            <w:vAlign w:val="bottom"/>
          </w:tcPr>
          <w:p>
            <w:pPr>
              <w:pStyle w:val="TableContents"/>
              <w:spacing w:before="0" w:after="0"/>
              <w:ind w:left="360" w:right="0" w:hanging="180"/>
              <w:jc w:val="left"/>
              <w:rPr>
                <w:rFonts w:ascii="Times New Roman" w:hAnsi="Times New Roman"/>
                <w:sz w:val="20"/>
              </w:rPr>
            </w:pPr>
            <w:r>
              <w:rPr>
                <w:rFonts w:ascii="Times New Roman" w:hAnsi="Times New Roman"/>
                <w:sz w:val="20"/>
              </w:rPr>
              <w:t>Interest rate lock commitments</w:t>
            </w:r>
          </w:p>
        </w:tc>
        <w:tc>
          <w:tcPr>
            <w:tcW w:w="60" w:type="dxa"/>
            <w:tcBorders/>
            <w:shd w:fill="auto" w:val="clear"/>
            <w:vAlign w:val="bottom"/>
          </w:tcPr>
          <w:p>
            <w:pPr>
              <w:pStyle w:val="TableContents"/>
              <w:spacing w:before="0" w:after="283"/>
              <w:jc w:val="right"/>
              <w:rPr/>
            </w:pPr>
            <w:r>
              <w:rPr/>
              <w:t> </w:t>
            </w:r>
          </w:p>
        </w:tc>
        <w:tc>
          <w:tcPr>
            <w:tcW w:w="131" w:type="dxa"/>
            <w:tcBorders/>
            <w:shd w:fill="auto" w:val="clear"/>
            <w:vAlign w:val="bottom"/>
          </w:tcPr>
          <w:p>
            <w:pPr>
              <w:pStyle w:val="TableContents"/>
              <w:spacing w:before="0" w:after="283"/>
              <w:jc w:val="left"/>
              <w:rPr/>
            </w:pPr>
            <w:r>
              <w:rPr/>
              <w:t> </w:t>
            </w:r>
          </w:p>
        </w:tc>
        <w:tc>
          <w:tcPr>
            <w:tcW w:w="624"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42,188</w:t>
            </w:r>
          </w:p>
        </w:tc>
        <w:tc>
          <w:tcPr>
            <w:tcW w:w="62" w:type="dxa"/>
            <w:tcBorders/>
            <w:shd w:fill="auto" w:val="clear"/>
            <w:vAlign w:val="bottom"/>
          </w:tcPr>
          <w:p>
            <w:pPr>
              <w:pStyle w:val="TableContents"/>
              <w:spacing w:before="0" w:after="283"/>
              <w:jc w:val="left"/>
              <w:rPr/>
            </w:pPr>
            <w:r>
              <w:rPr/>
              <w:t> </w:t>
            </w:r>
          </w:p>
        </w:tc>
        <w:tc>
          <w:tcPr>
            <w:tcW w:w="62" w:type="dxa"/>
            <w:tcBorders/>
            <w:shd w:fill="auto" w:val="clear"/>
            <w:vAlign w:val="bottom"/>
          </w:tcPr>
          <w:p>
            <w:pPr>
              <w:pStyle w:val="TableContents"/>
              <w:spacing w:before="0" w:after="283"/>
              <w:jc w:val="right"/>
              <w:rPr/>
            </w:pPr>
            <w:r>
              <w:rPr/>
              <w:t> </w:t>
            </w:r>
          </w:p>
        </w:tc>
        <w:tc>
          <w:tcPr>
            <w:tcW w:w="139" w:type="dxa"/>
            <w:tcBorders/>
            <w:shd w:fill="auto" w:val="clear"/>
            <w:vAlign w:val="bottom"/>
          </w:tcPr>
          <w:p>
            <w:pPr>
              <w:pStyle w:val="TableContents"/>
              <w:spacing w:before="0" w:after="283"/>
              <w:jc w:val="left"/>
              <w:rPr/>
            </w:pPr>
            <w:r>
              <w:rPr/>
              <w:t> </w:t>
            </w:r>
          </w:p>
        </w:tc>
        <w:tc>
          <w:tcPr>
            <w:tcW w:w="376"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978</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58" w:type="dxa"/>
            <w:tcBorders/>
            <w:shd w:fill="auto" w:val="clear"/>
            <w:vAlign w:val="bottom"/>
          </w:tcPr>
          <w:p>
            <w:pPr>
              <w:pStyle w:val="TableContents"/>
              <w:spacing w:before="0" w:after="283"/>
              <w:jc w:val="left"/>
              <w:rPr/>
            </w:pPr>
            <w:r>
              <w:rPr/>
              <w:t> </w:t>
            </w:r>
          </w:p>
        </w:tc>
        <w:tc>
          <w:tcPr>
            <w:tcW w:w="747"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27,348</w:t>
            </w:r>
          </w:p>
        </w:tc>
        <w:tc>
          <w:tcPr>
            <w:tcW w:w="75" w:type="dxa"/>
            <w:tcBorders/>
            <w:shd w:fill="auto" w:val="clear"/>
            <w:vAlign w:val="bottom"/>
          </w:tcPr>
          <w:p>
            <w:pPr>
              <w:pStyle w:val="TableContents"/>
              <w:spacing w:before="0" w:after="283"/>
              <w:jc w:val="left"/>
              <w:rPr/>
            </w:pPr>
            <w:r>
              <w:rPr/>
              <w:t> </w:t>
            </w:r>
          </w:p>
        </w:tc>
        <w:tc>
          <w:tcPr>
            <w:tcW w:w="75" w:type="dxa"/>
            <w:tcBorders/>
            <w:shd w:fill="auto" w:val="clear"/>
            <w:vAlign w:val="bottom"/>
          </w:tcPr>
          <w:p>
            <w:pPr>
              <w:pStyle w:val="TableContents"/>
              <w:spacing w:before="0" w:after="283"/>
              <w:jc w:val="right"/>
              <w:rPr/>
            </w:pPr>
            <w:r>
              <w:rPr/>
              <w:t> </w:t>
            </w:r>
          </w:p>
        </w:tc>
        <w:tc>
          <w:tcPr>
            <w:tcW w:w="158" w:type="dxa"/>
            <w:tcBorders/>
            <w:shd w:fill="auto" w:val="clear"/>
            <w:vAlign w:val="bottom"/>
          </w:tcPr>
          <w:p>
            <w:pPr>
              <w:pStyle w:val="TableContents"/>
              <w:spacing w:before="0" w:after="283"/>
              <w:jc w:val="left"/>
              <w:rPr/>
            </w:pPr>
            <w:r>
              <w:rPr/>
              <w:t> </w:t>
            </w:r>
          </w:p>
        </w:tc>
        <w:tc>
          <w:tcPr>
            <w:tcW w:w="424"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369</w:t>
            </w:r>
          </w:p>
        </w:tc>
        <w:tc>
          <w:tcPr>
            <w:tcW w:w="75" w:type="dxa"/>
            <w:tcBorders/>
            <w:shd w:fill="auto" w:val="clear"/>
            <w:vAlign w:val="bottom"/>
          </w:tcPr>
          <w:p>
            <w:pPr>
              <w:pStyle w:val="TableContents"/>
              <w:spacing w:before="0" w:after="283"/>
              <w:ind w:left="180" w:right="0" w:hanging="180"/>
              <w:jc w:val="left"/>
              <w:rPr/>
            </w:pPr>
            <w:r>
              <w:rPr/>
              <w:t> </w:t>
            </w:r>
          </w:p>
        </w:tc>
      </w:tr>
      <w:tr>
        <w:trPr/>
        <w:tc>
          <w:tcPr>
            <w:tcW w:w="461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131" w:type="dxa"/>
            <w:tcBorders/>
            <w:shd w:fill="CCEEFF" w:val="clear"/>
            <w:vAlign w:val="bottom"/>
          </w:tcPr>
          <w:p>
            <w:pPr>
              <w:pStyle w:val="TableContents"/>
              <w:spacing w:before="0" w:after="283"/>
              <w:jc w:val="left"/>
              <w:rPr/>
            </w:pPr>
            <w:r>
              <w:rPr/>
              <w:t> </w:t>
            </w:r>
          </w:p>
        </w:tc>
        <w:tc>
          <w:tcPr>
            <w:tcW w:w="624" w:type="dxa"/>
            <w:tcBorders/>
            <w:shd w:fill="CCEEFF" w:val="clear"/>
            <w:vAlign w:val="bottom"/>
          </w:tcPr>
          <w:p>
            <w:pPr>
              <w:pStyle w:val="TableContents"/>
              <w:spacing w:before="0" w:after="283"/>
              <w:jc w:val="right"/>
              <w:rPr/>
            </w:pPr>
            <w:r>
              <w:rPr/>
              <w:t> </w:t>
            </w:r>
          </w:p>
        </w:tc>
        <w:tc>
          <w:tcPr>
            <w:tcW w:w="62" w:type="dxa"/>
            <w:tcBorders/>
            <w:shd w:fill="CCEEFF" w:val="clear"/>
            <w:vAlign w:val="bottom"/>
          </w:tcPr>
          <w:p>
            <w:pPr>
              <w:pStyle w:val="TableContents"/>
              <w:spacing w:before="0" w:after="283"/>
              <w:jc w:val="left"/>
              <w:rPr/>
            </w:pPr>
            <w:r>
              <w:rPr/>
              <w:t> </w:t>
            </w:r>
          </w:p>
        </w:tc>
        <w:tc>
          <w:tcPr>
            <w:tcW w:w="62" w:type="dxa"/>
            <w:tcBorders/>
            <w:shd w:fill="CCEEFF" w:val="clear"/>
            <w:vAlign w:val="bottom"/>
          </w:tcPr>
          <w:p>
            <w:pPr>
              <w:pStyle w:val="TableContents"/>
              <w:spacing w:before="0" w:after="283"/>
              <w:jc w:val="right"/>
              <w:rPr/>
            </w:pPr>
            <w:r>
              <w:rPr/>
              <w:t> </w:t>
            </w:r>
          </w:p>
        </w:tc>
        <w:tc>
          <w:tcPr>
            <w:tcW w:w="139" w:type="dxa"/>
            <w:tcBorders/>
            <w:shd w:fill="CCEEFF" w:val="clear"/>
            <w:vAlign w:val="bottom"/>
          </w:tcPr>
          <w:p>
            <w:pPr>
              <w:pStyle w:val="TableContents"/>
              <w:spacing w:before="0" w:after="283"/>
              <w:jc w:val="left"/>
              <w:rPr/>
            </w:pPr>
            <w:r>
              <w:rPr/>
              <w:t> </w:t>
            </w:r>
          </w:p>
        </w:tc>
        <w:tc>
          <w:tcPr>
            <w:tcW w:w="376"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58" w:type="dxa"/>
            <w:tcBorders/>
            <w:shd w:fill="CCEEFF" w:val="clear"/>
            <w:vAlign w:val="bottom"/>
          </w:tcPr>
          <w:p>
            <w:pPr>
              <w:pStyle w:val="TableContents"/>
              <w:spacing w:before="0" w:after="283"/>
              <w:jc w:val="left"/>
              <w:rPr/>
            </w:pPr>
            <w:r>
              <w:rPr/>
              <w:t> </w:t>
            </w:r>
          </w:p>
        </w:tc>
        <w:tc>
          <w:tcPr>
            <w:tcW w:w="747"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jc w:val="left"/>
              <w:rPr/>
            </w:pPr>
            <w:r>
              <w:rPr/>
              <w:t> </w:t>
            </w:r>
          </w:p>
        </w:tc>
        <w:tc>
          <w:tcPr>
            <w:tcW w:w="75" w:type="dxa"/>
            <w:tcBorders/>
            <w:shd w:fill="CCEEFF" w:val="clear"/>
            <w:vAlign w:val="bottom"/>
          </w:tcPr>
          <w:p>
            <w:pPr>
              <w:pStyle w:val="TableContents"/>
              <w:spacing w:before="0" w:after="283"/>
              <w:jc w:val="right"/>
              <w:rPr/>
            </w:pPr>
            <w:r>
              <w:rPr/>
              <w:t> </w:t>
            </w:r>
          </w:p>
        </w:tc>
        <w:tc>
          <w:tcPr>
            <w:tcW w:w="158" w:type="dxa"/>
            <w:tcBorders/>
            <w:shd w:fill="CCEEFF" w:val="clear"/>
            <w:vAlign w:val="bottom"/>
          </w:tcPr>
          <w:p>
            <w:pPr>
              <w:pStyle w:val="TableContents"/>
              <w:spacing w:before="0" w:after="283"/>
              <w:jc w:val="left"/>
              <w:rPr/>
            </w:pPr>
            <w:r>
              <w:rPr/>
              <w:t> </w:t>
            </w:r>
          </w:p>
        </w:tc>
        <w:tc>
          <w:tcPr>
            <w:tcW w:w="424"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jc w:val="left"/>
              <w:rPr/>
            </w:pPr>
            <w:r>
              <w:rPr/>
              <w:t> </w:t>
            </w:r>
          </w:p>
        </w:tc>
      </w:tr>
      <w:tr>
        <w:trPr/>
        <w:tc>
          <w:tcPr>
            <w:tcW w:w="4610" w:type="dxa"/>
            <w:tcBorders/>
            <w:shd w:fill="auto"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Included in other liabilities:</w:t>
            </w:r>
          </w:p>
        </w:tc>
        <w:tc>
          <w:tcPr>
            <w:tcW w:w="60" w:type="dxa"/>
            <w:tcBorders/>
            <w:shd w:fill="auto" w:val="clear"/>
            <w:vAlign w:val="bottom"/>
          </w:tcPr>
          <w:p>
            <w:pPr>
              <w:pStyle w:val="TableContents"/>
              <w:spacing w:before="0" w:after="283"/>
              <w:jc w:val="right"/>
              <w:rPr/>
            </w:pPr>
            <w:r>
              <w:rPr/>
              <w:t> </w:t>
            </w:r>
          </w:p>
        </w:tc>
        <w:tc>
          <w:tcPr>
            <w:tcW w:w="131" w:type="dxa"/>
            <w:tcBorders/>
            <w:shd w:fill="auto" w:val="clear"/>
            <w:vAlign w:val="bottom"/>
          </w:tcPr>
          <w:p>
            <w:pPr>
              <w:pStyle w:val="TableContents"/>
              <w:spacing w:before="0" w:after="283"/>
              <w:jc w:val="left"/>
              <w:rPr/>
            </w:pPr>
            <w:r>
              <w:rPr/>
              <w:t> </w:t>
            </w:r>
          </w:p>
        </w:tc>
        <w:tc>
          <w:tcPr>
            <w:tcW w:w="624" w:type="dxa"/>
            <w:tcBorders/>
            <w:shd w:fill="auto" w:val="clear"/>
            <w:vAlign w:val="bottom"/>
          </w:tcPr>
          <w:p>
            <w:pPr>
              <w:pStyle w:val="TableContents"/>
              <w:spacing w:before="0" w:after="283"/>
              <w:jc w:val="right"/>
              <w:rPr/>
            </w:pPr>
            <w:r>
              <w:rPr/>
              <w:t> </w:t>
            </w:r>
          </w:p>
        </w:tc>
        <w:tc>
          <w:tcPr>
            <w:tcW w:w="62" w:type="dxa"/>
            <w:tcBorders/>
            <w:shd w:fill="auto" w:val="clear"/>
            <w:vAlign w:val="bottom"/>
          </w:tcPr>
          <w:p>
            <w:pPr>
              <w:pStyle w:val="TableContents"/>
              <w:spacing w:before="0" w:after="283"/>
              <w:jc w:val="left"/>
              <w:rPr/>
            </w:pPr>
            <w:r>
              <w:rPr/>
              <w:t> </w:t>
            </w:r>
          </w:p>
        </w:tc>
        <w:tc>
          <w:tcPr>
            <w:tcW w:w="62" w:type="dxa"/>
            <w:tcBorders/>
            <w:shd w:fill="auto" w:val="clear"/>
            <w:vAlign w:val="bottom"/>
          </w:tcPr>
          <w:p>
            <w:pPr>
              <w:pStyle w:val="TableContents"/>
              <w:spacing w:before="0" w:after="283"/>
              <w:jc w:val="right"/>
              <w:rPr/>
            </w:pPr>
            <w:r>
              <w:rPr/>
              <w:t> </w:t>
            </w:r>
          </w:p>
        </w:tc>
        <w:tc>
          <w:tcPr>
            <w:tcW w:w="139" w:type="dxa"/>
            <w:tcBorders/>
            <w:shd w:fill="auto" w:val="clear"/>
            <w:vAlign w:val="bottom"/>
          </w:tcPr>
          <w:p>
            <w:pPr>
              <w:pStyle w:val="TableContents"/>
              <w:spacing w:before="0" w:after="283"/>
              <w:jc w:val="left"/>
              <w:rPr/>
            </w:pPr>
            <w:r>
              <w:rPr/>
              <w:t> </w:t>
            </w:r>
          </w:p>
        </w:tc>
        <w:tc>
          <w:tcPr>
            <w:tcW w:w="376"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58" w:type="dxa"/>
            <w:tcBorders/>
            <w:shd w:fill="auto" w:val="clear"/>
            <w:vAlign w:val="bottom"/>
          </w:tcPr>
          <w:p>
            <w:pPr>
              <w:pStyle w:val="TableContents"/>
              <w:spacing w:before="0" w:after="283"/>
              <w:jc w:val="left"/>
              <w:rPr/>
            </w:pPr>
            <w:r>
              <w:rPr/>
              <w:t> </w:t>
            </w:r>
          </w:p>
        </w:tc>
        <w:tc>
          <w:tcPr>
            <w:tcW w:w="747" w:type="dxa"/>
            <w:tcBorders/>
            <w:shd w:fill="auto" w:val="clear"/>
            <w:vAlign w:val="bottom"/>
          </w:tcPr>
          <w:p>
            <w:pPr>
              <w:pStyle w:val="TableContents"/>
              <w:spacing w:before="0" w:after="283"/>
              <w:jc w:val="right"/>
              <w:rPr/>
            </w:pPr>
            <w:r>
              <w:rPr/>
              <w:t> </w:t>
            </w:r>
          </w:p>
        </w:tc>
        <w:tc>
          <w:tcPr>
            <w:tcW w:w="75" w:type="dxa"/>
            <w:tcBorders/>
            <w:shd w:fill="auto" w:val="clear"/>
            <w:vAlign w:val="bottom"/>
          </w:tcPr>
          <w:p>
            <w:pPr>
              <w:pStyle w:val="TableContents"/>
              <w:spacing w:before="0" w:after="283"/>
              <w:jc w:val="left"/>
              <w:rPr/>
            </w:pPr>
            <w:r>
              <w:rPr/>
              <w:t> </w:t>
            </w:r>
          </w:p>
        </w:tc>
        <w:tc>
          <w:tcPr>
            <w:tcW w:w="75" w:type="dxa"/>
            <w:tcBorders/>
            <w:shd w:fill="auto" w:val="clear"/>
            <w:vAlign w:val="bottom"/>
          </w:tcPr>
          <w:p>
            <w:pPr>
              <w:pStyle w:val="TableContents"/>
              <w:spacing w:before="0" w:after="283"/>
              <w:jc w:val="right"/>
              <w:rPr/>
            </w:pPr>
            <w:r>
              <w:rPr/>
              <w:t> </w:t>
            </w:r>
          </w:p>
        </w:tc>
        <w:tc>
          <w:tcPr>
            <w:tcW w:w="158" w:type="dxa"/>
            <w:tcBorders/>
            <w:shd w:fill="auto" w:val="clear"/>
            <w:vAlign w:val="bottom"/>
          </w:tcPr>
          <w:p>
            <w:pPr>
              <w:pStyle w:val="TableContents"/>
              <w:spacing w:before="0" w:after="283"/>
              <w:jc w:val="left"/>
              <w:rPr/>
            </w:pPr>
            <w:r>
              <w:rPr/>
              <w:t> </w:t>
            </w:r>
          </w:p>
        </w:tc>
        <w:tc>
          <w:tcPr>
            <w:tcW w:w="424" w:type="dxa"/>
            <w:tcBorders/>
            <w:shd w:fill="auto" w:val="clear"/>
            <w:vAlign w:val="bottom"/>
          </w:tcPr>
          <w:p>
            <w:pPr>
              <w:pStyle w:val="TableContents"/>
              <w:spacing w:before="0" w:after="283"/>
              <w:jc w:val="right"/>
              <w:rPr/>
            </w:pPr>
            <w:r>
              <w:rPr/>
              <w:t> </w:t>
            </w:r>
          </w:p>
        </w:tc>
        <w:tc>
          <w:tcPr>
            <w:tcW w:w="75" w:type="dxa"/>
            <w:tcBorders/>
            <w:shd w:fill="auto" w:val="clear"/>
            <w:vAlign w:val="bottom"/>
          </w:tcPr>
          <w:p>
            <w:pPr>
              <w:pStyle w:val="TableContents"/>
              <w:spacing w:before="0" w:after="283"/>
              <w:jc w:val="left"/>
              <w:rPr/>
            </w:pPr>
            <w:r>
              <w:rPr/>
              <w:t> </w:t>
            </w:r>
          </w:p>
        </w:tc>
      </w:tr>
      <w:tr>
        <w:trPr/>
        <w:tc>
          <w:tcPr>
            <w:tcW w:w="4610" w:type="dxa"/>
            <w:tcBorders/>
            <w:shd w:fill="CCEEFF" w:val="clear"/>
            <w:vAlign w:val="bottom"/>
          </w:tcPr>
          <w:p>
            <w:pPr>
              <w:pStyle w:val="TableContents"/>
              <w:spacing w:before="0" w:after="0"/>
              <w:ind w:left="360" w:right="0" w:hanging="180"/>
              <w:jc w:val="left"/>
              <w:rPr>
                <w:rFonts w:ascii="Times New Roman" w:hAnsi="Times New Roman"/>
                <w:sz w:val="20"/>
              </w:rPr>
            </w:pPr>
            <w:r>
              <w:rPr>
                <w:rFonts w:ascii="Times New Roman" w:hAnsi="Times New Roman"/>
                <w:sz w:val="20"/>
              </w:rPr>
              <w:t>Forward contracts related to mortgage loans held for sale</w:t>
            </w:r>
          </w:p>
        </w:tc>
        <w:tc>
          <w:tcPr>
            <w:tcW w:w="60" w:type="dxa"/>
            <w:tcBorders/>
            <w:shd w:fill="CCEEFF" w:val="clear"/>
            <w:vAlign w:val="bottom"/>
          </w:tcPr>
          <w:p>
            <w:pPr>
              <w:pStyle w:val="TableContents"/>
              <w:spacing w:before="0" w:after="283"/>
              <w:jc w:val="right"/>
              <w:rPr/>
            </w:pPr>
            <w:r>
              <w:rPr/>
              <w:t> </w:t>
            </w:r>
          </w:p>
        </w:tc>
        <w:tc>
          <w:tcPr>
            <w:tcW w:w="131"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24"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35,244</w:t>
            </w:r>
          </w:p>
        </w:tc>
        <w:tc>
          <w:tcPr>
            <w:tcW w:w="62" w:type="dxa"/>
            <w:tcBorders/>
            <w:shd w:fill="CCEEFF" w:val="clear"/>
            <w:vAlign w:val="bottom"/>
          </w:tcPr>
          <w:p>
            <w:pPr>
              <w:pStyle w:val="TableContents"/>
              <w:spacing w:before="0" w:after="283"/>
              <w:jc w:val="left"/>
              <w:rPr/>
            </w:pPr>
            <w:r>
              <w:rPr/>
              <w:t> </w:t>
            </w:r>
          </w:p>
        </w:tc>
        <w:tc>
          <w:tcPr>
            <w:tcW w:w="62" w:type="dxa"/>
            <w:tcBorders/>
            <w:shd w:fill="CCEEFF" w:val="clear"/>
            <w:vAlign w:val="bottom"/>
          </w:tcPr>
          <w:p>
            <w:pPr>
              <w:pStyle w:val="TableContents"/>
              <w:spacing w:before="0" w:after="283"/>
              <w:jc w:val="right"/>
              <w:rPr/>
            </w:pPr>
            <w:r>
              <w:rPr/>
              <w:t> </w:t>
            </w:r>
          </w:p>
        </w:tc>
        <w:tc>
          <w:tcPr>
            <w:tcW w:w="139"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376"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409</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58"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747"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5,615</w:t>
            </w:r>
          </w:p>
        </w:tc>
        <w:tc>
          <w:tcPr>
            <w:tcW w:w="75" w:type="dxa"/>
            <w:tcBorders/>
            <w:shd w:fill="CCEEFF" w:val="clear"/>
            <w:vAlign w:val="bottom"/>
          </w:tcPr>
          <w:p>
            <w:pPr>
              <w:pStyle w:val="TableContents"/>
              <w:spacing w:before="0" w:after="283"/>
              <w:jc w:val="left"/>
              <w:rPr/>
            </w:pPr>
            <w:r>
              <w:rPr/>
              <w:t> </w:t>
            </w:r>
          </w:p>
        </w:tc>
        <w:tc>
          <w:tcPr>
            <w:tcW w:w="75" w:type="dxa"/>
            <w:tcBorders/>
            <w:shd w:fill="CCEEFF" w:val="clear"/>
            <w:vAlign w:val="bottom"/>
          </w:tcPr>
          <w:p>
            <w:pPr>
              <w:pStyle w:val="TableContents"/>
              <w:spacing w:before="0" w:after="283"/>
              <w:jc w:val="right"/>
              <w:rPr/>
            </w:pPr>
            <w:r>
              <w:rPr/>
              <w:t> </w:t>
            </w:r>
          </w:p>
        </w:tc>
        <w:tc>
          <w:tcPr>
            <w:tcW w:w="158"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424"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128</w:t>
            </w:r>
          </w:p>
        </w:tc>
        <w:tc>
          <w:tcPr>
            <w:tcW w:w="75" w:type="dxa"/>
            <w:tcBorders/>
            <w:shd w:fill="CCEEFF" w:val="clear"/>
            <w:vAlign w:val="bottom"/>
          </w:tcPr>
          <w:p>
            <w:pPr>
              <w:pStyle w:val="TableContents"/>
              <w:spacing w:before="0" w:after="283"/>
              <w:jc w:val="left"/>
              <w:rPr/>
            </w:pPr>
            <w:r>
              <w:rPr/>
              <w:t> </w:t>
            </w:r>
          </w:p>
        </w:tc>
      </w:tr>
    </w:tbl>
    <w:p>
      <w:pPr>
        <w:pStyle w:val="TextBody"/>
        <w:spacing w:before="0" w:after="0"/>
        <w:jc w:val="both"/>
        <w:rPr/>
      </w:pPr>
      <w:r>
        <w:rPr/>
      </w:r>
    </w:p>
    <w:p>
      <w:pPr>
        <w:pStyle w:val="TextBody"/>
        <w:spacing w:before="0" w:after="0"/>
        <w:jc w:val="both"/>
        <w:rPr>
          <w:rFonts w:ascii="Times New Roman;Times;serif" w:hAnsi="Times New Roman;Times;serif"/>
          <w:color w:val="000000"/>
          <w:sz w:val="20"/>
        </w:rPr>
      </w:pPr>
      <w:r>
        <w:rPr>
          <w:rFonts w:ascii="Times New Roman;Times;serif" w:hAnsi="Times New Roman;Times;serif"/>
          <w:color w:val="000000"/>
          <w:sz w:val="20"/>
        </w:rPr>
        <w:t>The Company had received cash collateral of $17.6 million and $18.9 million to offset asset derivative positions on its interest rate swaps at March 31, 2023 and December 31, 2022, respectively. This amount is reported in other liabilities in the Company’s Consolidated Balance Sheets. The Company had advanced $1.1 million to offset liability derivative positions on its interest rate swaps at March 31, 2023 and December 31, 2022, respectively. Additionally, the Company had advanced $440 thousand on its mortgage forward contracts at March 31, 2023 and December 31, 2022, respectively. The advanced cash collateral amounts are reported in cash and due from banks in the Company’s Consolidated Balance Sheets.</w:t>
      </w:r>
    </w:p>
    <w:p>
      <w:pPr>
        <w:pStyle w:val="TextBody"/>
        <w:spacing w:before="0" w:after="0"/>
        <w:jc w:val="both"/>
        <w:rPr/>
      </w:pPr>
      <w:r>
        <w:rPr/>
      </w:r>
    </w:p>
    <w:p>
      <w:pPr>
        <w:pStyle w:val="TextBody"/>
        <w:spacing w:before="0" w:after="0"/>
        <w:jc w:val="left"/>
        <w:rPr>
          <w:rFonts w:ascii="Times New Roman" w:hAnsi="Times New Roman"/>
          <w:b/>
          <w:color w:val="000000"/>
          <w:sz w:val="20"/>
        </w:rPr>
      </w:pPr>
      <w:r>
        <w:rPr>
          <w:rFonts w:ascii="Times New Roman" w:hAnsi="Times New Roman"/>
          <w:b/>
          <w:color w:val="000000"/>
          <w:sz w:val="20"/>
        </w:rPr>
        <w:t>12.  EARNINGS PER SHARE</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factors used in the earnings per share computation for the periods indicated follow (dollars in thousands, except per share data):</w:t>
      </w:r>
    </w:p>
    <w:p>
      <w:pPr>
        <w:pStyle w:val="TextBody"/>
        <w:spacing w:before="0" w:after="0"/>
        <w:jc w:val="left"/>
        <w:rPr/>
      </w:pPr>
      <w:r>
        <w:rPr/>
      </w:r>
    </w:p>
    <w:tbl>
      <w:tblPr>
        <w:tblW w:w="6955" w:type="dxa"/>
        <w:jc w:val="left"/>
        <w:tblInd w:w="0" w:type="dxa"/>
        <w:tblCellMar>
          <w:top w:w="0" w:type="dxa"/>
          <w:left w:w="0" w:type="dxa"/>
          <w:bottom w:w="0" w:type="dxa"/>
          <w:right w:w="0" w:type="dxa"/>
        </w:tblCellMar>
      </w:tblPr>
      <w:tblGrid>
        <w:gridCol w:w="4550"/>
        <w:gridCol w:w="60"/>
        <w:gridCol w:w="125"/>
        <w:gridCol w:w="950"/>
        <w:gridCol w:w="60"/>
        <w:gridCol w:w="60"/>
        <w:gridCol w:w="125"/>
        <w:gridCol w:w="950"/>
        <w:gridCol w:w="75"/>
      </w:tblGrid>
      <w:tr>
        <w:trPr/>
        <w:tc>
          <w:tcPr>
            <w:tcW w:w="455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270" w:type="dxa"/>
            <w:gridSpan w:val="6"/>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Three Months Ended</w:t>
            </w:r>
          </w:p>
          <w:p>
            <w:pPr>
              <w:pStyle w:val="TableContents"/>
              <w:spacing w:before="0" w:after="0"/>
              <w:jc w:val="center"/>
              <w:rPr>
                <w:rFonts w:ascii="Times New Roman" w:hAnsi="Times New Roman"/>
                <w:b/>
                <w:sz w:val="20"/>
              </w:rPr>
            </w:pPr>
            <w:r>
              <w:rPr>
                <w:rFonts w:ascii="Times New Roman" w:hAnsi="Times New Roman"/>
                <w:b/>
                <w:sz w:val="20"/>
              </w:rPr>
              <w:t>March 31,</w:t>
            </w:r>
          </w:p>
        </w:tc>
        <w:tc>
          <w:tcPr>
            <w:tcW w:w="75" w:type="dxa"/>
            <w:tcBorders/>
            <w:shd w:fill="auto" w:val="clear"/>
            <w:vAlign w:val="bottom"/>
          </w:tcPr>
          <w:p>
            <w:pPr>
              <w:pStyle w:val="TableContents"/>
              <w:spacing w:before="0" w:after="283"/>
              <w:jc w:val="left"/>
              <w:rPr/>
            </w:pPr>
            <w:r>
              <w:rPr/>
              <w:t> </w:t>
            </w:r>
          </w:p>
        </w:tc>
      </w:tr>
      <w:tr>
        <w:trPr/>
        <w:tc>
          <w:tcPr>
            <w:tcW w:w="45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7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2023</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07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2022</w:t>
            </w:r>
          </w:p>
        </w:tc>
        <w:tc>
          <w:tcPr>
            <w:tcW w:w="75" w:type="dxa"/>
            <w:tcBorders/>
            <w:shd w:fill="auto" w:val="clear"/>
            <w:vAlign w:val="bottom"/>
          </w:tcPr>
          <w:p>
            <w:pPr>
              <w:pStyle w:val="TableContents"/>
              <w:spacing w:before="0" w:after="283"/>
              <w:jc w:val="left"/>
              <w:rPr/>
            </w:pPr>
            <w:r>
              <w:rPr/>
              <w:t> </w:t>
            </w:r>
          </w:p>
        </w:tc>
      </w:tr>
      <w:tr>
        <w:trPr/>
        <w:tc>
          <w:tcPr>
            <w:tcW w:w="4550" w:type="dxa"/>
            <w:tcBorders/>
            <w:shd w:fill="CCEE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Net income</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9,244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14,278</w:t>
            </w:r>
          </w:p>
        </w:tc>
        <w:tc>
          <w:tcPr>
            <w:tcW w:w="75" w:type="dxa"/>
            <w:tcBorders/>
            <w:shd w:fill="CCEEFF" w:val="clear"/>
            <w:vAlign w:val="bottom"/>
          </w:tcPr>
          <w:p>
            <w:pPr>
              <w:pStyle w:val="TableContents"/>
              <w:spacing w:before="0" w:after="283"/>
              <w:jc w:val="left"/>
              <w:rPr/>
            </w:pPr>
            <w:r>
              <w:rPr/>
              <w:t> </w:t>
            </w:r>
          </w:p>
        </w:tc>
      </w:tr>
      <w:tr>
        <w:trPr/>
        <w:tc>
          <w:tcPr>
            <w:tcW w:w="45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95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950" w:type="dxa"/>
            <w:tcBorders/>
            <w:shd w:fill="auto" w:val="clear"/>
            <w:vAlign w:val="bottom"/>
          </w:tcPr>
          <w:p>
            <w:pPr>
              <w:pStyle w:val="TableContents"/>
              <w:spacing w:before="0" w:after="283"/>
              <w:jc w:val="right"/>
              <w:rPr/>
            </w:pPr>
            <w:r>
              <w:rPr/>
              <w:t> </w:t>
            </w:r>
          </w:p>
        </w:tc>
        <w:tc>
          <w:tcPr>
            <w:tcW w:w="75" w:type="dxa"/>
            <w:tcBorders/>
            <w:shd w:fill="auto" w:val="clear"/>
            <w:vAlign w:val="bottom"/>
          </w:tcPr>
          <w:p>
            <w:pPr>
              <w:pStyle w:val="TableContents"/>
              <w:spacing w:before="0" w:after="283"/>
              <w:jc w:val="left"/>
              <w:rPr/>
            </w:pPr>
            <w:r>
              <w:rPr/>
              <w:t> </w:t>
            </w:r>
          </w:p>
        </w:tc>
      </w:tr>
      <w:tr>
        <w:trPr/>
        <w:tc>
          <w:tcPr>
            <w:tcW w:w="4550" w:type="dxa"/>
            <w:tcBorders/>
            <w:shd w:fill="CCEE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Weighted average common shares outstanding - basic</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17,046,713</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17,716,136</w:t>
            </w:r>
          </w:p>
        </w:tc>
        <w:tc>
          <w:tcPr>
            <w:tcW w:w="75" w:type="dxa"/>
            <w:tcBorders/>
            <w:shd w:fill="CCEEFF" w:val="clear"/>
            <w:vAlign w:val="bottom"/>
          </w:tcPr>
          <w:p>
            <w:pPr>
              <w:pStyle w:val="TableContents"/>
              <w:spacing w:before="0" w:after="283"/>
              <w:jc w:val="left"/>
              <w:rPr/>
            </w:pPr>
            <w:r>
              <w:rPr/>
              <w:t> </w:t>
            </w:r>
          </w:p>
        </w:tc>
      </w:tr>
      <w:tr>
        <w:trPr/>
        <w:tc>
          <w:tcPr>
            <w:tcW w:w="4550" w:type="dxa"/>
            <w:tcBorders/>
            <w:shd w:fill="auto"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Effect of dilutive securities:</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95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jc w:val="left"/>
              <w:rPr/>
            </w:pPr>
            <w:r>
              <w:rPr/>
              <w:t> </w:t>
            </w:r>
          </w:p>
        </w:tc>
        <w:tc>
          <w:tcPr>
            <w:tcW w:w="950" w:type="dxa"/>
            <w:tcBorders/>
            <w:shd w:fill="auto" w:val="clear"/>
            <w:vAlign w:val="bottom"/>
          </w:tcPr>
          <w:p>
            <w:pPr>
              <w:pStyle w:val="TableContents"/>
              <w:spacing w:before="0" w:after="283"/>
              <w:jc w:val="right"/>
              <w:rPr/>
            </w:pPr>
            <w:r>
              <w:rPr/>
              <w:t> </w:t>
            </w:r>
          </w:p>
        </w:tc>
        <w:tc>
          <w:tcPr>
            <w:tcW w:w="75" w:type="dxa"/>
            <w:tcBorders/>
            <w:shd w:fill="auto" w:val="clear"/>
            <w:vAlign w:val="bottom"/>
          </w:tcPr>
          <w:p>
            <w:pPr>
              <w:pStyle w:val="TableContents"/>
              <w:spacing w:before="0" w:after="283"/>
              <w:jc w:val="left"/>
              <w:rPr/>
            </w:pPr>
            <w:r>
              <w:rPr/>
              <w:t> </w:t>
            </w:r>
          </w:p>
        </w:tc>
      </w:tr>
      <w:tr>
        <w:trPr/>
        <w:tc>
          <w:tcPr>
            <w:tcW w:w="4550" w:type="dxa"/>
            <w:tcBorders/>
            <w:shd w:fill="CCEE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Stock-based compensation awards</w:t>
            </w:r>
          </w:p>
        </w:tc>
        <w:tc>
          <w:tcPr>
            <w:tcW w:w="60"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50"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514,043</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50" w:type="dxa"/>
            <w:tcBorders>
              <w:bottom w:val="single" w:sz="12" w:space="0" w:color="000000"/>
            </w:tcBorders>
            <w:shd w:fill="CCEEFF"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676,261</w:t>
            </w:r>
          </w:p>
        </w:tc>
        <w:tc>
          <w:tcPr>
            <w:tcW w:w="75" w:type="dxa"/>
            <w:tcBorders/>
            <w:shd w:fill="CCEEFF" w:val="clear"/>
            <w:vAlign w:val="bottom"/>
          </w:tcPr>
          <w:p>
            <w:pPr>
              <w:pStyle w:val="TableContents"/>
              <w:spacing w:before="0" w:after="283"/>
              <w:jc w:val="left"/>
              <w:rPr/>
            </w:pPr>
            <w:r>
              <w:rPr/>
              <w:t> </w:t>
            </w:r>
          </w:p>
        </w:tc>
      </w:tr>
      <w:tr>
        <w:trPr/>
        <w:tc>
          <w:tcPr>
            <w:tcW w:w="4550" w:type="dxa"/>
            <w:tcBorders/>
            <w:shd w:fill="auto"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Weighted average common shares outstanding - diluted</w:t>
            </w:r>
          </w:p>
        </w:tc>
        <w:tc>
          <w:tcPr>
            <w:tcW w:w="60" w:type="dxa"/>
            <w:tcBorders/>
            <w:shd w:fill="auto" w:val="clear"/>
            <w:vAlign w:val="bottom"/>
          </w:tcPr>
          <w:p>
            <w:pPr>
              <w:pStyle w:val="TableContents"/>
              <w:spacing w:before="0" w:after="283"/>
              <w:rPr/>
            </w:pPr>
            <w:r>
              <w:rPr/>
              <w:t> </w:t>
            </w:r>
          </w:p>
        </w:tc>
        <w:tc>
          <w:tcPr>
            <w:tcW w:w="125" w:type="dxa"/>
            <w:tcBorders>
              <w:bottom w:val="double" w:sz="8" w:space="0" w:color="000000"/>
            </w:tcBorders>
            <w:shd w:fill="auto" w:val="clear"/>
            <w:tcMar>
              <w:bottom w:w="28" w:type="dxa"/>
            </w:tcMar>
            <w:vAlign w:val="bottom"/>
          </w:tcPr>
          <w:p>
            <w:pPr>
              <w:pStyle w:val="TableContents"/>
              <w:spacing w:before="0" w:after="283"/>
              <w:jc w:val="left"/>
              <w:rPr/>
            </w:pPr>
            <w:r>
              <w:rPr/>
              <w:t> </w:t>
            </w:r>
          </w:p>
        </w:tc>
        <w:tc>
          <w:tcPr>
            <w:tcW w:w="950"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17,560,756</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bottom w:val="double" w:sz="8" w:space="0" w:color="000000"/>
            </w:tcBorders>
            <w:shd w:fill="auto" w:val="clear"/>
            <w:tcMar>
              <w:bottom w:w="28" w:type="dxa"/>
            </w:tcMar>
            <w:vAlign w:val="bottom"/>
          </w:tcPr>
          <w:p>
            <w:pPr>
              <w:pStyle w:val="TableContents"/>
              <w:spacing w:before="0" w:after="283"/>
              <w:jc w:val="left"/>
              <w:rPr/>
            </w:pPr>
            <w:r>
              <w:rPr/>
              <w:t> </w:t>
            </w:r>
          </w:p>
        </w:tc>
        <w:tc>
          <w:tcPr>
            <w:tcW w:w="950" w:type="dxa"/>
            <w:tcBorders>
              <w:bottom w:val="double" w:sz="8" w:space="0" w:color="000000"/>
            </w:tcBorders>
            <w:shd w:fill="auto" w:val="clear"/>
            <w:tcMar>
              <w:bottom w:w="28" w:type="dxa"/>
            </w:tcMar>
            <w:vAlign w:val="bottom"/>
          </w:tcPr>
          <w:p>
            <w:pPr>
              <w:pStyle w:val="TableContents"/>
              <w:spacing w:before="0" w:after="0"/>
              <w:jc w:val="right"/>
              <w:rPr>
                <w:rFonts w:ascii="Times New Roman" w:hAnsi="Times New Roman"/>
                <w:sz w:val="20"/>
              </w:rPr>
            </w:pPr>
            <w:r>
              <w:rPr>
                <w:rFonts w:ascii="Times New Roman" w:hAnsi="Times New Roman"/>
                <w:sz w:val="20"/>
              </w:rPr>
              <w:t>18,392,397</w:t>
            </w:r>
          </w:p>
        </w:tc>
        <w:tc>
          <w:tcPr>
            <w:tcW w:w="75" w:type="dxa"/>
            <w:tcBorders/>
            <w:shd w:fill="auto" w:val="clear"/>
            <w:vAlign w:val="bottom"/>
          </w:tcPr>
          <w:p>
            <w:pPr>
              <w:pStyle w:val="TableContents"/>
              <w:spacing w:before="0" w:after="283"/>
              <w:jc w:val="left"/>
              <w:rPr/>
            </w:pPr>
            <w:r>
              <w:rPr/>
              <w:t> </w:t>
            </w:r>
          </w:p>
        </w:tc>
      </w:tr>
      <w:tr>
        <w:trPr/>
        <w:tc>
          <w:tcPr>
            <w:tcW w:w="45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50" w:type="dxa"/>
            <w:tcBorders/>
            <w:shd w:fill="CCEEFF" w:val="clear"/>
            <w:vAlign w:val="bottom"/>
          </w:tcPr>
          <w:p>
            <w:pPr>
              <w:pStyle w:val="TableContents"/>
              <w:spacing w:before="0" w:after="283"/>
              <w:jc w:val="right"/>
              <w:rPr/>
            </w:pPr>
            <w:r>
              <w:rPr/>
              <w:t> </w:t>
            </w:r>
          </w:p>
        </w:tc>
        <w:tc>
          <w:tcPr>
            <w:tcW w:w="75" w:type="dxa"/>
            <w:tcBorders/>
            <w:shd w:fill="CCEEFF" w:val="clear"/>
            <w:vAlign w:val="bottom"/>
          </w:tcPr>
          <w:p>
            <w:pPr>
              <w:pStyle w:val="TableContents"/>
              <w:spacing w:before="0" w:after="283"/>
              <w:jc w:val="left"/>
              <w:rPr/>
            </w:pPr>
            <w:r>
              <w:rPr/>
              <w:t> </w:t>
            </w:r>
          </w:p>
        </w:tc>
      </w:tr>
      <w:tr>
        <w:trPr/>
        <w:tc>
          <w:tcPr>
            <w:tcW w:w="4550" w:type="dxa"/>
            <w:tcBorders/>
            <w:shd w:fill="auto"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Basic earnings per share</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950"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0.54</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950"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0.81</w:t>
            </w:r>
          </w:p>
        </w:tc>
        <w:tc>
          <w:tcPr>
            <w:tcW w:w="75" w:type="dxa"/>
            <w:tcBorders/>
            <w:shd w:fill="auto" w:val="clear"/>
            <w:vAlign w:val="bottom"/>
          </w:tcPr>
          <w:p>
            <w:pPr>
              <w:pStyle w:val="TableContents"/>
              <w:spacing w:before="0" w:after="283"/>
              <w:jc w:val="left"/>
              <w:rPr/>
            </w:pPr>
            <w:r>
              <w:rPr/>
              <w:t> </w:t>
            </w:r>
          </w:p>
        </w:tc>
      </w:tr>
      <w:tr>
        <w:trPr/>
        <w:tc>
          <w:tcPr>
            <w:tcW w:w="4550" w:type="dxa"/>
            <w:tcBorders/>
            <w:shd w:fill="CCEE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Diluted earnings per share</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0.53</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0.78</w:t>
            </w:r>
          </w:p>
        </w:tc>
        <w:tc>
          <w:tcPr>
            <w:tcW w:w="75" w:type="dxa"/>
            <w:tcBorders/>
            <w:shd w:fill="CCEEFF" w:val="clear"/>
            <w:vAlign w:val="bottom"/>
          </w:tcPr>
          <w:p>
            <w:pPr>
              <w:pStyle w:val="TableContents"/>
              <w:spacing w:before="0" w:after="283"/>
              <w:jc w:val="left"/>
              <w:rPr/>
            </w:pPr>
            <w:r>
              <w:rPr/>
              <w:t> </w:t>
            </w:r>
          </w:p>
        </w:tc>
      </w:tr>
    </w:tbl>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25</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b w:val="false"/>
            <w:i/>
            <w:color w:val="000000"/>
            <w:sz w:val="16"/>
          </w:rPr>
          <w:t>Table of Contents</w:t>
        </w:r>
      </w:hyperlink>
    </w:p>
    <w:p>
      <w:pPr>
        <w:pStyle w:val="TextBody"/>
        <w:spacing w:before="0" w:after="0"/>
        <w:jc w:val="left"/>
        <w:rPr>
          <w:rFonts w:ascii="Times New Roman" w:hAnsi="Times New Roman"/>
          <w:b/>
          <w:color w:val="000000"/>
          <w:sz w:val="20"/>
        </w:rPr>
      </w:pPr>
      <w:r>
        <w:rPr>
          <w:rFonts w:ascii="Times New Roman" w:hAnsi="Times New Roman"/>
          <w:b/>
          <w:color w:val="000000"/>
          <w:sz w:val="20"/>
        </w:rPr>
        <w:t>13.  FAIR VALUE DISCLOSURES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Fair value is the price that would be received to sell an asset or paid to transfer a liability in an orderly transaction between market participants. A fair value measurement assumes that the transaction to sell the asset or transfer the liability occurs in the principal market for the asset or liability or, in the absence of a principal market, the most advantageous market for the asset or liability. The price in the principal (or most advantageous) market used to measure the fair value of the asset or liability is not adjusted for transaction costs. An orderly transaction is a transaction that assumes exposure to the market for a period prior to the measurement date to allow for marketing activities that are usual and customary for transactions involving such assets and liabilities; it is not a forced transaction. Market participants are buyers and sellers in the principal market that are (i) independent, (ii) knowledgeable, (iii) able to transact and (iv) willing to transact.</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Valuation techniques that are consistent with the market approach, the income approach and/or the cost approach are required by GAAP. The market approach uses prices and other relevant information generated by market transactions involving identical or comparable assets and liabilities. The income approach uses valuation techniques to convert future amounts, such as cash flows or earnings, to a single present amount on a discounted basis. The cost approach is based on the amount that currently would be required to replace the service capacity of an asset. Valuation techniques should be consistently applied. Inputs to valuation techniques refer to the assumptions that market participants would use in pricing the asset or liability. Inputs may be observable, meaning those that reflect the assumptions market participants would use in pricing the asset or liability developed based on market data obtained from independent sources, or unobservable, meaning those that reflect the reporting entity’s own assumptions about the assumptions market participants would use in pricing the asset or liability developed based on the best information available in the circumstances. The fair value hierarchy for valuation inputs gives the highest priority to quoted prices in active markets for identical assets or liabilities and the lowest priority to unobservable inputs. The fair value hierarchy is as follows:</w:t>
      </w:r>
    </w:p>
    <w:p>
      <w:pPr>
        <w:pStyle w:val="TextBody"/>
        <w:spacing w:before="0" w:after="0"/>
        <w:jc w:val="left"/>
        <w:rPr/>
      </w:pPr>
      <w:r>
        <w:rPr/>
      </w:r>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7"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i/>
                <w:sz w:val="20"/>
              </w:rPr>
              <w:t>Level 1 Inputs</w:t>
            </w:r>
            <w:r>
              <w:rPr>
                <w:rFonts w:ascii="Times New Roman" w:hAnsi="Times New Roman"/>
                <w:sz w:val="20"/>
              </w:rPr>
              <w:t xml:space="preserve"> - Unadjusted quoted prices in active markets for identical assets or liabilities that the reporting entity has the ability to access at the measurement date.</w:t>
            </w:r>
          </w:p>
        </w:tc>
      </w:tr>
    </w:tbl>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7"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i/>
                <w:sz w:val="20"/>
              </w:rPr>
              <w:t>Level 2 Inputs</w:t>
            </w:r>
            <w:r>
              <w:rPr>
                <w:rFonts w:ascii="Times New Roman" w:hAnsi="Times New Roman"/>
                <w:sz w:val="20"/>
              </w:rPr>
              <w:t xml:space="preserve"> - Inputs other than quoted prices included in Level 1 that are observable for the asset or liability, either directly or indirectly. These might include quoted prices for similar assets or liabilities in active markets, quoted prices for identical or similar assets or liabilities in markets that are not active, inputs other than quoted prices that are observable for the asset or liability (such as interest rates, volatilities, prepayment speeds, credit risks, etc.) or inputs that are derived principally from or corroborated by market data by correlation or other means.</w:t>
            </w:r>
          </w:p>
        </w:tc>
      </w:tr>
    </w:tbl>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7" w:type="dxa"/>
            <w:tcBorders/>
            <w:shd w:fill="auto" w:val="clear"/>
            <w:vAlign w:val="center"/>
          </w:tcPr>
          <w:p>
            <w:pPr>
              <w:pStyle w:val="TableContents"/>
              <w:spacing w:before="0" w:after="0"/>
              <w:jc w:val="both"/>
              <w:rPr>
                <w:rFonts w:ascii="Times New Roman" w:hAnsi="Times New Roman"/>
                <w:sz w:val="20"/>
              </w:rPr>
            </w:pPr>
            <w:r>
              <w:rPr>
                <w:rFonts w:ascii="Times New Roman" w:hAnsi="Times New Roman"/>
                <w:i/>
                <w:sz w:val="20"/>
              </w:rPr>
              <w:t>Level 3 Inputs</w:t>
            </w:r>
            <w:r>
              <w:rPr>
                <w:rFonts w:ascii="Times New Roman" w:hAnsi="Times New Roman"/>
                <w:sz w:val="20"/>
              </w:rPr>
              <w:t xml:space="preserve"> - Significant unobservable inputs for determining the fair values of assets or liabilities that reflect an entity’s own assumptions about the assumptions that market participants would use in pricing the assets or liabilities.</w:t>
            </w:r>
          </w:p>
        </w:tc>
      </w:tr>
    </w:tbl>
    <w:p>
      <w:pPr>
        <w:pStyle w:val="TextBody"/>
        <w:spacing w:before="0" w:after="0"/>
        <w:jc w:val="left"/>
        <w:rPr/>
      </w:pPr>
      <w:r>
        <w:rPr/>
      </w:r>
    </w:p>
    <w:p>
      <w:pPr>
        <w:pStyle w:val="TextBody"/>
        <w:spacing w:before="0" w:after="0"/>
        <w:jc w:val="both"/>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The following table summarizes fair value measurements at the dates indicated (dollars in thousands):</w:t>
      </w:r>
    </w:p>
    <w:p>
      <w:pPr>
        <w:pStyle w:val="TextBody"/>
        <w:spacing w:before="0" w:after="0"/>
        <w:jc w:val="left"/>
        <w:rPr/>
      </w:pPr>
      <w:r>
        <w:rPr/>
      </w:r>
    </w:p>
    <w:tbl>
      <w:tblPr>
        <w:tblW w:w="8524" w:type="dxa"/>
        <w:jc w:val="left"/>
        <w:tblInd w:w="0" w:type="dxa"/>
        <w:tblCellMar>
          <w:top w:w="0" w:type="dxa"/>
          <w:left w:w="0" w:type="dxa"/>
          <w:bottom w:w="0" w:type="dxa"/>
          <w:right w:w="0" w:type="dxa"/>
        </w:tblCellMar>
      </w:tblPr>
      <w:tblGrid>
        <w:gridCol w:w="4985"/>
        <w:gridCol w:w="60"/>
        <w:gridCol w:w="210"/>
        <w:gridCol w:w="439"/>
        <w:gridCol w:w="60"/>
        <w:gridCol w:w="60"/>
        <w:gridCol w:w="125"/>
        <w:gridCol w:w="695"/>
        <w:gridCol w:w="80"/>
        <w:gridCol w:w="60"/>
        <w:gridCol w:w="125"/>
        <w:gridCol w:w="590"/>
        <w:gridCol w:w="60"/>
        <w:gridCol w:w="60"/>
        <w:gridCol w:w="125"/>
        <w:gridCol w:w="695"/>
        <w:gridCol w:w="95"/>
      </w:tblGrid>
      <w:tr>
        <w:trPr/>
        <w:tc>
          <w:tcPr>
            <w:tcW w:w="498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49"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Level 1</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2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Level 2</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1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Level 3</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2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Total</w:t>
            </w:r>
          </w:p>
        </w:tc>
        <w:tc>
          <w:tcPr>
            <w:tcW w:w="95" w:type="dxa"/>
            <w:tcBorders/>
            <w:shd w:fill="auto" w:val="clear"/>
            <w:vAlign w:val="bottom"/>
          </w:tcPr>
          <w:p>
            <w:pPr>
              <w:pStyle w:val="TableContents"/>
              <w:spacing w:before="0" w:after="283"/>
              <w:jc w:val="left"/>
              <w:rPr/>
            </w:pPr>
            <w:r>
              <w:rPr/>
              <w:t> </w:t>
            </w:r>
          </w:p>
        </w:tc>
      </w:tr>
      <w:tr>
        <w:trPr/>
        <w:tc>
          <w:tcPr>
            <w:tcW w:w="4985" w:type="dxa"/>
            <w:tcBorders/>
            <w:shd w:fill="auto" w:val="clear"/>
            <w:vAlign w:val="bottom"/>
          </w:tcPr>
          <w:p>
            <w:pPr>
              <w:pStyle w:val="TableContents"/>
              <w:spacing w:before="0" w:after="0"/>
              <w:ind w:left="180" w:right="0" w:hanging="0"/>
              <w:jc w:val="left"/>
              <w:rPr>
                <w:rFonts w:ascii="Times New Roman" w:hAnsi="Times New Roman"/>
                <w:sz w:val="20"/>
                <w:u w:val="single"/>
              </w:rPr>
            </w:pPr>
            <w:r>
              <w:rPr>
                <w:rFonts w:ascii="Times New Roman" w:hAnsi="Times New Roman"/>
                <w:sz w:val="20"/>
                <w:u w:val="single"/>
              </w:rPr>
              <w:t>March 31, 2023</w:t>
            </w:r>
          </w:p>
        </w:tc>
        <w:tc>
          <w:tcPr>
            <w:tcW w:w="60" w:type="dxa"/>
            <w:tcBorders/>
            <w:shd w:fill="auto" w:val="clear"/>
            <w:vAlign w:val="bottom"/>
          </w:tcPr>
          <w:p>
            <w:pPr>
              <w:pStyle w:val="TableContents"/>
              <w:spacing w:before="0" w:after="283"/>
              <w:rPr/>
            </w:pPr>
            <w:r>
              <w:rPr/>
              <w:t> </w:t>
            </w:r>
          </w:p>
        </w:tc>
        <w:tc>
          <w:tcPr>
            <w:tcW w:w="649"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20" w:type="dxa"/>
            <w:gridSpan w:val="2"/>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1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20" w:type="dxa"/>
            <w:gridSpan w:val="2"/>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left"/>
              <w:rPr/>
            </w:pPr>
            <w:r>
              <w:rPr/>
              <w:t> </w:t>
            </w:r>
          </w:p>
        </w:tc>
      </w:tr>
      <w:tr>
        <w:trPr/>
        <w:tc>
          <w:tcPr>
            <w:tcW w:w="4985" w:type="dxa"/>
            <w:tcBorders/>
            <w:shd w:fill="auto"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Assets (liabilities) measured at fair value on a recurring basis:</w:t>
            </w:r>
          </w:p>
        </w:tc>
        <w:tc>
          <w:tcPr>
            <w:tcW w:w="60" w:type="dxa"/>
            <w:tcBorders/>
            <w:shd w:fill="auto" w:val="clear"/>
            <w:vAlign w:val="bottom"/>
          </w:tcPr>
          <w:p>
            <w:pPr>
              <w:pStyle w:val="TableContents"/>
              <w:spacing w:before="0" w:after="283"/>
              <w:rPr/>
            </w:pPr>
            <w:r>
              <w:rPr/>
              <w:t> </w:t>
            </w:r>
          </w:p>
        </w:tc>
        <w:tc>
          <w:tcPr>
            <w:tcW w:w="649"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20" w:type="dxa"/>
            <w:gridSpan w:val="2"/>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1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20" w:type="dxa"/>
            <w:gridSpan w:val="2"/>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left"/>
              <w:rPr/>
            </w:pPr>
            <w:r>
              <w:rPr/>
              <w:t> </w:t>
            </w:r>
          </w:p>
        </w:tc>
      </w:tr>
      <w:tr>
        <w:trPr/>
        <w:tc>
          <w:tcPr>
            <w:tcW w:w="4985" w:type="dxa"/>
            <w:tcBorders/>
            <w:shd w:fill="auto"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Securities available for sale:</w:t>
            </w:r>
          </w:p>
        </w:tc>
        <w:tc>
          <w:tcPr>
            <w:tcW w:w="60" w:type="dxa"/>
            <w:tcBorders/>
            <w:shd w:fill="auto" w:val="clear"/>
            <w:vAlign w:val="bottom"/>
          </w:tcPr>
          <w:p>
            <w:pPr>
              <w:pStyle w:val="TableContents"/>
              <w:spacing w:before="0" w:after="283"/>
              <w:rPr/>
            </w:pPr>
            <w:r>
              <w:rPr/>
              <w:t> </w:t>
            </w:r>
          </w:p>
        </w:tc>
        <w:tc>
          <w:tcPr>
            <w:tcW w:w="649"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20" w:type="dxa"/>
            <w:gridSpan w:val="2"/>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71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20" w:type="dxa"/>
            <w:gridSpan w:val="2"/>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left"/>
              <w:rPr/>
            </w:pPr>
            <w:r>
              <w:rPr/>
              <w:t> </w:t>
            </w:r>
          </w:p>
        </w:tc>
      </w:tr>
      <w:tr>
        <w:trPr/>
        <w:tc>
          <w:tcPr>
            <w:tcW w:w="4985" w:type="dxa"/>
            <w:tcBorders/>
            <w:shd w:fill="CCEEFF" w:val="clear"/>
            <w:vAlign w:val="bottom"/>
          </w:tcPr>
          <w:p>
            <w:pPr>
              <w:pStyle w:val="TableContents"/>
              <w:spacing w:before="0" w:after="0"/>
              <w:ind w:left="288" w:right="0" w:hanging="144"/>
              <w:jc w:val="left"/>
              <w:rPr>
                <w:rFonts w:ascii="Times New Roman" w:hAnsi="Times New Roman"/>
                <w:sz w:val="20"/>
              </w:rPr>
            </w:pPr>
            <w:r>
              <w:rPr>
                <w:rFonts w:ascii="Times New Roman" w:hAnsi="Times New Roman"/>
                <w:sz w:val="20"/>
              </w:rPr>
              <w:t>State and municipal</w:t>
            </w:r>
          </w:p>
        </w:tc>
        <w:tc>
          <w:tcPr>
            <w:tcW w:w="60" w:type="dxa"/>
            <w:tcBorders/>
            <w:shd w:fill="CCEEFF" w:val="clear"/>
            <w:vAlign w:val="bottom"/>
          </w:tcPr>
          <w:p>
            <w:pPr>
              <w:pStyle w:val="TableContents"/>
              <w:spacing w:before="0" w:after="283"/>
              <w:jc w:val="right"/>
              <w:rPr/>
            </w:pPr>
            <w:r>
              <w:rPr/>
              <w:t> </w:t>
            </w:r>
          </w:p>
        </w:tc>
        <w:tc>
          <w:tcPr>
            <w:tcW w:w="210"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439"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231,177</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231,177</w:t>
            </w:r>
          </w:p>
        </w:tc>
        <w:tc>
          <w:tcPr>
            <w:tcW w:w="95" w:type="dxa"/>
            <w:tcBorders/>
            <w:shd w:fill="CCEEFF" w:val="clear"/>
            <w:vAlign w:val="bottom"/>
          </w:tcPr>
          <w:p>
            <w:pPr>
              <w:pStyle w:val="TableContents"/>
              <w:spacing w:before="0" w:after="283"/>
              <w:jc w:val="left"/>
              <w:rPr/>
            </w:pPr>
            <w:r>
              <w:rPr/>
              <w:t> </w:t>
            </w:r>
          </w:p>
        </w:tc>
      </w:tr>
      <w:tr>
        <w:trPr/>
        <w:tc>
          <w:tcPr>
            <w:tcW w:w="4985" w:type="dxa"/>
            <w:tcBorders/>
            <w:shd w:fill="auto" w:val="clear"/>
            <w:vAlign w:val="bottom"/>
          </w:tcPr>
          <w:p>
            <w:pPr>
              <w:pStyle w:val="TableContents"/>
              <w:spacing w:before="0" w:after="0"/>
              <w:ind w:left="288" w:right="0" w:hanging="144"/>
              <w:jc w:val="left"/>
              <w:rPr>
                <w:rFonts w:ascii="Times New Roman" w:hAnsi="Times New Roman"/>
                <w:sz w:val="20"/>
              </w:rPr>
            </w:pPr>
            <w:r>
              <w:rPr>
                <w:rFonts w:ascii="Times New Roman" w:hAnsi="Times New Roman"/>
                <w:sz w:val="20"/>
              </w:rPr>
              <w:t>Residential mortgage-backed securities</w:t>
            </w:r>
          </w:p>
        </w:tc>
        <w:tc>
          <w:tcPr>
            <w:tcW w:w="60" w:type="dxa"/>
            <w:tcBorders/>
            <w:shd w:fill="auto" w:val="clear"/>
            <w:vAlign w:val="bottom"/>
          </w:tcPr>
          <w:p>
            <w:pPr>
              <w:pStyle w:val="TableContents"/>
              <w:spacing w:before="0" w:after="283"/>
              <w:jc w:val="right"/>
              <w:rPr/>
            </w:pPr>
            <w:r>
              <w:rPr/>
              <w:t> </w:t>
            </w:r>
          </w:p>
        </w:tc>
        <w:tc>
          <w:tcPr>
            <w:tcW w:w="210" w:type="dxa"/>
            <w:tcBorders/>
            <w:shd w:fill="auto" w:val="clear"/>
            <w:vAlign w:val="bottom"/>
          </w:tcPr>
          <w:p>
            <w:pPr>
              <w:pStyle w:val="TableContents"/>
              <w:spacing w:before="0" w:after="283"/>
              <w:jc w:val="left"/>
              <w:rPr/>
            </w:pPr>
            <w:r>
              <w:rPr/>
              <w:t> </w:t>
            </w:r>
          </w:p>
        </w:tc>
        <w:tc>
          <w:tcPr>
            <w:tcW w:w="439" w:type="dxa"/>
            <w:tcBorders/>
            <w:shd w:fill="auto" w:val="clear"/>
            <w:vAlign w:val="bottom"/>
          </w:tcPr>
          <w:p>
            <w:pPr>
              <w:pStyle w:val="TableContents"/>
              <w:spacing w:before="0" w:after="0"/>
              <w:jc w:val="right"/>
              <w:rPr/>
            </w:pPr>
            <w:r>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327,523</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590" w:type="dxa"/>
            <w:tcBorders/>
            <w:shd w:fill="auto" w:val="clear"/>
            <w:vAlign w:val="bottom"/>
          </w:tcPr>
          <w:p>
            <w:pPr>
              <w:pStyle w:val="TableContents"/>
              <w:spacing w:before="0" w:after="0"/>
              <w:jc w:val="right"/>
              <w:rPr/>
            </w:pPr>
            <w:r>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327,523</w:t>
            </w:r>
          </w:p>
        </w:tc>
        <w:tc>
          <w:tcPr>
            <w:tcW w:w="95" w:type="dxa"/>
            <w:tcBorders/>
            <w:shd w:fill="auto" w:val="clear"/>
            <w:vAlign w:val="bottom"/>
          </w:tcPr>
          <w:p>
            <w:pPr>
              <w:pStyle w:val="TableContents"/>
              <w:spacing w:before="0" w:after="283"/>
              <w:jc w:val="left"/>
              <w:rPr/>
            </w:pPr>
            <w:r>
              <w:rPr/>
              <w:t> </w:t>
            </w:r>
          </w:p>
        </w:tc>
      </w:tr>
      <w:tr>
        <w:trPr/>
        <w:tc>
          <w:tcPr>
            <w:tcW w:w="4985" w:type="dxa"/>
            <w:tcBorders/>
            <w:shd w:fill="CCEEFF" w:val="clear"/>
            <w:vAlign w:val="bottom"/>
          </w:tcPr>
          <w:p>
            <w:pPr>
              <w:pStyle w:val="TableContents"/>
              <w:spacing w:before="0" w:after="0"/>
              <w:ind w:left="180" w:right="0" w:hanging="0"/>
              <w:rPr/>
            </w:pPr>
            <w:r>
              <w:rPr/>
              <w:t>Commercial mortgage-backed securities</w:t>
            </w:r>
          </w:p>
        </w:tc>
        <w:tc>
          <w:tcPr>
            <w:tcW w:w="60" w:type="dxa"/>
            <w:tcBorders/>
            <w:shd w:fill="CCEEFF" w:val="clear"/>
            <w:vAlign w:val="bottom"/>
          </w:tcPr>
          <w:p>
            <w:pPr>
              <w:pStyle w:val="TableContents"/>
              <w:spacing w:before="0" w:after="283"/>
              <w:jc w:val="right"/>
              <w:rPr/>
            </w:pPr>
            <w:r>
              <w:rPr/>
              <w:t> </w:t>
            </w:r>
          </w:p>
        </w:tc>
        <w:tc>
          <w:tcPr>
            <w:tcW w:w="210" w:type="dxa"/>
            <w:tcBorders/>
            <w:shd w:fill="CCEEFF" w:val="clear"/>
            <w:vAlign w:val="bottom"/>
          </w:tcPr>
          <w:p>
            <w:pPr>
              <w:pStyle w:val="TableContents"/>
              <w:spacing w:before="0" w:after="283"/>
              <w:jc w:val="left"/>
              <w:rPr/>
            </w:pPr>
            <w:r>
              <w:rPr/>
              <w:t> </w:t>
            </w:r>
          </w:p>
        </w:tc>
        <w:tc>
          <w:tcPr>
            <w:tcW w:w="439"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283"/>
              <w:jc w:val="right"/>
              <w:rPr/>
            </w:pPr>
            <w:r>
              <w:rPr/>
              <w:t>42,667</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283"/>
              <w:jc w:val="right"/>
              <w:rPr/>
            </w:pPr>
            <w:r>
              <w:rPr/>
              <w:t>42,667</w:t>
            </w:r>
          </w:p>
        </w:tc>
        <w:tc>
          <w:tcPr>
            <w:tcW w:w="95" w:type="dxa"/>
            <w:tcBorders/>
            <w:shd w:fill="CCEEFF" w:val="clear"/>
            <w:vAlign w:val="bottom"/>
          </w:tcPr>
          <w:p>
            <w:pPr>
              <w:pStyle w:val="TableContents"/>
              <w:spacing w:before="0" w:after="283"/>
              <w:jc w:val="left"/>
              <w:rPr/>
            </w:pPr>
            <w:r>
              <w:rPr/>
              <w:t> </w:t>
            </w:r>
          </w:p>
        </w:tc>
      </w:tr>
      <w:tr>
        <w:trPr/>
        <w:tc>
          <w:tcPr>
            <w:tcW w:w="4985" w:type="dxa"/>
            <w:tcBorders/>
            <w:shd w:fill="auto" w:val="clear"/>
            <w:vAlign w:val="bottom"/>
          </w:tcPr>
          <w:p>
            <w:pPr>
              <w:pStyle w:val="TableContents"/>
              <w:spacing w:before="0" w:after="0"/>
              <w:ind w:left="288" w:right="0" w:hanging="144"/>
              <w:jc w:val="left"/>
              <w:rPr>
                <w:rFonts w:ascii="Times New Roman" w:hAnsi="Times New Roman"/>
                <w:sz w:val="20"/>
              </w:rPr>
            </w:pPr>
            <w:r>
              <w:rPr>
                <w:rFonts w:ascii="Times New Roman" w:hAnsi="Times New Roman"/>
                <w:sz w:val="20"/>
              </w:rPr>
              <w:t>Collateralized mortgage obligations</w:t>
            </w:r>
          </w:p>
        </w:tc>
        <w:tc>
          <w:tcPr>
            <w:tcW w:w="60" w:type="dxa"/>
            <w:tcBorders/>
            <w:shd w:fill="auto" w:val="clear"/>
            <w:vAlign w:val="bottom"/>
          </w:tcPr>
          <w:p>
            <w:pPr>
              <w:pStyle w:val="TableContents"/>
              <w:spacing w:before="0" w:after="283"/>
              <w:jc w:val="right"/>
              <w:rPr/>
            </w:pPr>
            <w:r>
              <w:rPr/>
              <w:t> </w:t>
            </w:r>
          </w:p>
        </w:tc>
        <w:tc>
          <w:tcPr>
            <w:tcW w:w="210" w:type="dxa"/>
            <w:tcBorders/>
            <w:shd w:fill="auto" w:val="clear"/>
            <w:vAlign w:val="bottom"/>
          </w:tcPr>
          <w:p>
            <w:pPr>
              <w:pStyle w:val="TableContents"/>
              <w:spacing w:before="0" w:after="283"/>
              <w:jc w:val="left"/>
              <w:rPr/>
            </w:pPr>
            <w:r>
              <w:rPr/>
              <w:t> </w:t>
            </w:r>
          </w:p>
        </w:tc>
        <w:tc>
          <w:tcPr>
            <w:tcW w:w="439" w:type="dxa"/>
            <w:tcBorders/>
            <w:shd w:fill="auto" w:val="clear"/>
            <w:vAlign w:val="bottom"/>
          </w:tcPr>
          <w:p>
            <w:pPr>
              <w:pStyle w:val="TableContents"/>
              <w:spacing w:before="0" w:after="0"/>
              <w:jc w:val="right"/>
              <w:rPr/>
            </w:pPr>
            <w:r>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67,551</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590" w:type="dxa"/>
            <w:tcBorders/>
            <w:shd w:fill="auto" w:val="clear"/>
            <w:vAlign w:val="bottom"/>
          </w:tcPr>
          <w:p>
            <w:pPr>
              <w:pStyle w:val="TableContents"/>
              <w:spacing w:before="0" w:after="0"/>
              <w:jc w:val="right"/>
              <w:rPr/>
            </w:pPr>
            <w:r>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67,551</w:t>
            </w:r>
          </w:p>
        </w:tc>
        <w:tc>
          <w:tcPr>
            <w:tcW w:w="95" w:type="dxa"/>
            <w:tcBorders/>
            <w:shd w:fill="auto" w:val="clear"/>
            <w:vAlign w:val="bottom"/>
          </w:tcPr>
          <w:p>
            <w:pPr>
              <w:pStyle w:val="TableContents"/>
              <w:spacing w:before="0" w:after="283"/>
              <w:jc w:val="left"/>
              <w:rPr/>
            </w:pPr>
            <w:r>
              <w:rPr/>
              <w:t> </w:t>
            </w:r>
          </w:p>
        </w:tc>
      </w:tr>
      <w:tr>
        <w:trPr/>
        <w:tc>
          <w:tcPr>
            <w:tcW w:w="4985" w:type="dxa"/>
            <w:tcBorders/>
            <w:shd w:fill="CCEEFF" w:val="clear"/>
            <w:vAlign w:val="bottom"/>
          </w:tcPr>
          <w:p>
            <w:pPr>
              <w:pStyle w:val="TableContents"/>
              <w:spacing w:before="0" w:after="0"/>
              <w:ind w:left="288" w:right="0" w:hanging="144"/>
              <w:jc w:val="left"/>
              <w:rPr>
                <w:rFonts w:ascii="Times New Roman" w:hAnsi="Times New Roman"/>
                <w:sz w:val="20"/>
              </w:rPr>
            </w:pPr>
            <w:r>
              <w:rPr>
                <w:rFonts w:ascii="Times New Roman" w:hAnsi="Times New Roman"/>
                <w:sz w:val="20"/>
              </w:rPr>
              <w:t>Asset-backed and other amortizing securities</w:t>
            </w:r>
          </w:p>
        </w:tc>
        <w:tc>
          <w:tcPr>
            <w:tcW w:w="60" w:type="dxa"/>
            <w:tcBorders/>
            <w:shd w:fill="CCEEFF" w:val="clear"/>
            <w:vAlign w:val="bottom"/>
          </w:tcPr>
          <w:p>
            <w:pPr>
              <w:pStyle w:val="TableContents"/>
              <w:spacing w:before="0" w:after="283"/>
              <w:jc w:val="right"/>
              <w:rPr/>
            </w:pPr>
            <w:r>
              <w:rPr/>
              <w:t> </w:t>
            </w:r>
          </w:p>
        </w:tc>
        <w:tc>
          <w:tcPr>
            <w:tcW w:w="210" w:type="dxa"/>
            <w:tcBorders/>
            <w:shd w:fill="CCEEFF" w:val="clear"/>
            <w:vAlign w:val="bottom"/>
          </w:tcPr>
          <w:p>
            <w:pPr>
              <w:pStyle w:val="TableContents"/>
              <w:spacing w:before="0" w:after="283"/>
              <w:jc w:val="left"/>
              <w:rPr/>
            </w:pPr>
            <w:r>
              <w:rPr/>
              <w:t> </w:t>
            </w:r>
          </w:p>
        </w:tc>
        <w:tc>
          <w:tcPr>
            <w:tcW w:w="439"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18,669</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18,669</w:t>
            </w:r>
          </w:p>
        </w:tc>
        <w:tc>
          <w:tcPr>
            <w:tcW w:w="95" w:type="dxa"/>
            <w:tcBorders/>
            <w:shd w:fill="CCEEFF" w:val="clear"/>
            <w:vAlign w:val="bottom"/>
          </w:tcPr>
          <w:p>
            <w:pPr>
              <w:pStyle w:val="TableContents"/>
              <w:spacing w:before="0" w:after="283"/>
              <w:jc w:val="left"/>
              <w:rPr/>
            </w:pPr>
            <w:r>
              <w:rPr/>
              <w:t> </w:t>
            </w:r>
          </w:p>
        </w:tc>
      </w:tr>
      <w:tr>
        <w:trPr/>
        <w:tc>
          <w:tcPr>
            <w:tcW w:w="4985" w:type="dxa"/>
            <w:tcBorders/>
            <w:shd w:fill="auto" w:val="clear"/>
            <w:vAlign w:val="bottom"/>
          </w:tcPr>
          <w:p>
            <w:pPr>
              <w:pStyle w:val="TableContents"/>
              <w:spacing w:before="0" w:after="0"/>
              <w:ind w:left="288" w:right="0" w:hanging="144"/>
              <w:jc w:val="left"/>
              <w:rPr>
                <w:rFonts w:ascii="Times New Roman" w:hAnsi="Times New Roman"/>
                <w:sz w:val="20"/>
              </w:rPr>
            </w:pPr>
            <w:r>
              <w:rPr>
                <w:rFonts w:ascii="Times New Roman" w:hAnsi="Times New Roman"/>
                <w:sz w:val="20"/>
              </w:rPr>
              <w:t>Other securities</w:t>
            </w:r>
          </w:p>
        </w:tc>
        <w:tc>
          <w:tcPr>
            <w:tcW w:w="60" w:type="dxa"/>
            <w:tcBorders/>
            <w:shd w:fill="auto" w:val="clear"/>
            <w:vAlign w:val="bottom"/>
          </w:tcPr>
          <w:p>
            <w:pPr>
              <w:pStyle w:val="TableContents"/>
              <w:spacing w:before="0" w:after="283"/>
              <w:jc w:val="right"/>
              <w:rPr/>
            </w:pPr>
            <w:r>
              <w:rPr/>
              <w:t> </w:t>
            </w:r>
          </w:p>
        </w:tc>
        <w:tc>
          <w:tcPr>
            <w:tcW w:w="210" w:type="dxa"/>
            <w:tcBorders/>
            <w:shd w:fill="auto" w:val="clear"/>
            <w:vAlign w:val="bottom"/>
          </w:tcPr>
          <w:p>
            <w:pPr>
              <w:pStyle w:val="TableContents"/>
              <w:spacing w:before="0" w:after="283"/>
              <w:jc w:val="left"/>
              <w:rPr/>
            </w:pPr>
            <w:r>
              <w:rPr/>
              <w:t> </w:t>
            </w:r>
          </w:p>
        </w:tc>
        <w:tc>
          <w:tcPr>
            <w:tcW w:w="439" w:type="dxa"/>
            <w:tcBorders/>
            <w:shd w:fill="auto" w:val="clear"/>
            <w:vAlign w:val="bottom"/>
          </w:tcPr>
          <w:p>
            <w:pPr>
              <w:pStyle w:val="TableContents"/>
              <w:spacing w:before="0" w:after="0"/>
              <w:jc w:val="right"/>
              <w:rPr/>
            </w:pPr>
            <w:r>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10,992</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590" w:type="dxa"/>
            <w:tcBorders/>
            <w:shd w:fill="auto" w:val="clear"/>
            <w:vAlign w:val="bottom"/>
          </w:tcPr>
          <w:p>
            <w:pPr>
              <w:pStyle w:val="TableContents"/>
              <w:spacing w:before="0" w:after="0"/>
              <w:jc w:val="right"/>
              <w:rPr/>
            </w:pPr>
            <w:r>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10,992</w:t>
            </w:r>
          </w:p>
        </w:tc>
        <w:tc>
          <w:tcPr>
            <w:tcW w:w="95" w:type="dxa"/>
            <w:tcBorders/>
            <w:shd w:fill="auto" w:val="clear"/>
            <w:vAlign w:val="bottom"/>
          </w:tcPr>
          <w:p>
            <w:pPr>
              <w:pStyle w:val="TableContents"/>
              <w:spacing w:before="0" w:after="283"/>
              <w:jc w:val="left"/>
              <w:rPr/>
            </w:pPr>
            <w:r>
              <w:rPr/>
              <w:t> </w:t>
            </w:r>
          </w:p>
        </w:tc>
      </w:tr>
      <w:tr>
        <w:trPr/>
        <w:tc>
          <w:tcPr>
            <w:tcW w:w="4985" w:type="dxa"/>
            <w:tcBorders/>
            <w:shd w:fill="CCEE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Loans held for sale (mandatory)</w:t>
            </w:r>
          </w:p>
        </w:tc>
        <w:tc>
          <w:tcPr>
            <w:tcW w:w="60" w:type="dxa"/>
            <w:tcBorders/>
            <w:shd w:fill="CCEEFF" w:val="clear"/>
            <w:vAlign w:val="bottom"/>
          </w:tcPr>
          <w:p>
            <w:pPr>
              <w:pStyle w:val="TableContents"/>
              <w:spacing w:before="0" w:after="283"/>
              <w:jc w:val="right"/>
              <w:rPr/>
            </w:pPr>
            <w:r>
              <w:rPr/>
              <w:t> </w:t>
            </w:r>
          </w:p>
        </w:tc>
        <w:tc>
          <w:tcPr>
            <w:tcW w:w="210" w:type="dxa"/>
            <w:tcBorders/>
            <w:shd w:fill="CCEEFF" w:val="clear"/>
            <w:vAlign w:val="bottom"/>
          </w:tcPr>
          <w:p>
            <w:pPr>
              <w:pStyle w:val="TableContents"/>
              <w:spacing w:before="0" w:after="283"/>
              <w:jc w:val="left"/>
              <w:rPr/>
            </w:pPr>
            <w:r>
              <w:rPr/>
              <w:t> </w:t>
            </w:r>
          </w:p>
        </w:tc>
        <w:tc>
          <w:tcPr>
            <w:tcW w:w="439"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11,576</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11,576</w:t>
            </w:r>
          </w:p>
        </w:tc>
        <w:tc>
          <w:tcPr>
            <w:tcW w:w="95" w:type="dxa"/>
            <w:tcBorders/>
            <w:shd w:fill="CCEEFF" w:val="clear"/>
            <w:vAlign w:val="bottom"/>
          </w:tcPr>
          <w:p>
            <w:pPr>
              <w:pStyle w:val="TableContents"/>
              <w:spacing w:before="0" w:after="283"/>
              <w:jc w:val="left"/>
              <w:rPr/>
            </w:pPr>
            <w:r>
              <w:rPr/>
              <w:t> </w:t>
            </w:r>
          </w:p>
        </w:tc>
      </w:tr>
      <w:tr>
        <w:trPr/>
        <w:tc>
          <w:tcPr>
            <w:tcW w:w="4985" w:type="dxa"/>
            <w:tcBorders/>
            <w:shd w:fill="auto"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Mortgage servicing rights</w:t>
            </w:r>
          </w:p>
        </w:tc>
        <w:tc>
          <w:tcPr>
            <w:tcW w:w="60" w:type="dxa"/>
            <w:tcBorders/>
            <w:shd w:fill="auto" w:val="clear"/>
            <w:vAlign w:val="bottom"/>
          </w:tcPr>
          <w:p>
            <w:pPr>
              <w:pStyle w:val="TableContents"/>
              <w:spacing w:before="0" w:after="283"/>
              <w:jc w:val="right"/>
              <w:rPr/>
            </w:pPr>
            <w:r>
              <w:rPr/>
              <w:t> </w:t>
            </w:r>
          </w:p>
        </w:tc>
        <w:tc>
          <w:tcPr>
            <w:tcW w:w="210" w:type="dxa"/>
            <w:tcBorders/>
            <w:shd w:fill="auto" w:val="clear"/>
            <w:vAlign w:val="bottom"/>
          </w:tcPr>
          <w:p>
            <w:pPr>
              <w:pStyle w:val="TableContents"/>
              <w:spacing w:before="0" w:after="283"/>
              <w:jc w:val="left"/>
              <w:rPr/>
            </w:pPr>
            <w:r>
              <w:rPr/>
              <w:t> </w:t>
            </w:r>
          </w:p>
        </w:tc>
        <w:tc>
          <w:tcPr>
            <w:tcW w:w="439" w:type="dxa"/>
            <w:tcBorders/>
            <w:shd w:fill="auto" w:val="clear"/>
            <w:vAlign w:val="bottom"/>
          </w:tcPr>
          <w:p>
            <w:pPr>
              <w:pStyle w:val="TableContents"/>
              <w:spacing w:before="0" w:after="0"/>
              <w:jc w:val="right"/>
              <w:rPr/>
            </w:pPr>
            <w:r>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0"/>
              <w:jc w:val="right"/>
              <w:rPr/>
            </w:pPr>
            <w:r>
              <w:rPr/>
              <w:t>—</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590"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25,795</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25,795</w:t>
            </w:r>
          </w:p>
        </w:tc>
        <w:tc>
          <w:tcPr>
            <w:tcW w:w="95" w:type="dxa"/>
            <w:tcBorders/>
            <w:shd w:fill="auto" w:val="clear"/>
            <w:vAlign w:val="bottom"/>
          </w:tcPr>
          <w:p>
            <w:pPr>
              <w:pStyle w:val="TableContents"/>
              <w:spacing w:before="0" w:after="283"/>
              <w:jc w:val="left"/>
              <w:rPr/>
            </w:pPr>
            <w:r>
              <w:rPr/>
              <w:t> </w:t>
            </w:r>
          </w:p>
        </w:tc>
      </w:tr>
      <w:tr>
        <w:trPr/>
        <w:tc>
          <w:tcPr>
            <w:tcW w:w="4985" w:type="dxa"/>
            <w:tcBorders/>
            <w:shd w:fill="CCEE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Asset derivatives</w:t>
            </w:r>
          </w:p>
        </w:tc>
        <w:tc>
          <w:tcPr>
            <w:tcW w:w="60" w:type="dxa"/>
            <w:tcBorders/>
            <w:shd w:fill="CCEEFF" w:val="clear"/>
            <w:vAlign w:val="bottom"/>
          </w:tcPr>
          <w:p>
            <w:pPr>
              <w:pStyle w:val="TableContents"/>
              <w:spacing w:before="0" w:after="283"/>
              <w:jc w:val="right"/>
              <w:rPr/>
            </w:pPr>
            <w:r>
              <w:rPr/>
              <w:t> </w:t>
            </w:r>
          </w:p>
        </w:tc>
        <w:tc>
          <w:tcPr>
            <w:tcW w:w="210" w:type="dxa"/>
            <w:tcBorders/>
            <w:shd w:fill="CCEEFF" w:val="clear"/>
            <w:vAlign w:val="bottom"/>
          </w:tcPr>
          <w:p>
            <w:pPr>
              <w:pStyle w:val="TableContents"/>
              <w:spacing w:before="0" w:after="283"/>
              <w:jc w:val="left"/>
              <w:rPr/>
            </w:pPr>
            <w:r>
              <w:rPr/>
              <w:t> </w:t>
            </w:r>
          </w:p>
        </w:tc>
        <w:tc>
          <w:tcPr>
            <w:tcW w:w="439"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18,931</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18,931</w:t>
            </w:r>
          </w:p>
        </w:tc>
        <w:tc>
          <w:tcPr>
            <w:tcW w:w="95" w:type="dxa"/>
            <w:tcBorders/>
            <w:shd w:fill="CCEEFF" w:val="clear"/>
            <w:vAlign w:val="bottom"/>
          </w:tcPr>
          <w:p>
            <w:pPr>
              <w:pStyle w:val="TableContents"/>
              <w:spacing w:before="0" w:after="283"/>
              <w:jc w:val="left"/>
              <w:rPr/>
            </w:pPr>
            <w:r>
              <w:rPr/>
              <w:t> </w:t>
            </w:r>
          </w:p>
        </w:tc>
      </w:tr>
      <w:tr>
        <w:trPr/>
        <w:tc>
          <w:tcPr>
            <w:tcW w:w="4985" w:type="dxa"/>
            <w:tcBorders/>
            <w:shd w:fill="auto"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Liability derivatives</w:t>
            </w:r>
          </w:p>
        </w:tc>
        <w:tc>
          <w:tcPr>
            <w:tcW w:w="60" w:type="dxa"/>
            <w:tcBorders/>
            <w:shd w:fill="auto" w:val="clear"/>
            <w:vAlign w:val="bottom"/>
          </w:tcPr>
          <w:p>
            <w:pPr>
              <w:pStyle w:val="TableContents"/>
              <w:spacing w:before="0" w:after="283"/>
              <w:jc w:val="right"/>
              <w:rPr/>
            </w:pPr>
            <w:r>
              <w:rPr/>
              <w:t> </w:t>
            </w:r>
          </w:p>
        </w:tc>
        <w:tc>
          <w:tcPr>
            <w:tcW w:w="210" w:type="dxa"/>
            <w:tcBorders/>
            <w:shd w:fill="auto" w:val="clear"/>
            <w:vAlign w:val="bottom"/>
          </w:tcPr>
          <w:p>
            <w:pPr>
              <w:pStyle w:val="TableContents"/>
              <w:spacing w:before="0" w:after="283"/>
              <w:jc w:val="left"/>
              <w:rPr/>
            </w:pPr>
            <w:r>
              <w:rPr/>
              <w:t> </w:t>
            </w:r>
          </w:p>
        </w:tc>
        <w:tc>
          <w:tcPr>
            <w:tcW w:w="439" w:type="dxa"/>
            <w:tcBorders/>
            <w:shd w:fill="auto" w:val="clear"/>
            <w:vAlign w:val="bottom"/>
          </w:tcPr>
          <w:p>
            <w:pPr>
              <w:pStyle w:val="TableContents"/>
              <w:spacing w:before="0" w:after="0"/>
              <w:jc w:val="right"/>
              <w:rPr/>
            </w:pPr>
            <w:r>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(409</w:t>
            </w:r>
          </w:p>
        </w:tc>
        <w:tc>
          <w:tcPr>
            <w:tcW w:w="80"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590" w:type="dxa"/>
            <w:tcBorders/>
            <w:shd w:fill="auto" w:val="clear"/>
            <w:vAlign w:val="bottom"/>
          </w:tcPr>
          <w:p>
            <w:pPr>
              <w:pStyle w:val="TableContents"/>
              <w:spacing w:before="0" w:after="0"/>
              <w:jc w:val="right"/>
              <w:rPr/>
            </w:pPr>
            <w:r>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(409</w:t>
            </w:r>
          </w:p>
        </w:tc>
        <w:tc>
          <w:tcPr>
            <w:tcW w:w="95"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r>
      <w:tr>
        <w:trPr/>
        <w:tc>
          <w:tcPr>
            <w:tcW w:w="498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210" w:type="dxa"/>
            <w:tcBorders/>
            <w:shd w:fill="CCEEFF" w:val="clear"/>
            <w:vAlign w:val="bottom"/>
          </w:tcPr>
          <w:p>
            <w:pPr>
              <w:pStyle w:val="TableContents"/>
              <w:spacing w:before="0" w:after="283"/>
              <w:jc w:val="left"/>
              <w:rPr/>
            </w:pPr>
            <w:r>
              <w:rPr/>
              <w:t> </w:t>
            </w:r>
          </w:p>
        </w:tc>
        <w:tc>
          <w:tcPr>
            <w:tcW w:w="439"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r>
      <w:tr>
        <w:trPr/>
        <w:tc>
          <w:tcPr>
            <w:tcW w:w="4985" w:type="dxa"/>
            <w:tcBorders/>
            <w:shd w:fill="auto"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Assets measured at fair value on a non-recurring basis:</w:t>
            </w:r>
          </w:p>
        </w:tc>
        <w:tc>
          <w:tcPr>
            <w:tcW w:w="60" w:type="dxa"/>
            <w:tcBorders/>
            <w:shd w:fill="auto" w:val="clear"/>
            <w:vAlign w:val="bottom"/>
          </w:tcPr>
          <w:p>
            <w:pPr>
              <w:pStyle w:val="TableContents"/>
              <w:spacing w:before="0" w:after="283"/>
              <w:jc w:val="right"/>
              <w:rPr/>
            </w:pPr>
            <w:r>
              <w:rPr/>
              <w:t> </w:t>
            </w:r>
          </w:p>
        </w:tc>
        <w:tc>
          <w:tcPr>
            <w:tcW w:w="210" w:type="dxa"/>
            <w:tcBorders/>
            <w:shd w:fill="auto" w:val="clear"/>
            <w:vAlign w:val="bottom"/>
          </w:tcPr>
          <w:p>
            <w:pPr>
              <w:pStyle w:val="TableContents"/>
              <w:spacing w:before="0" w:after="283"/>
              <w:jc w:val="left"/>
              <w:rPr/>
            </w:pPr>
            <w:r>
              <w:rPr/>
              <w:t> </w:t>
            </w:r>
          </w:p>
        </w:tc>
        <w:tc>
          <w:tcPr>
            <w:tcW w:w="439"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59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r>
      <w:tr>
        <w:trPr/>
        <w:tc>
          <w:tcPr>
            <w:tcW w:w="4985" w:type="dxa"/>
            <w:tcBorders/>
            <w:shd w:fill="CCEE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Loans held for investment</w:t>
            </w:r>
          </w:p>
        </w:tc>
        <w:tc>
          <w:tcPr>
            <w:tcW w:w="60" w:type="dxa"/>
            <w:tcBorders/>
            <w:shd w:fill="CCEEFF" w:val="clear"/>
            <w:vAlign w:val="bottom"/>
          </w:tcPr>
          <w:p>
            <w:pPr>
              <w:pStyle w:val="TableContents"/>
              <w:spacing w:before="0" w:after="283"/>
              <w:jc w:val="right"/>
              <w:rPr/>
            </w:pPr>
            <w:r>
              <w:rPr/>
              <w:t> </w:t>
            </w:r>
          </w:p>
        </w:tc>
        <w:tc>
          <w:tcPr>
            <w:tcW w:w="210" w:type="dxa"/>
            <w:tcBorders/>
            <w:shd w:fill="CCEEFF" w:val="clear"/>
            <w:vAlign w:val="bottom"/>
          </w:tcPr>
          <w:p>
            <w:pPr>
              <w:pStyle w:val="TableContents"/>
              <w:spacing w:before="0" w:after="283"/>
              <w:jc w:val="left"/>
              <w:rPr/>
            </w:pPr>
            <w:r>
              <w:rPr/>
              <w:t> </w:t>
            </w:r>
          </w:p>
        </w:tc>
        <w:tc>
          <w:tcPr>
            <w:tcW w:w="439"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0"/>
              <w:jc w:val="right"/>
              <w:rPr/>
            </w:pPr>
            <w:r>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4,161</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4,161</w:t>
            </w:r>
          </w:p>
        </w:tc>
        <w:tc>
          <w:tcPr>
            <w:tcW w:w="95" w:type="dxa"/>
            <w:tcBorders/>
            <w:shd w:fill="CCEEFF" w:val="clear"/>
            <w:vAlign w:val="bottom"/>
          </w:tcPr>
          <w:p>
            <w:pPr>
              <w:pStyle w:val="TableContents"/>
              <w:spacing w:before="0" w:after="283"/>
              <w:jc w:val="left"/>
              <w:rPr/>
            </w:pPr>
            <w:r>
              <w:rPr/>
              <w:t> </w:t>
            </w:r>
          </w:p>
        </w:tc>
      </w:tr>
      <w:tr>
        <w:trPr/>
        <w:tc>
          <w:tcPr>
            <w:tcW w:w="498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210" w:type="dxa"/>
            <w:tcBorders/>
            <w:shd w:fill="auto" w:val="clear"/>
            <w:vAlign w:val="bottom"/>
          </w:tcPr>
          <w:p>
            <w:pPr>
              <w:pStyle w:val="TableContents"/>
              <w:spacing w:before="0" w:after="283"/>
              <w:jc w:val="left"/>
              <w:rPr/>
            </w:pPr>
            <w:r>
              <w:rPr/>
              <w:t> </w:t>
            </w:r>
          </w:p>
        </w:tc>
        <w:tc>
          <w:tcPr>
            <w:tcW w:w="439"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59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r>
      <w:tr>
        <w:trPr/>
        <w:tc>
          <w:tcPr>
            <w:tcW w:w="4985" w:type="dxa"/>
            <w:tcBorders/>
            <w:shd w:fill="CCEEFF" w:val="clear"/>
            <w:vAlign w:val="bottom"/>
          </w:tcPr>
          <w:p>
            <w:pPr>
              <w:pStyle w:val="TableContents"/>
              <w:spacing w:before="0" w:after="0"/>
              <w:ind w:left="180" w:right="0" w:hanging="0"/>
              <w:jc w:val="left"/>
              <w:rPr>
                <w:rFonts w:ascii="Times New Roman" w:hAnsi="Times New Roman"/>
                <w:sz w:val="20"/>
                <w:u w:val="single"/>
              </w:rPr>
            </w:pPr>
            <w:r>
              <w:rPr>
                <w:rFonts w:ascii="Times New Roman" w:hAnsi="Times New Roman"/>
                <w:sz w:val="20"/>
                <w:u w:val="single"/>
              </w:rPr>
              <w:t>December 31, 2022</w:t>
            </w:r>
          </w:p>
        </w:tc>
        <w:tc>
          <w:tcPr>
            <w:tcW w:w="60" w:type="dxa"/>
            <w:tcBorders/>
            <w:shd w:fill="CCEEFF" w:val="clear"/>
            <w:vAlign w:val="bottom"/>
          </w:tcPr>
          <w:p>
            <w:pPr>
              <w:pStyle w:val="TableContents"/>
              <w:spacing w:before="0" w:after="283"/>
              <w:jc w:val="right"/>
              <w:rPr/>
            </w:pPr>
            <w:r>
              <w:rPr/>
              <w:t> </w:t>
            </w:r>
          </w:p>
        </w:tc>
        <w:tc>
          <w:tcPr>
            <w:tcW w:w="210" w:type="dxa"/>
            <w:tcBorders/>
            <w:shd w:fill="CCEEFF" w:val="clear"/>
            <w:vAlign w:val="bottom"/>
          </w:tcPr>
          <w:p>
            <w:pPr>
              <w:pStyle w:val="TableContents"/>
              <w:spacing w:before="0" w:after="283"/>
              <w:jc w:val="left"/>
              <w:rPr/>
            </w:pPr>
            <w:r>
              <w:rPr/>
              <w:t> </w:t>
            </w:r>
          </w:p>
        </w:tc>
        <w:tc>
          <w:tcPr>
            <w:tcW w:w="439"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r>
      <w:tr>
        <w:trPr/>
        <w:tc>
          <w:tcPr>
            <w:tcW w:w="4985" w:type="dxa"/>
            <w:tcBorders/>
            <w:shd w:fill="auto"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Assets (liabilities) measured at fair value on a recurring basis:</w:t>
            </w:r>
          </w:p>
        </w:tc>
        <w:tc>
          <w:tcPr>
            <w:tcW w:w="60" w:type="dxa"/>
            <w:tcBorders/>
            <w:shd w:fill="auto" w:val="clear"/>
            <w:vAlign w:val="bottom"/>
          </w:tcPr>
          <w:p>
            <w:pPr>
              <w:pStyle w:val="TableContents"/>
              <w:spacing w:before="0" w:after="283"/>
              <w:jc w:val="right"/>
              <w:rPr/>
            </w:pPr>
            <w:r>
              <w:rPr/>
              <w:t> </w:t>
            </w:r>
          </w:p>
        </w:tc>
        <w:tc>
          <w:tcPr>
            <w:tcW w:w="210" w:type="dxa"/>
            <w:tcBorders/>
            <w:shd w:fill="auto" w:val="clear"/>
            <w:vAlign w:val="bottom"/>
          </w:tcPr>
          <w:p>
            <w:pPr>
              <w:pStyle w:val="TableContents"/>
              <w:spacing w:before="0" w:after="283"/>
              <w:jc w:val="left"/>
              <w:rPr/>
            </w:pPr>
            <w:r>
              <w:rPr/>
              <w:t> </w:t>
            </w:r>
          </w:p>
        </w:tc>
        <w:tc>
          <w:tcPr>
            <w:tcW w:w="439"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59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r>
      <w:tr>
        <w:trPr/>
        <w:tc>
          <w:tcPr>
            <w:tcW w:w="4985" w:type="dxa"/>
            <w:tcBorders/>
            <w:shd w:fill="CCEE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Securities available for sale:</w:t>
            </w:r>
          </w:p>
        </w:tc>
        <w:tc>
          <w:tcPr>
            <w:tcW w:w="60" w:type="dxa"/>
            <w:tcBorders/>
            <w:shd w:fill="CCEEFF" w:val="clear"/>
            <w:vAlign w:val="bottom"/>
          </w:tcPr>
          <w:p>
            <w:pPr>
              <w:pStyle w:val="TableContents"/>
              <w:spacing w:before="0" w:after="283"/>
              <w:jc w:val="right"/>
              <w:rPr/>
            </w:pPr>
            <w:r>
              <w:rPr/>
              <w:t> </w:t>
            </w:r>
          </w:p>
        </w:tc>
        <w:tc>
          <w:tcPr>
            <w:tcW w:w="210" w:type="dxa"/>
            <w:tcBorders/>
            <w:shd w:fill="CCEEFF" w:val="clear"/>
            <w:vAlign w:val="bottom"/>
          </w:tcPr>
          <w:p>
            <w:pPr>
              <w:pStyle w:val="TableContents"/>
              <w:spacing w:before="0" w:after="283"/>
              <w:jc w:val="left"/>
              <w:rPr/>
            </w:pPr>
            <w:r>
              <w:rPr/>
              <w:t> </w:t>
            </w:r>
          </w:p>
        </w:tc>
        <w:tc>
          <w:tcPr>
            <w:tcW w:w="439"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r>
      <w:tr>
        <w:trPr/>
        <w:tc>
          <w:tcPr>
            <w:tcW w:w="4985" w:type="dxa"/>
            <w:tcBorders/>
            <w:shd w:fill="auto" w:val="clear"/>
            <w:vAlign w:val="bottom"/>
          </w:tcPr>
          <w:p>
            <w:pPr>
              <w:pStyle w:val="TableContents"/>
              <w:spacing w:before="0" w:after="0"/>
              <w:ind w:left="288" w:right="0" w:hanging="144"/>
              <w:jc w:val="left"/>
              <w:rPr>
                <w:rFonts w:ascii="Times New Roman" w:hAnsi="Times New Roman"/>
                <w:sz w:val="20"/>
              </w:rPr>
            </w:pPr>
            <w:r>
              <w:rPr>
                <w:rFonts w:ascii="Times New Roman" w:hAnsi="Times New Roman"/>
                <w:sz w:val="20"/>
              </w:rPr>
              <w:t>State and municipal</w:t>
            </w:r>
          </w:p>
        </w:tc>
        <w:tc>
          <w:tcPr>
            <w:tcW w:w="60" w:type="dxa"/>
            <w:tcBorders/>
            <w:shd w:fill="auto" w:val="clear"/>
            <w:vAlign w:val="bottom"/>
          </w:tcPr>
          <w:p>
            <w:pPr>
              <w:pStyle w:val="TableContents"/>
              <w:spacing w:before="0" w:after="283"/>
              <w:jc w:val="right"/>
              <w:rPr/>
            </w:pPr>
            <w:r>
              <w:rPr/>
              <w:t> </w:t>
            </w:r>
          </w:p>
        </w:tc>
        <w:tc>
          <w:tcPr>
            <w:tcW w:w="210"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439" w:type="dxa"/>
            <w:tcBorders/>
            <w:shd w:fill="auto" w:val="clear"/>
            <w:vAlign w:val="bottom"/>
          </w:tcPr>
          <w:p>
            <w:pPr>
              <w:pStyle w:val="TableContents"/>
              <w:spacing w:before="0" w:after="0"/>
              <w:jc w:val="right"/>
              <w:rPr/>
            </w:pPr>
            <w:r>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95"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225,055</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590" w:type="dxa"/>
            <w:tcBorders/>
            <w:shd w:fill="auto" w:val="clear"/>
            <w:vAlign w:val="bottom"/>
          </w:tcPr>
          <w:p>
            <w:pPr>
              <w:pStyle w:val="TableContents"/>
              <w:spacing w:before="0" w:after="0"/>
              <w:jc w:val="right"/>
              <w:rPr/>
            </w:pPr>
            <w:r>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95"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225,055</w:t>
            </w:r>
          </w:p>
        </w:tc>
        <w:tc>
          <w:tcPr>
            <w:tcW w:w="95" w:type="dxa"/>
            <w:tcBorders/>
            <w:shd w:fill="auto" w:val="clear"/>
            <w:vAlign w:val="bottom"/>
          </w:tcPr>
          <w:p>
            <w:pPr>
              <w:pStyle w:val="TableContents"/>
              <w:spacing w:before="0" w:after="283"/>
              <w:jc w:val="left"/>
              <w:rPr/>
            </w:pPr>
            <w:r>
              <w:rPr/>
              <w:t> </w:t>
            </w:r>
          </w:p>
        </w:tc>
      </w:tr>
      <w:tr>
        <w:trPr/>
        <w:tc>
          <w:tcPr>
            <w:tcW w:w="4985" w:type="dxa"/>
            <w:tcBorders/>
            <w:shd w:fill="CCEEFF" w:val="clear"/>
            <w:vAlign w:val="bottom"/>
          </w:tcPr>
          <w:p>
            <w:pPr>
              <w:pStyle w:val="TableContents"/>
              <w:spacing w:before="0" w:after="0"/>
              <w:ind w:left="288" w:right="0" w:hanging="144"/>
              <w:jc w:val="left"/>
              <w:rPr>
                <w:rFonts w:ascii="Times New Roman" w:hAnsi="Times New Roman"/>
                <w:sz w:val="20"/>
              </w:rPr>
            </w:pPr>
            <w:r>
              <w:rPr>
                <w:rFonts w:ascii="Times New Roman" w:hAnsi="Times New Roman"/>
                <w:sz w:val="20"/>
              </w:rPr>
              <w:t>Residential mortgage-backed securities</w:t>
            </w:r>
          </w:p>
        </w:tc>
        <w:tc>
          <w:tcPr>
            <w:tcW w:w="60" w:type="dxa"/>
            <w:tcBorders/>
            <w:shd w:fill="CCEEFF" w:val="clear"/>
            <w:vAlign w:val="bottom"/>
          </w:tcPr>
          <w:p>
            <w:pPr>
              <w:pStyle w:val="TableContents"/>
              <w:spacing w:before="0" w:after="283"/>
              <w:jc w:val="right"/>
              <w:rPr/>
            </w:pPr>
            <w:r>
              <w:rPr/>
              <w:t> </w:t>
            </w:r>
          </w:p>
        </w:tc>
        <w:tc>
          <w:tcPr>
            <w:tcW w:w="210" w:type="dxa"/>
            <w:tcBorders/>
            <w:shd w:fill="CCEEFF" w:val="clear"/>
            <w:vAlign w:val="bottom"/>
          </w:tcPr>
          <w:p>
            <w:pPr>
              <w:pStyle w:val="TableContents"/>
              <w:spacing w:before="0" w:after="283"/>
              <w:jc w:val="left"/>
              <w:rPr/>
            </w:pPr>
            <w:r>
              <w:rPr/>
              <w:t> </w:t>
            </w:r>
          </w:p>
        </w:tc>
        <w:tc>
          <w:tcPr>
            <w:tcW w:w="439"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328,845</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328,845</w:t>
            </w:r>
          </w:p>
        </w:tc>
        <w:tc>
          <w:tcPr>
            <w:tcW w:w="95" w:type="dxa"/>
            <w:tcBorders/>
            <w:shd w:fill="CCEEFF" w:val="clear"/>
            <w:vAlign w:val="bottom"/>
          </w:tcPr>
          <w:p>
            <w:pPr>
              <w:pStyle w:val="TableContents"/>
              <w:spacing w:before="0" w:after="283"/>
              <w:jc w:val="left"/>
              <w:rPr/>
            </w:pPr>
            <w:r>
              <w:rPr/>
              <w:t> </w:t>
            </w:r>
          </w:p>
        </w:tc>
      </w:tr>
      <w:tr>
        <w:trPr/>
        <w:tc>
          <w:tcPr>
            <w:tcW w:w="4985" w:type="dxa"/>
            <w:tcBorders/>
            <w:shd w:fill="auto" w:val="clear"/>
            <w:vAlign w:val="bottom"/>
          </w:tcPr>
          <w:p>
            <w:pPr>
              <w:pStyle w:val="TableContents"/>
              <w:spacing w:before="0" w:after="0"/>
              <w:ind w:left="180" w:right="0" w:hanging="0"/>
              <w:rPr/>
            </w:pPr>
            <w:r>
              <w:rPr/>
              <w:t xml:space="preserve">Commercial mortgage-backed securities </w:t>
            </w:r>
          </w:p>
        </w:tc>
        <w:tc>
          <w:tcPr>
            <w:tcW w:w="60" w:type="dxa"/>
            <w:tcBorders/>
            <w:shd w:fill="auto" w:val="clear"/>
            <w:vAlign w:val="bottom"/>
          </w:tcPr>
          <w:p>
            <w:pPr>
              <w:pStyle w:val="TableContents"/>
              <w:spacing w:before="0" w:after="283"/>
              <w:jc w:val="right"/>
              <w:rPr/>
            </w:pPr>
            <w:r>
              <w:rPr/>
              <w:t> </w:t>
            </w:r>
          </w:p>
        </w:tc>
        <w:tc>
          <w:tcPr>
            <w:tcW w:w="210" w:type="dxa"/>
            <w:tcBorders/>
            <w:shd w:fill="auto" w:val="clear"/>
            <w:vAlign w:val="bottom"/>
          </w:tcPr>
          <w:p>
            <w:pPr>
              <w:pStyle w:val="TableContents"/>
              <w:spacing w:before="0" w:after="283"/>
              <w:jc w:val="left"/>
              <w:rPr/>
            </w:pPr>
            <w:r>
              <w:rPr/>
              <w:t> </w:t>
            </w:r>
          </w:p>
        </w:tc>
        <w:tc>
          <w:tcPr>
            <w:tcW w:w="439"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283"/>
              <w:jc w:val="right"/>
              <w:rPr/>
            </w:pPr>
            <w:r>
              <w:rPr/>
              <w:t>41,967</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590"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283"/>
              <w:jc w:val="right"/>
              <w:rPr/>
            </w:pPr>
            <w:r>
              <w:rPr/>
              <w:t>41,967</w:t>
            </w:r>
          </w:p>
        </w:tc>
        <w:tc>
          <w:tcPr>
            <w:tcW w:w="95" w:type="dxa"/>
            <w:tcBorders/>
            <w:shd w:fill="auto" w:val="clear"/>
            <w:vAlign w:val="bottom"/>
          </w:tcPr>
          <w:p>
            <w:pPr>
              <w:pStyle w:val="TableContents"/>
              <w:spacing w:before="0" w:after="283"/>
              <w:jc w:val="left"/>
              <w:rPr/>
            </w:pPr>
            <w:r>
              <w:rPr/>
              <w:t> </w:t>
            </w:r>
          </w:p>
        </w:tc>
      </w:tr>
      <w:tr>
        <w:trPr/>
        <w:tc>
          <w:tcPr>
            <w:tcW w:w="4985" w:type="dxa"/>
            <w:tcBorders/>
            <w:shd w:fill="CCEEFF" w:val="clear"/>
            <w:vAlign w:val="bottom"/>
          </w:tcPr>
          <w:p>
            <w:pPr>
              <w:pStyle w:val="TableContents"/>
              <w:spacing w:before="0" w:after="0"/>
              <w:ind w:left="288" w:right="0" w:hanging="144"/>
              <w:jc w:val="left"/>
              <w:rPr>
                <w:rFonts w:ascii="Times New Roman" w:hAnsi="Times New Roman"/>
                <w:sz w:val="20"/>
              </w:rPr>
            </w:pPr>
            <w:r>
              <w:rPr>
                <w:rFonts w:ascii="Times New Roman" w:hAnsi="Times New Roman"/>
                <w:sz w:val="20"/>
              </w:rPr>
              <w:t>Collateralized mortgage obligations</w:t>
            </w:r>
          </w:p>
        </w:tc>
        <w:tc>
          <w:tcPr>
            <w:tcW w:w="60" w:type="dxa"/>
            <w:tcBorders/>
            <w:shd w:fill="CCEEFF" w:val="clear"/>
            <w:vAlign w:val="bottom"/>
          </w:tcPr>
          <w:p>
            <w:pPr>
              <w:pStyle w:val="TableContents"/>
              <w:spacing w:before="0" w:after="283"/>
              <w:jc w:val="right"/>
              <w:rPr/>
            </w:pPr>
            <w:r>
              <w:rPr/>
              <w:t> </w:t>
            </w:r>
          </w:p>
        </w:tc>
        <w:tc>
          <w:tcPr>
            <w:tcW w:w="210" w:type="dxa"/>
            <w:tcBorders/>
            <w:shd w:fill="CCEEFF" w:val="clear"/>
            <w:vAlign w:val="bottom"/>
          </w:tcPr>
          <w:p>
            <w:pPr>
              <w:pStyle w:val="TableContents"/>
              <w:spacing w:before="0" w:after="283"/>
              <w:jc w:val="left"/>
              <w:rPr/>
            </w:pPr>
            <w:r>
              <w:rPr/>
              <w:t> </w:t>
            </w:r>
          </w:p>
        </w:tc>
        <w:tc>
          <w:tcPr>
            <w:tcW w:w="439"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75,638</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75,638</w:t>
            </w:r>
          </w:p>
        </w:tc>
        <w:tc>
          <w:tcPr>
            <w:tcW w:w="95" w:type="dxa"/>
            <w:tcBorders/>
            <w:shd w:fill="CCEEFF" w:val="clear"/>
            <w:vAlign w:val="bottom"/>
          </w:tcPr>
          <w:p>
            <w:pPr>
              <w:pStyle w:val="TableContents"/>
              <w:spacing w:before="0" w:after="283"/>
              <w:jc w:val="left"/>
              <w:rPr/>
            </w:pPr>
            <w:r>
              <w:rPr/>
              <w:t> </w:t>
            </w:r>
          </w:p>
        </w:tc>
      </w:tr>
      <w:tr>
        <w:trPr/>
        <w:tc>
          <w:tcPr>
            <w:tcW w:w="4985" w:type="dxa"/>
            <w:tcBorders/>
            <w:shd w:fill="auto" w:val="clear"/>
            <w:vAlign w:val="bottom"/>
          </w:tcPr>
          <w:p>
            <w:pPr>
              <w:pStyle w:val="TableContents"/>
              <w:spacing w:before="0" w:after="0"/>
              <w:ind w:left="288" w:right="0" w:hanging="144"/>
              <w:jc w:val="left"/>
              <w:rPr>
                <w:rFonts w:ascii="Times New Roman" w:hAnsi="Times New Roman"/>
                <w:sz w:val="20"/>
              </w:rPr>
            </w:pPr>
            <w:r>
              <w:rPr>
                <w:rFonts w:ascii="Times New Roman" w:hAnsi="Times New Roman"/>
                <w:sz w:val="20"/>
              </w:rPr>
              <w:t>Asset-backed and other amortizing securities</w:t>
            </w:r>
          </w:p>
        </w:tc>
        <w:tc>
          <w:tcPr>
            <w:tcW w:w="60" w:type="dxa"/>
            <w:tcBorders/>
            <w:shd w:fill="auto" w:val="clear"/>
            <w:vAlign w:val="bottom"/>
          </w:tcPr>
          <w:p>
            <w:pPr>
              <w:pStyle w:val="TableContents"/>
              <w:spacing w:before="0" w:after="283"/>
              <w:jc w:val="right"/>
              <w:rPr/>
            </w:pPr>
            <w:r>
              <w:rPr/>
              <w:t> </w:t>
            </w:r>
          </w:p>
        </w:tc>
        <w:tc>
          <w:tcPr>
            <w:tcW w:w="210" w:type="dxa"/>
            <w:tcBorders/>
            <w:shd w:fill="auto" w:val="clear"/>
            <w:vAlign w:val="bottom"/>
          </w:tcPr>
          <w:p>
            <w:pPr>
              <w:pStyle w:val="TableContents"/>
              <w:spacing w:before="0" w:after="283"/>
              <w:jc w:val="left"/>
              <w:rPr/>
            </w:pPr>
            <w:r>
              <w:rPr/>
              <w:t> </w:t>
            </w:r>
          </w:p>
        </w:tc>
        <w:tc>
          <w:tcPr>
            <w:tcW w:w="439" w:type="dxa"/>
            <w:tcBorders/>
            <w:shd w:fill="auto" w:val="clear"/>
            <w:vAlign w:val="bottom"/>
          </w:tcPr>
          <w:p>
            <w:pPr>
              <w:pStyle w:val="TableContents"/>
              <w:spacing w:before="0" w:after="0"/>
              <w:jc w:val="right"/>
              <w:rPr/>
            </w:pPr>
            <w:r>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19,094</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590" w:type="dxa"/>
            <w:tcBorders/>
            <w:shd w:fill="auto" w:val="clear"/>
            <w:vAlign w:val="bottom"/>
          </w:tcPr>
          <w:p>
            <w:pPr>
              <w:pStyle w:val="TableContents"/>
              <w:spacing w:before="0" w:after="0"/>
              <w:jc w:val="right"/>
              <w:rPr/>
            </w:pPr>
            <w:r>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19,094</w:t>
            </w:r>
          </w:p>
        </w:tc>
        <w:tc>
          <w:tcPr>
            <w:tcW w:w="95" w:type="dxa"/>
            <w:tcBorders/>
            <w:shd w:fill="auto" w:val="clear"/>
            <w:vAlign w:val="bottom"/>
          </w:tcPr>
          <w:p>
            <w:pPr>
              <w:pStyle w:val="TableContents"/>
              <w:spacing w:before="0" w:after="283"/>
              <w:jc w:val="left"/>
              <w:rPr/>
            </w:pPr>
            <w:r>
              <w:rPr/>
              <w:t> </w:t>
            </w:r>
          </w:p>
        </w:tc>
      </w:tr>
      <w:tr>
        <w:trPr/>
        <w:tc>
          <w:tcPr>
            <w:tcW w:w="4985" w:type="dxa"/>
            <w:tcBorders/>
            <w:shd w:fill="CCEEFF" w:val="clear"/>
            <w:vAlign w:val="bottom"/>
          </w:tcPr>
          <w:p>
            <w:pPr>
              <w:pStyle w:val="TableContents"/>
              <w:spacing w:before="0" w:after="0"/>
              <w:ind w:left="288" w:right="0" w:hanging="144"/>
              <w:jc w:val="left"/>
              <w:rPr>
                <w:rFonts w:ascii="Times New Roman" w:hAnsi="Times New Roman"/>
                <w:sz w:val="20"/>
              </w:rPr>
            </w:pPr>
            <w:r>
              <w:rPr>
                <w:rFonts w:ascii="Times New Roman" w:hAnsi="Times New Roman"/>
                <w:sz w:val="20"/>
              </w:rPr>
              <w:t>Other securities</w:t>
            </w:r>
          </w:p>
        </w:tc>
        <w:tc>
          <w:tcPr>
            <w:tcW w:w="60" w:type="dxa"/>
            <w:tcBorders/>
            <w:shd w:fill="CCEEFF" w:val="clear"/>
            <w:vAlign w:val="bottom"/>
          </w:tcPr>
          <w:p>
            <w:pPr>
              <w:pStyle w:val="TableContents"/>
              <w:spacing w:before="0" w:after="283"/>
              <w:jc w:val="right"/>
              <w:rPr/>
            </w:pPr>
            <w:r>
              <w:rPr/>
              <w:t> </w:t>
            </w:r>
          </w:p>
        </w:tc>
        <w:tc>
          <w:tcPr>
            <w:tcW w:w="210" w:type="dxa"/>
            <w:tcBorders/>
            <w:shd w:fill="CCEEFF" w:val="clear"/>
            <w:vAlign w:val="bottom"/>
          </w:tcPr>
          <w:p>
            <w:pPr>
              <w:pStyle w:val="TableContents"/>
              <w:spacing w:before="0" w:after="283"/>
              <w:jc w:val="left"/>
              <w:rPr/>
            </w:pPr>
            <w:r>
              <w:rPr/>
              <w:t> </w:t>
            </w:r>
          </w:p>
        </w:tc>
        <w:tc>
          <w:tcPr>
            <w:tcW w:w="439"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11,112</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11,112</w:t>
            </w:r>
          </w:p>
        </w:tc>
        <w:tc>
          <w:tcPr>
            <w:tcW w:w="95" w:type="dxa"/>
            <w:tcBorders/>
            <w:shd w:fill="CCEEFF" w:val="clear"/>
            <w:vAlign w:val="bottom"/>
          </w:tcPr>
          <w:p>
            <w:pPr>
              <w:pStyle w:val="TableContents"/>
              <w:spacing w:before="0" w:after="283"/>
              <w:jc w:val="left"/>
              <w:rPr/>
            </w:pPr>
            <w:r>
              <w:rPr/>
              <w:t> </w:t>
            </w:r>
          </w:p>
        </w:tc>
      </w:tr>
      <w:tr>
        <w:trPr/>
        <w:tc>
          <w:tcPr>
            <w:tcW w:w="4985" w:type="dxa"/>
            <w:tcBorders/>
            <w:shd w:fill="auto"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Loans held for sale (mandatory)</w:t>
            </w:r>
          </w:p>
        </w:tc>
        <w:tc>
          <w:tcPr>
            <w:tcW w:w="60" w:type="dxa"/>
            <w:tcBorders/>
            <w:shd w:fill="auto" w:val="clear"/>
            <w:vAlign w:val="bottom"/>
          </w:tcPr>
          <w:p>
            <w:pPr>
              <w:pStyle w:val="TableContents"/>
              <w:spacing w:before="0" w:after="283"/>
              <w:jc w:val="right"/>
              <w:rPr/>
            </w:pPr>
            <w:r>
              <w:rPr/>
              <w:t> </w:t>
            </w:r>
          </w:p>
        </w:tc>
        <w:tc>
          <w:tcPr>
            <w:tcW w:w="210" w:type="dxa"/>
            <w:tcBorders/>
            <w:shd w:fill="auto" w:val="clear"/>
            <w:vAlign w:val="bottom"/>
          </w:tcPr>
          <w:p>
            <w:pPr>
              <w:pStyle w:val="TableContents"/>
              <w:spacing w:before="0" w:after="283"/>
              <w:jc w:val="left"/>
              <w:rPr/>
            </w:pPr>
            <w:r>
              <w:rPr/>
              <w:t> </w:t>
            </w:r>
          </w:p>
        </w:tc>
        <w:tc>
          <w:tcPr>
            <w:tcW w:w="439" w:type="dxa"/>
            <w:tcBorders/>
            <w:shd w:fill="auto" w:val="clear"/>
            <w:vAlign w:val="bottom"/>
          </w:tcPr>
          <w:p>
            <w:pPr>
              <w:pStyle w:val="TableContents"/>
              <w:spacing w:before="0" w:after="0"/>
              <w:jc w:val="right"/>
              <w:rPr/>
            </w:pPr>
            <w:r>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10,038</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590" w:type="dxa"/>
            <w:tcBorders/>
            <w:shd w:fill="auto" w:val="clear"/>
            <w:vAlign w:val="bottom"/>
          </w:tcPr>
          <w:p>
            <w:pPr>
              <w:pStyle w:val="TableContents"/>
              <w:spacing w:before="0" w:after="0"/>
              <w:jc w:val="right"/>
              <w:rPr/>
            </w:pPr>
            <w:r>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10,038</w:t>
            </w:r>
          </w:p>
        </w:tc>
        <w:tc>
          <w:tcPr>
            <w:tcW w:w="95" w:type="dxa"/>
            <w:tcBorders/>
            <w:shd w:fill="auto" w:val="clear"/>
            <w:vAlign w:val="bottom"/>
          </w:tcPr>
          <w:p>
            <w:pPr>
              <w:pStyle w:val="TableContents"/>
              <w:spacing w:before="0" w:after="283"/>
              <w:jc w:val="left"/>
              <w:rPr/>
            </w:pPr>
            <w:r>
              <w:rPr/>
              <w:t> </w:t>
            </w:r>
          </w:p>
        </w:tc>
      </w:tr>
      <w:tr>
        <w:trPr/>
        <w:tc>
          <w:tcPr>
            <w:tcW w:w="4985" w:type="dxa"/>
            <w:tcBorders/>
            <w:shd w:fill="CCEE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Mortgage servicing rights</w:t>
            </w:r>
          </w:p>
        </w:tc>
        <w:tc>
          <w:tcPr>
            <w:tcW w:w="60" w:type="dxa"/>
            <w:tcBorders/>
            <w:shd w:fill="CCEEFF" w:val="clear"/>
            <w:vAlign w:val="bottom"/>
          </w:tcPr>
          <w:p>
            <w:pPr>
              <w:pStyle w:val="TableContents"/>
              <w:spacing w:before="0" w:after="283"/>
              <w:jc w:val="right"/>
              <w:rPr/>
            </w:pPr>
            <w:r>
              <w:rPr/>
              <w:t> </w:t>
            </w:r>
          </w:p>
        </w:tc>
        <w:tc>
          <w:tcPr>
            <w:tcW w:w="210" w:type="dxa"/>
            <w:tcBorders/>
            <w:shd w:fill="CCEEFF" w:val="clear"/>
            <w:vAlign w:val="bottom"/>
          </w:tcPr>
          <w:p>
            <w:pPr>
              <w:pStyle w:val="TableContents"/>
              <w:spacing w:before="0" w:after="283"/>
              <w:jc w:val="left"/>
              <w:rPr/>
            </w:pPr>
            <w:r>
              <w:rPr/>
              <w:t> </w:t>
            </w:r>
          </w:p>
        </w:tc>
        <w:tc>
          <w:tcPr>
            <w:tcW w:w="439"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0"/>
              <w:jc w:val="right"/>
              <w:rPr/>
            </w:pPr>
            <w:r>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27,474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27,474</w:t>
            </w:r>
          </w:p>
        </w:tc>
        <w:tc>
          <w:tcPr>
            <w:tcW w:w="95" w:type="dxa"/>
            <w:tcBorders/>
            <w:shd w:fill="CCEEFF" w:val="clear"/>
            <w:vAlign w:val="bottom"/>
          </w:tcPr>
          <w:p>
            <w:pPr>
              <w:pStyle w:val="TableContents"/>
              <w:spacing w:before="0" w:after="283"/>
              <w:jc w:val="left"/>
              <w:rPr/>
            </w:pPr>
            <w:r>
              <w:rPr/>
              <w:t> </w:t>
            </w:r>
          </w:p>
        </w:tc>
      </w:tr>
      <w:tr>
        <w:trPr/>
        <w:tc>
          <w:tcPr>
            <w:tcW w:w="4985" w:type="dxa"/>
            <w:tcBorders/>
            <w:shd w:fill="auto"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Asset derivatives</w:t>
            </w:r>
          </w:p>
        </w:tc>
        <w:tc>
          <w:tcPr>
            <w:tcW w:w="60" w:type="dxa"/>
            <w:tcBorders/>
            <w:shd w:fill="auto" w:val="clear"/>
            <w:vAlign w:val="bottom"/>
          </w:tcPr>
          <w:p>
            <w:pPr>
              <w:pStyle w:val="TableContents"/>
              <w:spacing w:before="0" w:after="283"/>
              <w:jc w:val="right"/>
              <w:rPr/>
            </w:pPr>
            <w:r>
              <w:rPr/>
              <w:t> </w:t>
            </w:r>
          </w:p>
        </w:tc>
        <w:tc>
          <w:tcPr>
            <w:tcW w:w="210" w:type="dxa"/>
            <w:tcBorders/>
            <w:shd w:fill="auto" w:val="clear"/>
            <w:vAlign w:val="bottom"/>
          </w:tcPr>
          <w:p>
            <w:pPr>
              <w:pStyle w:val="TableContents"/>
              <w:spacing w:before="0" w:after="283"/>
              <w:jc w:val="left"/>
              <w:rPr/>
            </w:pPr>
            <w:r>
              <w:rPr/>
              <w:t> </w:t>
            </w:r>
          </w:p>
        </w:tc>
        <w:tc>
          <w:tcPr>
            <w:tcW w:w="439" w:type="dxa"/>
            <w:tcBorders/>
            <w:shd w:fill="auto" w:val="clear"/>
            <w:vAlign w:val="bottom"/>
          </w:tcPr>
          <w:p>
            <w:pPr>
              <w:pStyle w:val="TableContents"/>
              <w:spacing w:before="0" w:after="0"/>
              <w:jc w:val="right"/>
              <w:rPr/>
            </w:pPr>
            <w:r>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21,162</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590" w:type="dxa"/>
            <w:tcBorders/>
            <w:shd w:fill="auto" w:val="clear"/>
            <w:vAlign w:val="bottom"/>
          </w:tcPr>
          <w:p>
            <w:pPr>
              <w:pStyle w:val="TableContents"/>
              <w:spacing w:before="0" w:after="0"/>
              <w:jc w:val="right"/>
              <w:rPr/>
            </w:pPr>
            <w:r>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21,162</w:t>
            </w:r>
          </w:p>
        </w:tc>
        <w:tc>
          <w:tcPr>
            <w:tcW w:w="95" w:type="dxa"/>
            <w:tcBorders/>
            <w:shd w:fill="auto" w:val="clear"/>
            <w:vAlign w:val="bottom"/>
          </w:tcPr>
          <w:p>
            <w:pPr>
              <w:pStyle w:val="TableContents"/>
              <w:spacing w:before="0" w:after="283"/>
              <w:jc w:val="left"/>
              <w:rPr/>
            </w:pPr>
            <w:r>
              <w:rPr/>
              <w:t> </w:t>
            </w:r>
          </w:p>
        </w:tc>
      </w:tr>
      <w:tr>
        <w:trPr/>
        <w:tc>
          <w:tcPr>
            <w:tcW w:w="4985" w:type="dxa"/>
            <w:tcBorders/>
            <w:shd w:fill="CCEE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Liability derivatives</w:t>
            </w:r>
          </w:p>
        </w:tc>
        <w:tc>
          <w:tcPr>
            <w:tcW w:w="60" w:type="dxa"/>
            <w:tcBorders/>
            <w:shd w:fill="CCEEFF" w:val="clear"/>
            <w:vAlign w:val="bottom"/>
          </w:tcPr>
          <w:p>
            <w:pPr>
              <w:pStyle w:val="TableContents"/>
              <w:spacing w:before="0" w:after="283"/>
              <w:jc w:val="right"/>
              <w:rPr/>
            </w:pPr>
            <w:r>
              <w:rPr/>
              <w:t> </w:t>
            </w:r>
          </w:p>
        </w:tc>
        <w:tc>
          <w:tcPr>
            <w:tcW w:w="210" w:type="dxa"/>
            <w:tcBorders/>
            <w:shd w:fill="CCEEFF" w:val="clear"/>
            <w:vAlign w:val="bottom"/>
          </w:tcPr>
          <w:p>
            <w:pPr>
              <w:pStyle w:val="TableContents"/>
              <w:spacing w:before="0" w:after="283"/>
              <w:jc w:val="left"/>
              <w:rPr/>
            </w:pPr>
            <w:r>
              <w:rPr/>
              <w:t> </w:t>
            </w:r>
          </w:p>
        </w:tc>
        <w:tc>
          <w:tcPr>
            <w:tcW w:w="439"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(128</w:t>
            </w:r>
          </w:p>
        </w:tc>
        <w:tc>
          <w:tcPr>
            <w:tcW w:w="80"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(128</w:t>
            </w:r>
          </w:p>
        </w:tc>
        <w:tc>
          <w:tcPr>
            <w:tcW w:w="9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r>
      <w:tr>
        <w:trPr/>
        <w:tc>
          <w:tcPr>
            <w:tcW w:w="498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210" w:type="dxa"/>
            <w:tcBorders/>
            <w:shd w:fill="auto" w:val="clear"/>
            <w:vAlign w:val="bottom"/>
          </w:tcPr>
          <w:p>
            <w:pPr>
              <w:pStyle w:val="TableContents"/>
              <w:spacing w:before="0" w:after="283"/>
              <w:jc w:val="left"/>
              <w:rPr/>
            </w:pPr>
            <w:r>
              <w:rPr/>
              <w:t> </w:t>
            </w:r>
          </w:p>
        </w:tc>
        <w:tc>
          <w:tcPr>
            <w:tcW w:w="439"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59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jc w:val="left"/>
              <w:rPr/>
            </w:pPr>
            <w:r>
              <w:rPr/>
              <w:t> </w:t>
            </w:r>
          </w:p>
        </w:tc>
      </w:tr>
      <w:tr>
        <w:trPr/>
        <w:tc>
          <w:tcPr>
            <w:tcW w:w="4985" w:type="dxa"/>
            <w:tcBorders/>
            <w:shd w:fill="CCEE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Assets measured at fair value on a non-recurring basis:</w:t>
            </w:r>
          </w:p>
        </w:tc>
        <w:tc>
          <w:tcPr>
            <w:tcW w:w="60" w:type="dxa"/>
            <w:tcBorders/>
            <w:shd w:fill="CCEEFF" w:val="clear"/>
            <w:vAlign w:val="bottom"/>
          </w:tcPr>
          <w:p>
            <w:pPr>
              <w:pStyle w:val="TableContents"/>
              <w:spacing w:before="0" w:after="283"/>
              <w:jc w:val="right"/>
              <w:rPr/>
            </w:pPr>
            <w:r>
              <w:rPr/>
              <w:t> </w:t>
            </w:r>
          </w:p>
        </w:tc>
        <w:tc>
          <w:tcPr>
            <w:tcW w:w="210" w:type="dxa"/>
            <w:tcBorders/>
            <w:shd w:fill="CCEEFF" w:val="clear"/>
            <w:vAlign w:val="bottom"/>
          </w:tcPr>
          <w:p>
            <w:pPr>
              <w:pStyle w:val="TableContents"/>
              <w:spacing w:before="0" w:after="283"/>
              <w:jc w:val="left"/>
              <w:rPr/>
            </w:pPr>
            <w:r>
              <w:rPr/>
              <w:t> </w:t>
            </w:r>
          </w:p>
        </w:tc>
        <w:tc>
          <w:tcPr>
            <w:tcW w:w="439"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283"/>
              <w:jc w:val="right"/>
              <w:rPr/>
            </w:pPr>
            <w:r>
              <w:rPr/>
              <w:t> </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jc w:val="left"/>
              <w:rPr/>
            </w:pPr>
            <w:r>
              <w:rPr/>
              <w:t> </w:t>
            </w:r>
          </w:p>
        </w:tc>
      </w:tr>
      <w:tr>
        <w:trPr/>
        <w:tc>
          <w:tcPr>
            <w:tcW w:w="4985" w:type="dxa"/>
            <w:tcBorders/>
            <w:shd w:fill="auto"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Loans held for investment</w:t>
            </w:r>
          </w:p>
        </w:tc>
        <w:tc>
          <w:tcPr>
            <w:tcW w:w="60" w:type="dxa"/>
            <w:tcBorders/>
            <w:shd w:fill="auto" w:val="clear"/>
            <w:vAlign w:val="bottom"/>
          </w:tcPr>
          <w:p>
            <w:pPr>
              <w:pStyle w:val="TableContents"/>
              <w:spacing w:before="0" w:after="283"/>
              <w:jc w:val="right"/>
              <w:rPr/>
            </w:pPr>
            <w:r>
              <w:rPr/>
              <w:t> </w:t>
            </w:r>
          </w:p>
        </w:tc>
        <w:tc>
          <w:tcPr>
            <w:tcW w:w="210" w:type="dxa"/>
            <w:tcBorders/>
            <w:shd w:fill="auto" w:val="clear"/>
            <w:vAlign w:val="bottom"/>
          </w:tcPr>
          <w:p>
            <w:pPr>
              <w:pStyle w:val="TableContents"/>
              <w:spacing w:before="0" w:after="283"/>
              <w:jc w:val="left"/>
              <w:rPr/>
            </w:pPr>
            <w:r>
              <w:rPr/>
              <w:t> </w:t>
            </w:r>
          </w:p>
        </w:tc>
        <w:tc>
          <w:tcPr>
            <w:tcW w:w="439" w:type="dxa"/>
            <w:tcBorders/>
            <w:shd w:fill="auto" w:val="clear"/>
            <w:vAlign w:val="bottom"/>
          </w:tcPr>
          <w:p>
            <w:pPr>
              <w:pStyle w:val="TableContents"/>
              <w:spacing w:before="0" w:after="0"/>
              <w:jc w:val="right"/>
              <w:rPr/>
            </w:pPr>
            <w:r>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0"/>
              <w:jc w:val="right"/>
              <w:rPr/>
            </w:pPr>
            <w:r>
              <w:rPr/>
              <w:t>—</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590"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4,821</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4,821</w:t>
            </w:r>
          </w:p>
        </w:tc>
        <w:tc>
          <w:tcPr>
            <w:tcW w:w="95" w:type="dxa"/>
            <w:tcBorders/>
            <w:shd w:fill="auto" w:val="clear"/>
            <w:vAlign w:val="bottom"/>
          </w:tcPr>
          <w:p>
            <w:pPr>
              <w:pStyle w:val="TableContents"/>
              <w:spacing w:before="0" w:after="283"/>
              <w:jc w:val="left"/>
              <w:rPr/>
            </w:pPr>
            <w:r>
              <w:rPr/>
              <w:t> </w:t>
            </w:r>
          </w:p>
        </w:tc>
      </w:tr>
    </w:tbl>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26</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b w:val="false"/>
            <w:i/>
            <w:color w:val="000000"/>
            <w:sz w:val="16"/>
          </w:rPr>
          <w:t>Table of Contents</w:t>
        </w:r>
      </w:hyperlink>
    </w:p>
    <w:p>
      <w:pPr>
        <w:pStyle w:val="TextBody"/>
        <w:spacing w:before="0" w:after="0"/>
        <w:jc w:val="both"/>
        <w:rPr>
          <w:rFonts w:ascii="Times New Roman" w:hAnsi="Times New Roman"/>
          <w:color w:val="000000"/>
          <w:sz w:val="20"/>
        </w:rPr>
      </w:pPr>
      <w:r>
        <w:rPr>
          <w:rFonts w:ascii="Times New Roman" w:hAnsi="Times New Roman"/>
          <w:color w:val="000000"/>
          <w:sz w:val="20"/>
          <w:u w:val="single"/>
        </w:rPr>
        <w:t>Securities</w:t>
      </w:r>
      <w:r>
        <w:rPr>
          <w:rFonts w:ascii="Times New Roman" w:hAnsi="Times New Roman"/>
          <w:color w:val="000000"/>
          <w:sz w:val="20"/>
        </w:rPr>
        <w:t xml:space="preserve"> – Fair value is calculated based on market prices of similar securities using matrix pricing. Matrix pricing is a mathematical technique commonly used to price debt securities that are not actively traded.</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u w:val="single"/>
        </w:rPr>
        <w:t>Mortgage servicing rights</w:t>
      </w:r>
      <w:r>
        <w:rPr>
          <w:rFonts w:ascii="Times New Roman" w:hAnsi="Times New Roman"/>
          <w:color w:val="000000"/>
          <w:sz w:val="20"/>
        </w:rPr>
        <w:t xml:space="preserve"> – Mortgage servicing rights are reported at fair value using Level 3 inputs. The mortgage servicing rights asset is valued by projecting net servicing cash flows, which are then discounted to estimate the fair value. The fair value of the mortgage servicing rights asset is impacted by a variety of factors, including prepayment </w:t>
      </w:r>
      <w:r>
        <w:rPr>
          <w:rFonts w:ascii="Times New Roman;Times;serif" w:hAnsi="Times New Roman;Times;serif"/>
          <w:color w:val="000000"/>
          <w:sz w:val="20"/>
        </w:rPr>
        <w:t xml:space="preserve">speeds, default rates, </w:t>
      </w:r>
      <w:r>
        <w:rPr>
          <w:rFonts w:ascii="Times New Roman" w:hAnsi="Times New Roman"/>
          <w:color w:val="000000"/>
          <w:sz w:val="20"/>
        </w:rPr>
        <w:t>and discount rates, which are significant unobservable inputs</w:t>
      </w:r>
      <w:r>
        <w:rPr>
          <w:rFonts w:ascii="Times New Roman;Times;serif" w:hAnsi="Times New Roman;Times;serif"/>
          <w:color w:val="000000"/>
          <w:sz w:val="20"/>
        </w:rPr>
        <w:t>. Mortgage servicing rights are the only Level 3 asset measured at fair value on a recurring basis, see Note 5 for the Level 3 change activity for the three months ended March 31, 2023 and 2022</w:t>
      </w:r>
      <w:r>
        <w:rPr>
          <w:rFonts w:ascii="Times New Roman" w:hAnsi="Times New Roman"/>
          <w:color w:val="000000"/>
          <w:sz w:val="20"/>
        </w:rPr>
        <w:t>.</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u w:val="single"/>
        </w:rPr>
        <w:t>Derivatives</w:t>
      </w:r>
      <w:r>
        <w:rPr>
          <w:rFonts w:ascii="Times New Roman" w:hAnsi="Times New Roman"/>
          <w:color w:val="000000"/>
          <w:sz w:val="20"/>
        </w:rPr>
        <w:t xml:space="preserve"> – Fair value of derivatives is based on valuation models using observable market data as of the measurement date.</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Times;serif" w:hAnsi="Times New Roman;Times;serif"/>
          <w:color w:val="000000"/>
          <w:sz w:val="20"/>
          <w:u w:val="single"/>
        </w:rPr>
        <w:t>Loans held for investment</w:t>
      </w:r>
      <w:r>
        <w:rPr>
          <w:rFonts w:ascii="Times New Roman" w:hAnsi="Times New Roman"/>
          <w:color w:val="000000"/>
          <w:sz w:val="20"/>
        </w:rPr>
        <w:t xml:space="preserve"> – Includes certain collateral-dependent loans which are reported at the fair value, for which a specific allocation of the allowance for credit losses is based off of the underlying collateral, less estimated disposal costs, if repayment is expected solely from the sale of the collateral. Collateral values are estimated using Level 2 inputs based on observable market data or Level 3 inputs based on customized discounting criteria.</w:t>
      </w:r>
    </w:p>
    <w:p>
      <w:pPr>
        <w:pStyle w:val="TextBody"/>
        <w:spacing w:before="0" w:after="0"/>
        <w:jc w:val="left"/>
        <w:rPr/>
      </w:pPr>
      <w:r>
        <w:rPr/>
      </w:r>
    </w:p>
    <w:p>
      <w:pPr>
        <w:pStyle w:val="TextBody"/>
        <w:spacing w:before="0" w:after="0"/>
        <w:jc w:val="both"/>
        <w:rPr>
          <w:rFonts w:ascii="Times New Roman;Times;serif" w:hAnsi="Times New Roman;Times;serif"/>
          <w:b/>
          <w:color w:val="000000"/>
          <w:sz w:val="20"/>
        </w:rPr>
      </w:pPr>
      <w:r>
        <w:rPr>
          <w:rFonts w:ascii="Times New Roman;Times;serif" w:hAnsi="Times New Roman;Times;serif"/>
          <w:b/>
          <w:color w:val="000000"/>
          <w:sz w:val="20"/>
        </w:rPr>
        <w:t>Fair Values of Assets Recorded on a Recurring Basis for which the Fair Value Option has been Elected</w:t>
      </w:r>
    </w:p>
    <w:p>
      <w:pPr>
        <w:pStyle w:val="TextBody"/>
        <w:spacing w:before="0" w:after="0"/>
        <w:jc w:val="left"/>
        <w:rPr/>
      </w:pPr>
      <w:r>
        <w:rPr/>
      </w:r>
    </w:p>
    <w:p>
      <w:pPr>
        <w:pStyle w:val="TextBody"/>
        <w:spacing w:before="0" w:after="0"/>
        <w:jc w:val="both"/>
        <w:rPr>
          <w:rFonts w:ascii="Times New Roman;Times;serif" w:hAnsi="Times New Roman;Times;serif"/>
          <w:color w:val="000000"/>
          <w:sz w:val="20"/>
        </w:rPr>
      </w:pPr>
      <w:r>
        <w:rPr>
          <w:rFonts w:ascii="Times New Roman;Times;serif" w:hAnsi="Times New Roman;Times;serif"/>
          <w:color w:val="000000"/>
          <w:sz w:val="20"/>
          <w:u w:val="single"/>
        </w:rPr>
        <w:t>Loans held for sale (mandatory)</w:t>
      </w:r>
      <w:r>
        <w:rPr>
          <w:rFonts w:ascii="Times New Roman;Times;serif" w:hAnsi="Times New Roman;Times;serif"/>
          <w:color w:val="000000"/>
          <w:sz w:val="20"/>
        </w:rPr>
        <w:t xml:space="preserve"> –</w:t>
      </w:r>
      <w:r>
        <w:rPr>
          <w:rFonts w:ascii="Times New Roman;Times;serif" w:hAnsi="Times New Roman;Times;serif"/>
          <w:caps w:val="false"/>
          <w:smallCaps w:val="false"/>
          <w:color w:val="000000"/>
          <w:sz w:val="20"/>
          <w:highlight w:val="white"/>
        </w:rPr>
        <w:t xml:space="preserve"> </w:t>
      </w:r>
      <w:r>
        <w:rPr>
          <w:rFonts w:ascii="Times New Roman" w:hAnsi="Times New Roman"/>
          <w:b w:val="false"/>
          <w:i w:val="false"/>
          <w:caps w:val="false"/>
          <w:smallCaps w:val="false"/>
          <w:color w:val="000000"/>
          <w:sz w:val="20"/>
          <w:highlight w:val="white"/>
        </w:rPr>
        <w:t>Loans held for sale originated for mandatory delivery are reported at fair value on a recurring basis due to the Company’s election to adopt fair value accounting treatment for these assets. This election allows for a more effective offset of the changes in fair values of the assets and the derivative instruments used to economically hedge them without the burden of complying with the requirements for hedge accounting under ASC Topic 815, Derivatives and Hedging. For assets for which the fair value option has been elected, the earned current contractual interest payment is recognized in interest income, loan origination costs and fees on fair value option loans are recognized in earnings as incurred and not deferred. At March 31, 2023, and December 31, 2022, there were no gains or losses recorded attributable to changes in instrument-specific credit risk. Fair value is determined using quoted prices for similar assets, adjusted for specific attributes of that loan. At March 31, 2023 and December 31, 2022 the aggregate fair value of loans held for sale for mandatory delivery was $11.6 million and $10.0 million, respectively. The aggregate unpaid principal balance as of the same dates was $12.0 million and $9.9 million, respectively, representing differences between fair value and unpaid principal balance of $(469) thousand and $163 thousand, respectively. There were no loans held for sale for mandatory delivery designated as nonaccrual or 90 days or more past due at March 31, 2023 and December 31, 2022.</w:t>
      </w:r>
    </w:p>
    <w:p>
      <w:pPr>
        <w:pStyle w:val="TextBody"/>
        <w:spacing w:before="0" w:after="0"/>
        <w:jc w:val="left"/>
        <w:rPr/>
      </w:pPr>
      <w:r>
        <w:rPr/>
      </w:r>
    </w:p>
    <w:p>
      <w:pPr>
        <w:pStyle w:val="TextBody"/>
        <w:spacing w:before="0" w:after="0"/>
        <w:jc w:val="both"/>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The total fair value option impact on noninterest income for loans held for sale for mandatory delivery is included in Net gain on sales of loans in the Company’s Consolidated Statements of Comprehensive Income (Loss). For the three months ended March 31, 2023 and 2022 the net (gain) loss amount totaled $(261) thousand and $2.1 million, respectively.</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table presents quantitative information about recurring and non-recurring Level 3 fair value measurements at the dates indicated (dollars in thousands):</w:t>
      </w:r>
    </w:p>
    <w:p>
      <w:pPr>
        <w:pStyle w:val="TextBody"/>
        <w:spacing w:before="0" w:after="0"/>
        <w:jc w:val="left"/>
        <w:rPr/>
      </w:pPr>
      <w:r>
        <w:rPr/>
      </w:r>
    </w:p>
    <w:tbl>
      <w:tblPr>
        <w:tblW w:w="10130" w:type="dxa"/>
        <w:jc w:val="left"/>
        <w:tblInd w:w="0" w:type="dxa"/>
        <w:tblCellMar>
          <w:top w:w="0" w:type="dxa"/>
          <w:left w:w="0" w:type="dxa"/>
          <w:bottom w:w="0" w:type="dxa"/>
          <w:right w:w="0" w:type="dxa"/>
        </w:tblCellMar>
      </w:tblPr>
      <w:tblGrid>
        <w:gridCol w:w="2135"/>
        <w:gridCol w:w="60"/>
        <w:gridCol w:w="125"/>
        <w:gridCol w:w="590"/>
        <w:gridCol w:w="60"/>
        <w:gridCol w:w="2975"/>
        <w:gridCol w:w="60"/>
        <w:gridCol w:w="3050"/>
        <w:gridCol w:w="60"/>
        <w:gridCol w:w="60"/>
        <w:gridCol w:w="770"/>
        <w:gridCol w:w="185"/>
      </w:tblGrid>
      <w:tr>
        <w:trPr/>
        <w:tc>
          <w:tcPr>
            <w:tcW w:w="213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15"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Fair</w:t>
            </w:r>
          </w:p>
          <w:p>
            <w:pPr>
              <w:pStyle w:val="TableContents"/>
              <w:spacing w:before="0" w:after="0"/>
              <w:jc w:val="center"/>
              <w:rPr>
                <w:rFonts w:ascii="Times New Roman" w:hAnsi="Times New Roman"/>
                <w:b/>
                <w:sz w:val="20"/>
              </w:rPr>
            </w:pPr>
            <w:r>
              <w:rPr>
                <w:rFonts w:ascii="Times New Roman" w:hAnsi="Times New Roman"/>
                <w:b/>
                <w:sz w:val="20"/>
              </w:rPr>
              <w:t>Value</w:t>
            </w:r>
          </w:p>
        </w:tc>
        <w:tc>
          <w:tcPr>
            <w:tcW w:w="60" w:type="dxa"/>
            <w:tcBorders/>
            <w:shd w:fill="auto" w:val="clear"/>
            <w:vAlign w:val="bottom"/>
          </w:tcPr>
          <w:p>
            <w:pPr>
              <w:pStyle w:val="TableContents"/>
              <w:spacing w:before="0" w:after="283"/>
              <w:jc w:val="left"/>
              <w:rPr/>
            </w:pPr>
            <w:r>
              <w:rPr/>
              <w:t> </w:t>
            </w:r>
          </w:p>
        </w:tc>
        <w:tc>
          <w:tcPr>
            <w:tcW w:w="2975" w:type="dxa"/>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Valuation</w:t>
            </w:r>
          </w:p>
          <w:p>
            <w:pPr>
              <w:pStyle w:val="TableContents"/>
              <w:spacing w:before="0" w:after="0"/>
              <w:jc w:val="center"/>
              <w:rPr>
                <w:rFonts w:ascii="Times New Roman" w:hAnsi="Times New Roman"/>
                <w:b/>
                <w:sz w:val="20"/>
              </w:rPr>
            </w:pPr>
            <w:r>
              <w:rPr>
                <w:rFonts w:ascii="Times New Roman" w:hAnsi="Times New Roman"/>
                <w:b/>
                <w:sz w:val="20"/>
              </w:rPr>
              <w:t>Techniques</w:t>
            </w:r>
          </w:p>
        </w:tc>
        <w:tc>
          <w:tcPr>
            <w:tcW w:w="60" w:type="dxa"/>
            <w:tcBorders/>
            <w:shd w:fill="auto" w:val="clear"/>
            <w:vAlign w:val="bottom"/>
          </w:tcPr>
          <w:p>
            <w:pPr>
              <w:pStyle w:val="TableContents"/>
              <w:spacing w:before="0" w:after="283"/>
              <w:rPr/>
            </w:pPr>
            <w:r>
              <w:rPr/>
              <w:t> </w:t>
            </w:r>
          </w:p>
        </w:tc>
        <w:tc>
          <w:tcPr>
            <w:tcW w:w="3050" w:type="dxa"/>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Unobservable</w:t>
            </w:r>
          </w:p>
          <w:p>
            <w:pPr>
              <w:pStyle w:val="TableContents"/>
              <w:spacing w:before="0" w:after="0"/>
              <w:jc w:val="center"/>
              <w:rPr>
                <w:rFonts w:ascii="Times New Roman" w:hAnsi="Times New Roman"/>
                <w:b/>
                <w:sz w:val="20"/>
              </w:rPr>
            </w:pPr>
            <w:r>
              <w:rPr>
                <w:rFonts w:ascii="Times New Roman" w:hAnsi="Times New Roman"/>
                <w:b/>
                <w:sz w:val="20"/>
              </w:rPr>
              <w:t>Inputs</w:t>
            </w:r>
          </w:p>
        </w:tc>
        <w:tc>
          <w:tcPr>
            <w:tcW w:w="60" w:type="dxa"/>
            <w:tcBorders/>
            <w:shd w:fill="auto" w:val="clear"/>
            <w:vAlign w:val="bottom"/>
          </w:tcPr>
          <w:p>
            <w:pPr>
              <w:pStyle w:val="TableContents"/>
              <w:spacing w:before="0" w:after="283"/>
              <w:rPr/>
            </w:pPr>
            <w:r>
              <w:rPr/>
              <w:t> </w:t>
            </w:r>
          </w:p>
        </w:tc>
        <w:tc>
          <w:tcPr>
            <w:tcW w:w="83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Range of</w:t>
            </w:r>
          </w:p>
          <w:p>
            <w:pPr>
              <w:pStyle w:val="TableContents"/>
              <w:spacing w:before="0" w:after="0"/>
              <w:jc w:val="center"/>
              <w:rPr>
                <w:rFonts w:ascii="Times New Roman" w:hAnsi="Times New Roman"/>
                <w:b/>
                <w:sz w:val="20"/>
              </w:rPr>
            </w:pPr>
            <w:r>
              <w:rPr>
                <w:rFonts w:ascii="Times New Roman" w:hAnsi="Times New Roman"/>
                <w:b/>
                <w:sz w:val="20"/>
              </w:rPr>
              <w:t>Discounts</w:t>
            </w:r>
          </w:p>
        </w:tc>
        <w:tc>
          <w:tcPr>
            <w:tcW w:w="185" w:type="dxa"/>
            <w:tcBorders/>
            <w:shd w:fill="auto" w:val="clear"/>
            <w:vAlign w:val="bottom"/>
          </w:tcPr>
          <w:p>
            <w:pPr>
              <w:pStyle w:val="TableContents"/>
              <w:spacing w:before="0" w:after="283"/>
              <w:jc w:val="left"/>
              <w:rPr/>
            </w:pPr>
            <w:r>
              <w:rPr/>
              <w:t> </w:t>
            </w:r>
          </w:p>
        </w:tc>
      </w:tr>
      <w:tr>
        <w:trPr/>
        <w:tc>
          <w:tcPr>
            <w:tcW w:w="2135" w:type="dxa"/>
            <w:tcBorders/>
            <w:shd w:fill="auto" w:val="clear"/>
            <w:vAlign w:val="bottom"/>
          </w:tcPr>
          <w:p>
            <w:pPr>
              <w:pStyle w:val="TableContents"/>
              <w:spacing w:before="0" w:after="0"/>
              <w:jc w:val="left"/>
              <w:rPr>
                <w:rFonts w:ascii="Times New Roman" w:hAnsi="Times New Roman"/>
                <w:sz w:val="20"/>
                <w:u w:val="single"/>
              </w:rPr>
            </w:pPr>
            <w:r>
              <w:rPr>
                <w:rFonts w:ascii="Times New Roman" w:hAnsi="Times New Roman"/>
                <w:sz w:val="20"/>
                <w:u w:val="single"/>
              </w:rPr>
              <w:t>March 31, 2023</w:t>
            </w:r>
          </w:p>
        </w:tc>
        <w:tc>
          <w:tcPr>
            <w:tcW w:w="60" w:type="dxa"/>
            <w:tcBorders/>
            <w:shd w:fill="auto" w:val="clear"/>
            <w:vAlign w:val="bottom"/>
          </w:tcPr>
          <w:p>
            <w:pPr>
              <w:pStyle w:val="TableContents"/>
              <w:spacing w:before="0" w:after="283"/>
              <w:rPr/>
            </w:pPr>
            <w:r>
              <w:rPr/>
              <w:t> </w:t>
            </w:r>
          </w:p>
        </w:tc>
        <w:tc>
          <w:tcPr>
            <w:tcW w:w="71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29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0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30" w:type="dxa"/>
            <w:gridSpan w:val="2"/>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jc w:val="left"/>
              <w:rPr/>
            </w:pPr>
            <w:r>
              <w:rPr/>
              <w:t> </w:t>
            </w:r>
          </w:p>
        </w:tc>
      </w:tr>
      <w:tr>
        <w:trPr/>
        <w:tc>
          <w:tcPr>
            <w:tcW w:w="2135" w:type="dxa"/>
            <w:tcBorders/>
            <w:shd w:fill="auto" w:val="clear"/>
            <w:vAlign w:val="bottom"/>
          </w:tcPr>
          <w:p>
            <w:pPr>
              <w:pStyle w:val="TableContents"/>
              <w:spacing w:before="0" w:after="283"/>
              <w:rPr/>
            </w:pPr>
            <w:r>
              <w:rPr/>
              <w:t>Non-recurring:</w:t>
            </w:r>
          </w:p>
        </w:tc>
        <w:tc>
          <w:tcPr>
            <w:tcW w:w="60" w:type="dxa"/>
            <w:tcBorders/>
            <w:shd w:fill="auto" w:val="clear"/>
            <w:vAlign w:val="bottom"/>
          </w:tcPr>
          <w:p>
            <w:pPr>
              <w:pStyle w:val="TableContents"/>
              <w:spacing w:before="0" w:after="283"/>
              <w:jc w:val="right"/>
              <w:rPr/>
            </w:pPr>
            <w:r>
              <w:rPr/>
              <w:t> </w:t>
            </w:r>
          </w:p>
        </w:tc>
        <w:tc>
          <w:tcPr>
            <w:tcW w:w="715" w:type="dxa"/>
            <w:gridSpan w:val="2"/>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29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0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830" w:type="dxa"/>
            <w:gridSpan w:val="2"/>
            <w:tcBorders/>
            <w:shd w:fill="auto" w:val="clear"/>
            <w:vAlign w:val="bottom"/>
          </w:tcPr>
          <w:p>
            <w:pPr>
              <w:pStyle w:val="TableContents"/>
              <w:spacing w:before="0" w:after="283"/>
              <w:jc w:val="right"/>
              <w:rPr/>
            </w:pPr>
            <w:r>
              <w:rPr/>
              <w:t> </w:t>
            </w:r>
          </w:p>
        </w:tc>
        <w:tc>
          <w:tcPr>
            <w:tcW w:w="185" w:type="dxa"/>
            <w:tcBorders/>
            <w:shd w:fill="auto" w:val="clear"/>
            <w:vAlign w:val="bottom"/>
          </w:tcPr>
          <w:p>
            <w:pPr>
              <w:pStyle w:val="TableContents"/>
              <w:spacing w:before="0" w:after="283"/>
              <w:jc w:val="left"/>
              <w:rPr/>
            </w:pPr>
            <w:r>
              <w:rPr/>
              <w:t> </w:t>
            </w:r>
          </w:p>
        </w:tc>
      </w:tr>
      <w:tr>
        <w:trPr/>
        <w:tc>
          <w:tcPr>
            <w:tcW w:w="2135" w:type="dxa"/>
            <w:tcBorders/>
            <w:shd w:fill="CCEEFF" w:val="clear"/>
            <w:vAlign w:val="bottom"/>
          </w:tcPr>
          <w:p>
            <w:pPr>
              <w:pStyle w:val="TableContents"/>
              <w:spacing w:before="0" w:after="0"/>
              <w:ind w:left="144" w:right="0" w:hanging="144"/>
              <w:jc w:val="left"/>
              <w:rPr>
                <w:rFonts w:ascii="Times New Roman" w:hAnsi="Times New Roman"/>
                <w:sz w:val="20"/>
              </w:rPr>
            </w:pPr>
            <w:r>
              <w:rPr>
                <w:rFonts w:ascii="Times New Roman" w:hAnsi="Times New Roman"/>
                <w:sz w:val="20"/>
              </w:rPr>
              <w:t>Loans held for investment</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4,161</w:t>
            </w:r>
          </w:p>
        </w:tc>
        <w:tc>
          <w:tcPr>
            <w:tcW w:w="60" w:type="dxa"/>
            <w:tcBorders/>
            <w:shd w:fill="CCEEFF" w:val="clear"/>
            <w:vAlign w:val="bottom"/>
          </w:tcPr>
          <w:p>
            <w:pPr>
              <w:pStyle w:val="TableContents"/>
              <w:spacing w:before="0" w:after="283"/>
              <w:jc w:val="left"/>
              <w:rPr/>
            </w:pPr>
            <w:r>
              <w:rPr/>
              <w:t> </w:t>
            </w:r>
          </w:p>
        </w:tc>
        <w:tc>
          <w:tcPr>
            <w:tcW w:w="2975" w:type="dxa"/>
            <w:tcBorders/>
            <w:shd w:fill="CCEEFF" w:val="clear"/>
            <w:vAlign w:val="bottom"/>
          </w:tcPr>
          <w:p>
            <w:pPr>
              <w:pStyle w:val="TableContents"/>
              <w:spacing w:before="0" w:after="0"/>
              <w:ind w:left="144" w:right="0" w:hanging="144"/>
              <w:jc w:val="left"/>
              <w:rPr>
                <w:rFonts w:ascii="Times New Roman" w:hAnsi="Times New Roman"/>
                <w:sz w:val="20"/>
              </w:rPr>
            </w:pPr>
            <w:r>
              <w:rPr>
                <w:rFonts w:ascii="Times New Roman" w:hAnsi="Times New Roman"/>
                <w:sz w:val="20"/>
              </w:rPr>
              <w:t>Third party appraisals or inspections</w:t>
            </w:r>
          </w:p>
        </w:tc>
        <w:tc>
          <w:tcPr>
            <w:tcW w:w="60" w:type="dxa"/>
            <w:tcBorders/>
            <w:shd w:fill="CCEEFF" w:val="clear"/>
            <w:vAlign w:val="bottom"/>
          </w:tcPr>
          <w:p>
            <w:pPr>
              <w:pStyle w:val="TableContents"/>
              <w:spacing w:before="0" w:after="283"/>
              <w:rPr/>
            </w:pPr>
            <w:r>
              <w:rPr/>
              <w:t> </w:t>
            </w:r>
          </w:p>
        </w:tc>
        <w:tc>
          <w:tcPr>
            <w:tcW w:w="3050" w:type="dxa"/>
            <w:tcBorders/>
            <w:shd w:fill="CCEEFF" w:val="clear"/>
            <w:vAlign w:val="bottom"/>
          </w:tcPr>
          <w:p>
            <w:pPr>
              <w:pStyle w:val="TableContents"/>
              <w:spacing w:before="0" w:after="0"/>
              <w:ind w:left="144" w:right="0" w:hanging="144"/>
              <w:jc w:val="left"/>
              <w:rPr>
                <w:rFonts w:ascii="Times New Roman" w:hAnsi="Times New Roman"/>
                <w:sz w:val="20"/>
              </w:rPr>
            </w:pPr>
            <w:r>
              <w:rPr>
                <w:rFonts w:ascii="Times New Roman" w:hAnsi="Times New Roman"/>
                <w:sz w:val="20"/>
              </w:rPr>
              <w:t>Collateral discounts and selling costs</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770"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20%-100</w:t>
            </w:r>
          </w:p>
        </w:tc>
        <w:tc>
          <w:tcPr>
            <w:tcW w:w="18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r>
      <w:tr>
        <w:trPr/>
        <w:tc>
          <w:tcPr>
            <w:tcW w:w="2135" w:type="dxa"/>
            <w:tcBorders/>
            <w:shd w:fill="auto" w:val="clear"/>
            <w:vAlign w:val="bottom"/>
          </w:tcPr>
          <w:p>
            <w:pPr>
              <w:pStyle w:val="TableContents"/>
              <w:spacing w:before="0" w:after="283"/>
              <w:rPr/>
            </w:pPr>
            <w:r>
              <w:rPr/>
              <w:t>Recurring:</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59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29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0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770" w:type="dxa"/>
            <w:tcBorders/>
            <w:shd w:fill="auto" w:val="clear"/>
            <w:vAlign w:val="bottom"/>
          </w:tcPr>
          <w:p>
            <w:pPr>
              <w:pStyle w:val="TableContents"/>
              <w:spacing w:before="0" w:after="283"/>
              <w:jc w:val="right"/>
              <w:rPr/>
            </w:pPr>
            <w:r>
              <w:rPr/>
              <w:t> </w:t>
            </w:r>
          </w:p>
        </w:tc>
        <w:tc>
          <w:tcPr>
            <w:tcW w:w="185" w:type="dxa"/>
            <w:tcBorders/>
            <w:shd w:fill="auto" w:val="clear"/>
            <w:vAlign w:val="bottom"/>
          </w:tcPr>
          <w:p>
            <w:pPr>
              <w:pStyle w:val="TableContents"/>
              <w:spacing w:before="0" w:after="283"/>
              <w:jc w:val="left"/>
              <w:rPr/>
            </w:pPr>
            <w:r>
              <w:rPr/>
              <w:t> </w:t>
            </w:r>
          </w:p>
        </w:tc>
      </w:tr>
      <w:tr>
        <w:trPr/>
        <w:tc>
          <w:tcPr>
            <w:tcW w:w="2135" w:type="dxa"/>
            <w:tcBorders/>
            <w:shd w:fill="CCEEFF" w:val="clear"/>
            <w:vAlign w:val="bottom"/>
          </w:tcPr>
          <w:p>
            <w:pPr>
              <w:pStyle w:val="TableContents"/>
              <w:spacing w:before="0" w:after="0"/>
              <w:ind w:left="144" w:right="0" w:hanging="144"/>
              <w:jc w:val="left"/>
              <w:rPr>
                <w:rFonts w:ascii="Times New Roman" w:hAnsi="Times New Roman"/>
                <w:sz w:val="20"/>
              </w:rPr>
            </w:pPr>
            <w:r>
              <w:rPr>
                <w:rFonts w:ascii="Times New Roman" w:hAnsi="Times New Roman"/>
                <w:sz w:val="20"/>
              </w:rPr>
              <w:t>Mortgage servicing rights</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25,795</w:t>
            </w:r>
          </w:p>
        </w:tc>
        <w:tc>
          <w:tcPr>
            <w:tcW w:w="60" w:type="dxa"/>
            <w:tcBorders/>
            <w:shd w:fill="CCEEFF" w:val="clear"/>
            <w:vAlign w:val="bottom"/>
          </w:tcPr>
          <w:p>
            <w:pPr>
              <w:pStyle w:val="TableContents"/>
              <w:spacing w:before="0" w:after="283"/>
              <w:jc w:val="left"/>
              <w:rPr/>
            </w:pPr>
            <w:r>
              <w:rPr/>
              <w:t> </w:t>
            </w:r>
          </w:p>
        </w:tc>
        <w:tc>
          <w:tcPr>
            <w:tcW w:w="2975" w:type="dxa"/>
            <w:tcBorders/>
            <w:shd w:fill="CCEEFF" w:val="clear"/>
            <w:vAlign w:val="bottom"/>
          </w:tcPr>
          <w:p>
            <w:pPr>
              <w:pStyle w:val="TableContents"/>
              <w:spacing w:before="0" w:after="0"/>
              <w:ind w:left="144" w:right="0" w:hanging="144"/>
              <w:jc w:val="left"/>
              <w:rPr>
                <w:rFonts w:ascii="Times New Roman" w:hAnsi="Times New Roman"/>
                <w:sz w:val="20"/>
              </w:rPr>
            </w:pPr>
            <w:r>
              <w:rPr>
                <w:rFonts w:ascii="Times New Roman" w:hAnsi="Times New Roman"/>
                <w:sz w:val="20"/>
              </w:rPr>
              <w:t>Discounted cash flows</w:t>
            </w:r>
          </w:p>
        </w:tc>
        <w:tc>
          <w:tcPr>
            <w:tcW w:w="60" w:type="dxa"/>
            <w:tcBorders/>
            <w:shd w:fill="CCEEFF" w:val="clear"/>
            <w:vAlign w:val="bottom"/>
          </w:tcPr>
          <w:p>
            <w:pPr>
              <w:pStyle w:val="TableContents"/>
              <w:spacing w:before="0" w:after="283"/>
              <w:rPr/>
            </w:pPr>
            <w:r>
              <w:rPr/>
              <w:t> </w:t>
            </w:r>
          </w:p>
        </w:tc>
        <w:tc>
          <w:tcPr>
            <w:tcW w:w="3050" w:type="dxa"/>
            <w:tcBorders/>
            <w:shd w:fill="CCEEFF" w:val="clear"/>
            <w:vAlign w:val="bottom"/>
          </w:tcPr>
          <w:p>
            <w:pPr>
              <w:pStyle w:val="TableContents"/>
              <w:spacing w:before="0" w:after="0"/>
              <w:ind w:left="144" w:right="0" w:hanging="144"/>
              <w:jc w:val="left"/>
              <w:rPr>
                <w:rFonts w:ascii="Times New Roman" w:hAnsi="Times New Roman"/>
                <w:sz w:val="20"/>
              </w:rPr>
            </w:pPr>
            <w:r>
              <w:rPr>
                <w:rFonts w:ascii="Times New Roman" w:hAnsi="Times New Roman"/>
                <w:sz w:val="20"/>
              </w:rPr>
              <w:t>Conditional prepayment rate</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770"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7.44</w:t>
            </w:r>
          </w:p>
        </w:tc>
        <w:tc>
          <w:tcPr>
            <w:tcW w:w="18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r>
      <w:tr>
        <w:trPr/>
        <w:tc>
          <w:tcPr>
            <w:tcW w:w="213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59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29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050"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Discount rate</w:t>
            </w:r>
          </w:p>
        </w:tc>
        <w:tc>
          <w:tcPr>
            <w:tcW w:w="6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770"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9.65</w:t>
            </w:r>
          </w:p>
        </w:tc>
        <w:tc>
          <w:tcPr>
            <w:tcW w:w="185"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r>
      <w:tr>
        <w:trPr/>
        <w:tc>
          <w:tcPr>
            <w:tcW w:w="213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29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770" w:type="dxa"/>
            <w:tcBorders/>
            <w:shd w:fill="CCEEFF" w:val="clear"/>
            <w:vAlign w:val="bottom"/>
          </w:tcPr>
          <w:p>
            <w:pPr>
              <w:pStyle w:val="TableContents"/>
              <w:spacing w:before="0" w:after="283"/>
              <w:jc w:val="right"/>
              <w:rPr/>
            </w:pPr>
            <w:r>
              <w:rPr/>
              <w:t> </w:t>
            </w:r>
          </w:p>
        </w:tc>
        <w:tc>
          <w:tcPr>
            <w:tcW w:w="185" w:type="dxa"/>
            <w:tcBorders/>
            <w:shd w:fill="CCEEFF" w:val="clear"/>
            <w:vAlign w:val="bottom"/>
          </w:tcPr>
          <w:p>
            <w:pPr>
              <w:pStyle w:val="TableContents"/>
              <w:spacing w:before="0" w:after="283"/>
              <w:jc w:val="left"/>
              <w:rPr/>
            </w:pPr>
            <w:r>
              <w:rPr/>
              <w:t> </w:t>
            </w:r>
          </w:p>
        </w:tc>
      </w:tr>
      <w:tr>
        <w:trPr/>
        <w:tc>
          <w:tcPr>
            <w:tcW w:w="2135" w:type="dxa"/>
            <w:tcBorders/>
            <w:shd w:fill="auto" w:val="clear"/>
            <w:vAlign w:val="bottom"/>
          </w:tcPr>
          <w:p>
            <w:pPr>
              <w:pStyle w:val="TableContents"/>
              <w:spacing w:before="0" w:after="0"/>
              <w:ind w:left="144" w:right="0" w:hanging="0"/>
              <w:jc w:val="left"/>
              <w:rPr>
                <w:rFonts w:ascii="Times New Roman" w:hAnsi="Times New Roman"/>
                <w:sz w:val="20"/>
                <w:u w:val="single"/>
              </w:rPr>
            </w:pPr>
            <w:r>
              <w:rPr>
                <w:rFonts w:ascii="Times New Roman" w:hAnsi="Times New Roman"/>
                <w:sz w:val="20"/>
                <w:u w:val="single"/>
              </w:rPr>
              <w:t>December 31, 2022</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59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29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0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770" w:type="dxa"/>
            <w:tcBorders/>
            <w:shd w:fill="auto" w:val="clear"/>
            <w:vAlign w:val="bottom"/>
          </w:tcPr>
          <w:p>
            <w:pPr>
              <w:pStyle w:val="TableContents"/>
              <w:spacing w:before="0" w:after="283"/>
              <w:jc w:val="right"/>
              <w:rPr/>
            </w:pPr>
            <w:r>
              <w:rPr/>
              <w:t> </w:t>
            </w:r>
          </w:p>
        </w:tc>
        <w:tc>
          <w:tcPr>
            <w:tcW w:w="185" w:type="dxa"/>
            <w:tcBorders/>
            <w:shd w:fill="auto" w:val="clear"/>
            <w:vAlign w:val="bottom"/>
          </w:tcPr>
          <w:p>
            <w:pPr>
              <w:pStyle w:val="TableContents"/>
              <w:spacing w:before="0" w:after="283"/>
              <w:jc w:val="left"/>
              <w:rPr/>
            </w:pPr>
            <w:r>
              <w:rPr/>
              <w:t> </w:t>
            </w:r>
          </w:p>
        </w:tc>
      </w:tr>
      <w:tr>
        <w:trPr/>
        <w:tc>
          <w:tcPr>
            <w:tcW w:w="2135" w:type="dxa"/>
            <w:tcBorders/>
            <w:shd w:fill="CCEEFF" w:val="clear"/>
            <w:vAlign w:val="bottom"/>
          </w:tcPr>
          <w:p>
            <w:pPr>
              <w:pStyle w:val="TableContents"/>
              <w:spacing w:before="0" w:after="283"/>
              <w:rPr/>
            </w:pPr>
            <w:r>
              <w:rPr/>
              <w:t>Non-recurring:</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29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770" w:type="dxa"/>
            <w:tcBorders/>
            <w:shd w:fill="CCEEFF" w:val="clear"/>
            <w:vAlign w:val="bottom"/>
          </w:tcPr>
          <w:p>
            <w:pPr>
              <w:pStyle w:val="TableContents"/>
              <w:spacing w:before="0" w:after="283"/>
              <w:jc w:val="right"/>
              <w:rPr/>
            </w:pPr>
            <w:r>
              <w:rPr/>
              <w:t> </w:t>
            </w:r>
          </w:p>
        </w:tc>
        <w:tc>
          <w:tcPr>
            <w:tcW w:w="185" w:type="dxa"/>
            <w:tcBorders/>
            <w:shd w:fill="CCEEFF" w:val="clear"/>
            <w:vAlign w:val="bottom"/>
          </w:tcPr>
          <w:p>
            <w:pPr>
              <w:pStyle w:val="TableContents"/>
              <w:spacing w:before="0" w:after="283"/>
              <w:jc w:val="left"/>
              <w:rPr/>
            </w:pPr>
            <w:r>
              <w:rPr/>
              <w:t> </w:t>
            </w:r>
          </w:p>
        </w:tc>
      </w:tr>
      <w:tr>
        <w:trPr/>
        <w:tc>
          <w:tcPr>
            <w:tcW w:w="2135" w:type="dxa"/>
            <w:tcBorders/>
            <w:shd w:fill="auto" w:val="clear"/>
            <w:vAlign w:val="bottom"/>
          </w:tcPr>
          <w:p>
            <w:pPr>
              <w:pStyle w:val="TableContents"/>
              <w:spacing w:before="0" w:after="0"/>
              <w:ind w:left="144" w:right="0" w:hanging="144"/>
              <w:jc w:val="left"/>
              <w:rPr>
                <w:rFonts w:ascii="Times New Roman" w:hAnsi="Times New Roman"/>
                <w:sz w:val="20"/>
              </w:rPr>
            </w:pPr>
            <w:r>
              <w:rPr>
                <w:rFonts w:ascii="Times New Roman" w:hAnsi="Times New Roman"/>
                <w:sz w:val="20"/>
              </w:rPr>
              <w:t>Loans held for investment</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590"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4,821</w:t>
            </w:r>
          </w:p>
        </w:tc>
        <w:tc>
          <w:tcPr>
            <w:tcW w:w="60" w:type="dxa"/>
            <w:tcBorders/>
            <w:shd w:fill="auto" w:val="clear"/>
            <w:vAlign w:val="bottom"/>
          </w:tcPr>
          <w:p>
            <w:pPr>
              <w:pStyle w:val="TableContents"/>
              <w:spacing w:before="0" w:after="283"/>
              <w:jc w:val="left"/>
              <w:rPr/>
            </w:pPr>
            <w:r>
              <w:rPr/>
              <w:t> </w:t>
            </w:r>
          </w:p>
        </w:tc>
        <w:tc>
          <w:tcPr>
            <w:tcW w:w="2975" w:type="dxa"/>
            <w:tcBorders/>
            <w:shd w:fill="auto" w:val="clear"/>
            <w:vAlign w:val="bottom"/>
          </w:tcPr>
          <w:p>
            <w:pPr>
              <w:pStyle w:val="TableContents"/>
              <w:spacing w:before="0" w:after="0"/>
              <w:ind w:left="144" w:right="0" w:hanging="144"/>
              <w:jc w:val="left"/>
              <w:rPr>
                <w:rFonts w:ascii="Times New Roman" w:hAnsi="Times New Roman"/>
                <w:sz w:val="20"/>
              </w:rPr>
            </w:pPr>
            <w:r>
              <w:rPr>
                <w:rFonts w:ascii="Times New Roman" w:hAnsi="Times New Roman"/>
                <w:sz w:val="20"/>
              </w:rPr>
              <w:t>Third party appraisals or inspections</w:t>
            </w:r>
          </w:p>
        </w:tc>
        <w:tc>
          <w:tcPr>
            <w:tcW w:w="60" w:type="dxa"/>
            <w:tcBorders/>
            <w:shd w:fill="auto" w:val="clear"/>
            <w:vAlign w:val="bottom"/>
          </w:tcPr>
          <w:p>
            <w:pPr>
              <w:pStyle w:val="TableContents"/>
              <w:spacing w:before="0" w:after="283"/>
              <w:rPr/>
            </w:pPr>
            <w:r>
              <w:rPr/>
              <w:t> </w:t>
            </w:r>
          </w:p>
        </w:tc>
        <w:tc>
          <w:tcPr>
            <w:tcW w:w="3050" w:type="dxa"/>
            <w:tcBorders/>
            <w:shd w:fill="auto" w:val="clear"/>
            <w:vAlign w:val="bottom"/>
          </w:tcPr>
          <w:p>
            <w:pPr>
              <w:pStyle w:val="TableContents"/>
              <w:spacing w:before="0" w:after="0"/>
              <w:ind w:left="144" w:right="0" w:hanging="144"/>
              <w:jc w:val="left"/>
              <w:rPr>
                <w:rFonts w:ascii="Times New Roman" w:hAnsi="Times New Roman"/>
                <w:sz w:val="20"/>
              </w:rPr>
            </w:pPr>
            <w:r>
              <w:rPr>
                <w:rFonts w:ascii="Times New Roman" w:hAnsi="Times New Roman"/>
                <w:sz w:val="20"/>
              </w:rPr>
              <w:t>Collateral discounts and selling costs</w:t>
            </w:r>
          </w:p>
        </w:tc>
        <w:tc>
          <w:tcPr>
            <w:tcW w:w="6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770"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20%-100</w:t>
            </w:r>
          </w:p>
        </w:tc>
        <w:tc>
          <w:tcPr>
            <w:tcW w:w="185"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r>
      <w:tr>
        <w:trPr/>
        <w:tc>
          <w:tcPr>
            <w:tcW w:w="2135" w:type="dxa"/>
            <w:tcBorders/>
            <w:shd w:fill="CCEEFF" w:val="clear"/>
            <w:vAlign w:val="bottom"/>
          </w:tcPr>
          <w:p>
            <w:pPr>
              <w:pStyle w:val="TableContents"/>
              <w:spacing w:before="0" w:after="283"/>
              <w:rPr/>
            </w:pPr>
            <w:r>
              <w:rPr/>
              <w:t>Recurring:</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29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770" w:type="dxa"/>
            <w:tcBorders/>
            <w:shd w:fill="CCEEFF" w:val="clear"/>
            <w:vAlign w:val="bottom"/>
          </w:tcPr>
          <w:p>
            <w:pPr>
              <w:pStyle w:val="TableContents"/>
              <w:spacing w:before="0" w:after="283"/>
              <w:jc w:val="right"/>
              <w:rPr/>
            </w:pPr>
            <w:r>
              <w:rPr/>
              <w:t> </w:t>
            </w:r>
          </w:p>
        </w:tc>
        <w:tc>
          <w:tcPr>
            <w:tcW w:w="185" w:type="dxa"/>
            <w:tcBorders/>
            <w:shd w:fill="CCEEFF" w:val="clear"/>
            <w:vAlign w:val="bottom"/>
          </w:tcPr>
          <w:p>
            <w:pPr>
              <w:pStyle w:val="TableContents"/>
              <w:spacing w:before="0" w:after="283"/>
              <w:jc w:val="left"/>
              <w:rPr/>
            </w:pPr>
            <w:r>
              <w:rPr/>
              <w:t> </w:t>
            </w:r>
          </w:p>
        </w:tc>
      </w:tr>
      <w:tr>
        <w:trPr/>
        <w:tc>
          <w:tcPr>
            <w:tcW w:w="2135" w:type="dxa"/>
            <w:tcBorders/>
            <w:shd w:fill="auto" w:val="clear"/>
            <w:vAlign w:val="bottom"/>
          </w:tcPr>
          <w:p>
            <w:pPr>
              <w:pStyle w:val="TableContents"/>
              <w:spacing w:before="0" w:after="0"/>
              <w:ind w:left="144" w:right="0" w:hanging="144"/>
              <w:jc w:val="left"/>
              <w:rPr>
                <w:rFonts w:ascii="Times New Roman" w:hAnsi="Times New Roman"/>
                <w:sz w:val="20"/>
              </w:rPr>
            </w:pPr>
            <w:r>
              <w:rPr>
                <w:rFonts w:ascii="Times New Roman" w:hAnsi="Times New Roman"/>
                <w:sz w:val="20"/>
              </w:rPr>
              <w:t>Mortgage servicing rights</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590"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27,474</w:t>
            </w:r>
          </w:p>
        </w:tc>
        <w:tc>
          <w:tcPr>
            <w:tcW w:w="60" w:type="dxa"/>
            <w:tcBorders/>
            <w:shd w:fill="auto" w:val="clear"/>
            <w:vAlign w:val="bottom"/>
          </w:tcPr>
          <w:p>
            <w:pPr>
              <w:pStyle w:val="TableContents"/>
              <w:spacing w:before="0" w:after="283"/>
              <w:jc w:val="left"/>
              <w:rPr/>
            </w:pPr>
            <w:r>
              <w:rPr/>
              <w:t> </w:t>
            </w:r>
          </w:p>
        </w:tc>
        <w:tc>
          <w:tcPr>
            <w:tcW w:w="2975" w:type="dxa"/>
            <w:tcBorders/>
            <w:shd w:fill="auto" w:val="clear"/>
            <w:vAlign w:val="bottom"/>
          </w:tcPr>
          <w:p>
            <w:pPr>
              <w:pStyle w:val="TableContents"/>
              <w:spacing w:before="0" w:after="0"/>
              <w:ind w:left="144" w:right="0" w:hanging="144"/>
              <w:jc w:val="left"/>
              <w:rPr>
                <w:rFonts w:ascii="Times New Roman" w:hAnsi="Times New Roman"/>
                <w:sz w:val="20"/>
              </w:rPr>
            </w:pPr>
            <w:r>
              <w:rPr>
                <w:rFonts w:ascii="Times New Roman" w:hAnsi="Times New Roman"/>
                <w:sz w:val="20"/>
              </w:rPr>
              <w:t>Discounted cash flows</w:t>
            </w:r>
          </w:p>
        </w:tc>
        <w:tc>
          <w:tcPr>
            <w:tcW w:w="60" w:type="dxa"/>
            <w:tcBorders/>
            <w:shd w:fill="auto" w:val="clear"/>
            <w:vAlign w:val="bottom"/>
          </w:tcPr>
          <w:p>
            <w:pPr>
              <w:pStyle w:val="TableContents"/>
              <w:spacing w:before="0" w:after="283"/>
              <w:rPr/>
            </w:pPr>
            <w:r>
              <w:rPr/>
              <w:t> </w:t>
            </w:r>
          </w:p>
        </w:tc>
        <w:tc>
          <w:tcPr>
            <w:tcW w:w="3050" w:type="dxa"/>
            <w:tcBorders/>
            <w:shd w:fill="auto" w:val="clear"/>
            <w:vAlign w:val="bottom"/>
          </w:tcPr>
          <w:p>
            <w:pPr>
              <w:pStyle w:val="TableContents"/>
              <w:spacing w:before="0" w:after="0"/>
              <w:ind w:left="144" w:right="0" w:hanging="144"/>
              <w:jc w:val="left"/>
              <w:rPr>
                <w:rFonts w:ascii="Times New Roman" w:hAnsi="Times New Roman"/>
                <w:sz w:val="20"/>
              </w:rPr>
            </w:pPr>
            <w:r>
              <w:rPr>
                <w:rFonts w:ascii="Times New Roman" w:hAnsi="Times New Roman"/>
                <w:sz w:val="20"/>
              </w:rPr>
              <w:t>Conditional prepayment rate</w:t>
            </w:r>
          </w:p>
        </w:tc>
        <w:tc>
          <w:tcPr>
            <w:tcW w:w="6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770"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7.47</w:t>
            </w:r>
          </w:p>
        </w:tc>
        <w:tc>
          <w:tcPr>
            <w:tcW w:w="185" w:type="dxa"/>
            <w:tcBorders/>
            <w:shd w:fill="auto"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r>
      <w:tr>
        <w:trPr/>
        <w:tc>
          <w:tcPr>
            <w:tcW w:w="213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29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50" w:type="dxa"/>
            <w:tcBorders/>
            <w:shd w:fill="CCEEFF" w:val="clear"/>
            <w:vAlign w:val="bottom"/>
          </w:tcPr>
          <w:p>
            <w:pPr>
              <w:pStyle w:val="TableContents"/>
              <w:spacing w:before="0" w:after="0"/>
              <w:ind w:left="144" w:right="0" w:hanging="144"/>
              <w:jc w:val="left"/>
              <w:rPr>
                <w:rFonts w:ascii="Times New Roman" w:hAnsi="Times New Roman"/>
                <w:sz w:val="20"/>
              </w:rPr>
            </w:pPr>
            <w:r>
              <w:rPr>
                <w:rFonts w:ascii="Times New Roman" w:hAnsi="Times New Roman"/>
                <w:sz w:val="20"/>
              </w:rPr>
              <w:t>Discount rate</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770"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9.15</w:t>
            </w:r>
          </w:p>
        </w:tc>
        <w:tc>
          <w:tcPr>
            <w:tcW w:w="18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r>
    </w:tbl>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27</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b w:val="false"/>
            <w:i/>
            <w:color w:val="000000"/>
            <w:sz w:val="16"/>
          </w:rPr>
          <w:t>Table of Contents</w:t>
        </w:r>
      </w:hyperlink>
    </w:p>
    <w:p>
      <w:pPr>
        <w:pStyle w:val="TextBody"/>
        <w:spacing w:before="0" w:after="0"/>
        <w:jc w:val="both"/>
        <w:rPr>
          <w:rFonts w:ascii="Times New Roman" w:hAnsi="Times New Roman"/>
          <w:color w:val="000000"/>
          <w:sz w:val="20"/>
        </w:rPr>
      </w:pPr>
      <w:r>
        <w:rPr>
          <w:rFonts w:ascii="Times New Roman" w:hAnsi="Times New Roman"/>
          <w:color w:val="000000"/>
          <w:sz w:val="20"/>
        </w:rPr>
        <w:t>The estimated fair values, and related carrying amounts, of the Company’s financial instruments that are not previously disclosed in the recurring fair value section are as follows (dollars in thousands):</w:t>
      </w:r>
    </w:p>
    <w:p>
      <w:pPr>
        <w:pStyle w:val="TextBody"/>
        <w:spacing w:before="0" w:after="0"/>
        <w:jc w:val="left"/>
        <w:rPr/>
      </w:pPr>
      <w:r>
        <w:rPr/>
      </w:r>
    </w:p>
    <w:tbl>
      <w:tblPr>
        <w:tblW w:w="9580" w:type="dxa"/>
        <w:jc w:val="left"/>
        <w:tblInd w:w="0" w:type="dxa"/>
        <w:tblCellMar>
          <w:top w:w="0" w:type="dxa"/>
          <w:left w:w="0" w:type="dxa"/>
          <w:bottom w:w="0" w:type="dxa"/>
          <w:right w:w="0" w:type="dxa"/>
        </w:tblCellMar>
      </w:tblPr>
      <w:tblGrid>
        <w:gridCol w:w="4085"/>
        <w:gridCol w:w="60"/>
        <w:gridCol w:w="125"/>
        <w:gridCol w:w="845"/>
        <w:gridCol w:w="60"/>
        <w:gridCol w:w="60"/>
        <w:gridCol w:w="125"/>
        <w:gridCol w:w="695"/>
        <w:gridCol w:w="60"/>
        <w:gridCol w:w="60"/>
        <w:gridCol w:w="125"/>
        <w:gridCol w:w="845"/>
        <w:gridCol w:w="60"/>
        <w:gridCol w:w="60"/>
        <w:gridCol w:w="125"/>
        <w:gridCol w:w="845"/>
        <w:gridCol w:w="60"/>
        <w:gridCol w:w="60"/>
        <w:gridCol w:w="125"/>
        <w:gridCol w:w="845"/>
        <w:gridCol w:w="255"/>
      </w:tblGrid>
      <w:tr>
        <w:trPr/>
        <w:tc>
          <w:tcPr>
            <w:tcW w:w="408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7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Carrying</w:t>
            </w:r>
          </w:p>
          <w:p>
            <w:pPr>
              <w:pStyle w:val="TableContents"/>
              <w:spacing w:before="0" w:after="0"/>
              <w:jc w:val="center"/>
              <w:rPr>
                <w:rFonts w:ascii="Times New Roman" w:hAnsi="Times New Roman"/>
                <w:b/>
                <w:sz w:val="20"/>
              </w:rPr>
            </w:pPr>
            <w:r>
              <w:rPr>
                <w:rFonts w:ascii="Times New Roman" w:hAnsi="Times New Roman"/>
                <w:b/>
                <w:sz w:val="20"/>
              </w:rPr>
              <w:t>Amount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2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Level 1</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7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Level 2</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7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Level 3</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7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Total</w:t>
            </w:r>
          </w:p>
          <w:p>
            <w:pPr>
              <w:pStyle w:val="TableContents"/>
              <w:spacing w:before="0" w:after="0"/>
              <w:jc w:val="center"/>
              <w:rPr>
                <w:rFonts w:ascii="Times New Roman" w:hAnsi="Times New Roman"/>
                <w:b/>
                <w:sz w:val="20"/>
              </w:rPr>
            </w:pPr>
            <w:r>
              <w:rPr>
                <w:rFonts w:ascii="Times New Roman" w:hAnsi="Times New Roman"/>
                <w:b/>
                <w:sz w:val="20"/>
              </w:rPr>
              <w:t>Fair Value</w:t>
            </w:r>
          </w:p>
        </w:tc>
        <w:tc>
          <w:tcPr>
            <w:tcW w:w="255" w:type="dxa"/>
            <w:tcBorders/>
            <w:shd w:fill="auto" w:val="clear"/>
            <w:vAlign w:val="bottom"/>
          </w:tcPr>
          <w:p>
            <w:pPr>
              <w:pStyle w:val="TableContents"/>
              <w:spacing w:before="0" w:after="283"/>
              <w:jc w:val="left"/>
              <w:rPr/>
            </w:pPr>
            <w:r>
              <w:rPr/>
              <w:t> </w:t>
            </w:r>
          </w:p>
        </w:tc>
      </w:tr>
      <w:tr>
        <w:trPr/>
        <w:tc>
          <w:tcPr>
            <w:tcW w:w="408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7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2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7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7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70" w:type="dxa"/>
            <w:gridSpan w:val="2"/>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jc w:val="left"/>
              <w:rPr/>
            </w:pPr>
            <w:r>
              <w:rPr/>
              <w:t> </w:t>
            </w:r>
          </w:p>
        </w:tc>
      </w:tr>
      <w:tr>
        <w:trPr/>
        <w:tc>
          <w:tcPr>
            <w:tcW w:w="4085" w:type="dxa"/>
            <w:tcBorders/>
            <w:shd w:fill="auto" w:val="clear"/>
            <w:vAlign w:val="bottom"/>
          </w:tcPr>
          <w:p>
            <w:pPr>
              <w:pStyle w:val="TableContents"/>
              <w:spacing w:before="0" w:after="0"/>
              <w:ind w:left="180" w:right="0" w:hanging="0"/>
              <w:jc w:val="left"/>
              <w:rPr>
                <w:rFonts w:ascii="Times New Roman" w:hAnsi="Times New Roman"/>
                <w:sz w:val="20"/>
                <w:u w:val="single"/>
              </w:rPr>
            </w:pPr>
            <w:r>
              <w:rPr>
                <w:rFonts w:ascii="Times New Roman" w:hAnsi="Times New Roman"/>
                <w:sz w:val="20"/>
                <w:u w:val="single"/>
              </w:rPr>
              <w:t>March 31, 2023</w:t>
            </w:r>
          </w:p>
        </w:tc>
        <w:tc>
          <w:tcPr>
            <w:tcW w:w="60" w:type="dxa"/>
            <w:tcBorders/>
            <w:shd w:fill="auto" w:val="clear"/>
            <w:vAlign w:val="bottom"/>
          </w:tcPr>
          <w:p>
            <w:pPr>
              <w:pStyle w:val="TableContents"/>
              <w:spacing w:before="0" w:after="283"/>
              <w:rPr/>
            </w:pPr>
            <w:r>
              <w:rPr/>
              <w:t> </w:t>
            </w:r>
          </w:p>
        </w:tc>
        <w:tc>
          <w:tcPr>
            <w:tcW w:w="97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2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7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7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70" w:type="dxa"/>
            <w:gridSpan w:val="2"/>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jc w:val="left"/>
              <w:rPr/>
            </w:pPr>
            <w:r>
              <w:rPr/>
              <w:t> </w:t>
            </w:r>
          </w:p>
        </w:tc>
      </w:tr>
      <w:tr>
        <w:trPr/>
        <w:tc>
          <w:tcPr>
            <w:tcW w:w="4085" w:type="dxa"/>
            <w:tcBorders/>
            <w:shd w:fill="auto"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Financial assets:</w:t>
            </w:r>
          </w:p>
        </w:tc>
        <w:tc>
          <w:tcPr>
            <w:tcW w:w="60" w:type="dxa"/>
            <w:tcBorders/>
            <w:shd w:fill="auto" w:val="clear"/>
            <w:vAlign w:val="bottom"/>
          </w:tcPr>
          <w:p>
            <w:pPr>
              <w:pStyle w:val="TableContents"/>
              <w:spacing w:before="0" w:after="283"/>
              <w:rPr/>
            </w:pPr>
            <w:r>
              <w:rPr/>
              <w:t> </w:t>
            </w:r>
          </w:p>
        </w:tc>
        <w:tc>
          <w:tcPr>
            <w:tcW w:w="97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2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7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7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70" w:type="dxa"/>
            <w:gridSpan w:val="2"/>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jc w:val="left"/>
              <w:rPr/>
            </w:pPr>
            <w:r>
              <w:rPr/>
              <w:t> </w:t>
            </w:r>
          </w:p>
        </w:tc>
      </w:tr>
      <w:tr>
        <w:trPr/>
        <w:tc>
          <w:tcPr>
            <w:tcW w:w="4085" w:type="dxa"/>
            <w:tcBorders/>
            <w:shd w:fill="CCEEFF" w:val="clear"/>
            <w:vAlign w:val="bottom"/>
          </w:tcPr>
          <w:p>
            <w:pPr>
              <w:pStyle w:val="TableContents"/>
              <w:spacing w:before="0" w:after="0"/>
              <w:ind w:left="288" w:right="0" w:hanging="144"/>
              <w:jc w:val="left"/>
              <w:rPr>
                <w:rFonts w:ascii="Times New Roman" w:hAnsi="Times New Roman"/>
                <w:sz w:val="20"/>
              </w:rPr>
            </w:pPr>
            <w:r>
              <w:rPr>
                <w:rFonts w:ascii="Times New Roman" w:hAnsi="Times New Roman"/>
                <w:sz w:val="20"/>
              </w:rPr>
              <w:t>Cash and cash equivalents</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328,002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328,002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328,002</w:t>
            </w:r>
          </w:p>
        </w:tc>
        <w:tc>
          <w:tcPr>
            <w:tcW w:w="255" w:type="dxa"/>
            <w:tcBorders/>
            <w:shd w:fill="CCEEFF" w:val="clear"/>
            <w:vAlign w:val="bottom"/>
          </w:tcPr>
          <w:p>
            <w:pPr>
              <w:pStyle w:val="TableContents"/>
              <w:spacing w:before="0" w:after="283"/>
              <w:jc w:val="left"/>
              <w:rPr/>
            </w:pPr>
            <w:r>
              <w:rPr/>
              <w:t> </w:t>
            </w:r>
          </w:p>
        </w:tc>
      </w:tr>
      <w:tr>
        <w:trPr/>
        <w:tc>
          <w:tcPr>
            <w:tcW w:w="4085" w:type="dxa"/>
            <w:tcBorders/>
            <w:shd w:fill="auto" w:val="clear"/>
            <w:vAlign w:val="bottom"/>
          </w:tcPr>
          <w:p>
            <w:pPr>
              <w:pStyle w:val="TableContents"/>
              <w:spacing w:before="0" w:after="0"/>
              <w:ind w:left="288" w:right="0" w:hanging="144"/>
              <w:jc w:val="left"/>
              <w:rPr>
                <w:rFonts w:ascii="Times New Roman" w:hAnsi="Times New Roman"/>
                <w:sz w:val="20"/>
              </w:rPr>
            </w:pPr>
            <w:r>
              <w:rPr>
                <w:rFonts w:ascii="Times New Roman" w:hAnsi="Times New Roman"/>
                <w:sz w:val="20"/>
              </w:rPr>
              <w:t>Loans held for investment, net</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2,749,080</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0"/>
              <w:jc w:val="right"/>
              <w:rPr/>
            </w:pPr>
            <w:r>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pPr>
            <w:r>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2,697,002</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2,697,002</w:t>
            </w:r>
          </w:p>
        </w:tc>
        <w:tc>
          <w:tcPr>
            <w:tcW w:w="255" w:type="dxa"/>
            <w:tcBorders/>
            <w:shd w:fill="auto" w:val="clear"/>
            <w:vAlign w:val="bottom"/>
          </w:tcPr>
          <w:p>
            <w:pPr>
              <w:pStyle w:val="TableContents"/>
              <w:spacing w:before="0" w:after="283"/>
              <w:ind w:left="0" w:right="0" w:firstLine="180"/>
              <w:jc w:val="left"/>
              <w:rPr/>
            </w:pPr>
            <w:r>
              <w:rPr/>
              <w:t> </w:t>
            </w:r>
          </w:p>
        </w:tc>
      </w:tr>
      <w:tr>
        <w:trPr/>
        <w:tc>
          <w:tcPr>
            <w:tcW w:w="4085" w:type="dxa"/>
            <w:tcBorders/>
            <w:shd w:fill="CCEEFF" w:val="clear"/>
            <w:vAlign w:val="bottom"/>
          </w:tcPr>
          <w:p>
            <w:pPr>
              <w:pStyle w:val="TableContents"/>
              <w:spacing w:before="0" w:after="283"/>
              <w:rPr/>
            </w:pPr>
            <w:r>
              <w:rPr/>
              <w:t>Loans held for sale (best efforts)</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8,872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9,070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9,070</w:t>
            </w:r>
          </w:p>
        </w:tc>
        <w:tc>
          <w:tcPr>
            <w:tcW w:w="255" w:type="dxa"/>
            <w:tcBorders/>
            <w:shd w:fill="CCEEFF" w:val="clear"/>
            <w:vAlign w:val="bottom"/>
          </w:tcPr>
          <w:p>
            <w:pPr>
              <w:pStyle w:val="TableContents"/>
              <w:spacing w:before="0" w:after="283"/>
              <w:jc w:val="left"/>
              <w:rPr/>
            </w:pPr>
            <w:r>
              <w:rPr/>
              <w:t> </w:t>
            </w:r>
          </w:p>
        </w:tc>
      </w:tr>
      <w:tr>
        <w:trPr/>
        <w:tc>
          <w:tcPr>
            <w:tcW w:w="4085" w:type="dxa"/>
            <w:tcBorders/>
            <w:shd w:fill="auto" w:val="clear"/>
            <w:vAlign w:val="bottom"/>
          </w:tcPr>
          <w:p>
            <w:pPr>
              <w:pStyle w:val="TableContents"/>
              <w:spacing w:before="0" w:after="0"/>
              <w:ind w:left="288" w:right="0" w:hanging="144"/>
              <w:jc w:val="left"/>
              <w:rPr>
                <w:rFonts w:ascii="Times New Roman" w:hAnsi="Times New Roman"/>
                <w:sz w:val="20"/>
              </w:rPr>
            </w:pPr>
            <w:r>
              <w:rPr>
                <w:rFonts w:ascii="Times New Roman" w:hAnsi="Times New Roman"/>
                <w:sz w:val="20"/>
              </w:rPr>
              <w:t>Accrued interest receivable</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14,421</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0"/>
              <w:jc w:val="right"/>
              <w:rPr/>
            </w:pPr>
            <w:r>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14,421</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pPr>
            <w:r>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14,421</w:t>
            </w:r>
          </w:p>
        </w:tc>
        <w:tc>
          <w:tcPr>
            <w:tcW w:w="255" w:type="dxa"/>
            <w:tcBorders/>
            <w:shd w:fill="auto" w:val="clear"/>
            <w:vAlign w:val="bottom"/>
          </w:tcPr>
          <w:p>
            <w:pPr>
              <w:pStyle w:val="TableContents"/>
              <w:spacing w:before="0" w:after="283"/>
              <w:jc w:val="left"/>
              <w:rPr/>
            </w:pPr>
            <w:r>
              <w:rPr/>
              <w:t> </w:t>
            </w:r>
          </w:p>
        </w:tc>
      </w:tr>
      <w:tr>
        <w:trPr/>
        <w:tc>
          <w:tcPr>
            <w:tcW w:w="408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255" w:type="dxa"/>
            <w:tcBorders/>
            <w:shd w:fill="CCEEFF" w:val="clear"/>
            <w:vAlign w:val="bottom"/>
          </w:tcPr>
          <w:p>
            <w:pPr>
              <w:pStyle w:val="TableContents"/>
              <w:spacing w:before="0" w:after="283"/>
              <w:jc w:val="left"/>
              <w:rPr/>
            </w:pPr>
            <w:r>
              <w:rPr/>
              <w:t> </w:t>
            </w:r>
          </w:p>
        </w:tc>
      </w:tr>
      <w:tr>
        <w:trPr/>
        <w:tc>
          <w:tcPr>
            <w:tcW w:w="4085" w:type="dxa"/>
            <w:tcBorders/>
            <w:shd w:fill="auto"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Financial liabilities:</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283"/>
              <w:jc w:val="right"/>
              <w:rPr/>
            </w:pPr>
            <w:r>
              <w:rPr/>
              <w:t> </w:t>
            </w:r>
          </w:p>
        </w:tc>
        <w:tc>
          <w:tcPr>
            <w:tcW w:w="255" w:type="dxa"/>
            <w:tcBorders/>
            <w:shd w:fill="auto" w:val="clear"/>
            <w:vAlign w:val="bottom"/>
          </w:tcPr>
          <w:p>
            <w:pPr>
              <w:pStyle w:val="TableContents"/>
              <w:spacing w:before="0" w:after="283"/>
              <w:jc w:val="left"/>
              <w:rPr/>
            </w:pPr>
            <w:r>
              <w:rPr/>
              <w:t> </w:t>
            </w:r>
          </w:p>
        </w:tc>
      </w:tr>
      <w:tr>
        <w:trPr/>
        <w:tc>
          <w:tcPr>
            <w:tcW w:w="4085" w:type="dxa"/>
            <w:tcBorders/>
            <w:shd w:fill="CCEEFF" w:val="clear"/>
            <w:vAlign w:val="bottom"/>
          </w:tcPr>
          <w:p>
            <w:pPr>
              <w:pStyle w:val="TableContents"/>
              <w:spacing w:before="0" w:after="0"/>
              <w:ind w:left="288" w:right="0" w:hanging="144"/>
              <w:jc w:val="left"/>
              <w:rPr>
                <w:rFonts w:ascii="Times New Roman" w:hAnsi="Times New Roman"/>
                <w:sz w:val="20"/>
              </w:rPr>
            </w:pPr>
            <w:r>
              <w:rPr>
                <w:rFonts w:ascii="Times New Roman" w:hAnsi="Times New Roman"/>
                <w:sz w:val="20"/>
              </w:rPr>
              <w:t>Deposits</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3,508,054</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3,507,917</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3,507,917</w:t>
            </w:r>
          </w:p>
        </w:tc>
        <w:tc>
          <w:tcPr>
            <w:tcW w:w="255" w:type="dxa"/>
            <w:tcBorders/>
            <w:shd w:fill="CCEEFF" w:val="clear"/>
            <w:vAlign w:val="bottom"/>
          </w:tcPr>
          <w:p>
            <w:pPr>
              <w:pStyle w:val="TableContents"/>
              <w:spacing w:before="0" w:after="283"/>
              <w:jc w:val="left"/>
              <w:rPr/>
            </w:pPr>
            <w:r>
              <w:rPr/>
              <w:t> </w:t>
            </w:r>
          </w:p>
        </w:tc>
      </w:tr>
      <w:tr>
        <w:trPr/>
        <w:tc>
          <w:tcPr>
            <w:tcW w:w="4085" w:type="dxa"/>
            <w:tcBorders/>
            <w:shd w:fill="auto" w:val="clear"/>
            <w:vAlign w:val="bottom"/>
          </w:tcPr>
          <w:p>
            <w:pPr>
              <w:pStyle w:val="TableContents"/>
              <w:spacing w:before="0" w:after="0"/>
              <w:ind w:left="288" w:right="0" w:hanging="144"/>
              <w:jc w:val="left"/>
              <w:rPr>
                <w:rFonts w:ascii="Times New Roman" w:hAnsi="Times New Roman"/>
                <w:sz w:val="20"/>
              </w:rPr>
            </w:pPr>
            <w:r>
              <w:rPr>
                <w:rFonts w:ascii="Times New Roman" w:hAnsi="Times New Roman"/>
                <w:sz w:val="20"/>
              </w:rPr>
              <w:t>Accrued interest payable</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2,754</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0"/>
              <w:jc w:val="right"/>
              <w:rPr/>
            </w:pPr>
            <w:r>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2,754</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pPr>
            <w:r>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2,754</w:t>
            </w:r>
          </w:p>
        </w:tc>
        <w:tc>
          <w:tcPr>
            <w:tcW w:w="255" w:type="dxa"/>
            <w:tcBorders/>
            <w:shd w:fill="auto" w:val="clear"/>
            <w:vAlign w:val="bottom"/>
          </w:tcPr>
          <w:p>
            <w:pPr>
              <w:pStyle w:val="TableContents"/>
              <w:spacing w:before="0" w:after="283"/>
              <w:jc w:val="left"/>
              <w:rPr/>
            </w:pPr>
            <w:r>
              <w:rPr/>
              <w:t> </w:t>
            </w:r>
          </w:p>
        </w:tc>
      </w:tr>
      <w:tr>
        <w:trPr/>
        <w:tc>
          <w:tcPr>
            <w:tcW w:w="4085" w:type="dxa"/>
            <w:tcBorders/>
            <w:shd w:fill="CCEEFF" w:val="clear"/>
            <w:vAlign w:val="bottom"/>
          </w:tcPr>
          <w:p>
            <w:pPr>
              <w:pStyle w:val="TableContents"/>
              <w:spacing w:before="0" w:after="0"/>
              <w:ind w:left="288" w:right="0" w:hanging="144"/>
              <w:jc w:val="left"/>
              <w:rPr>
                <w:rFonts w:ascii="Times New Roman" w:hAnsi="Times New Roman"/>
                <w:sz w:val="20"/>
              </w:rPr>
            </w:pPr>
            <w:r>
              <w:rPr>
                <w:rFonts w:ascii="Times New Roman" w:hAnsi="Times New Roman"/>
                <w:sz w:val="20"/>
              </w:rPr>
              <w:t>Junior subordinated deferrable interest debentures</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46,393</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32,395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32,395</w:t>
            </w:r>
          </w:p>
        </w:tc>
        <w:tc>
          <w:tcPr>
            <w:tcW w:w="255" w:type="dxa"/>
            <w:tcBorders/>
            <w:shd w:fill="CCEEFF" w:val="clear"/>
            <w:vAlign w:val="bottom"/>
          </w:tcPr>
          <w:p>
            <w:pPr>
              <w:pStyle w:val="TableContents"/>
              <w:spacing w:before="0" w:after="283"/>
              <w:jc w:val="left"/>
              <w:rPr/>
            </w:pPr>
            <w:r>
              <w:rPr/>
              <w:t> </w:t>
            </w:r>
          </w:p>
        </w:tc>
      </w:tr>
      <w:tr>
        <w:trPr/>
        <w:tc>
          <w:tcPr>
            <w:tcW w:w="4085" w:type="dxa"/>
            <w:tcBorders/>
            <w:shd w:fill="auto" w:val="clear"/>
            <w:vAlign w:val="bottom"/>
          </w:tcPr>
          <w:p>
            <w:pPr>
              <w:pStyle w:val="TableContents"/>
              <w:spacing w:before="0" w:after="0"/>
              <w:ind w:left="288" w:right="0" w:hanging="144"/>
              <w:jc w:val="left"/>
              <w:rPr>
                <w:rFonts w:ascii="Times New Roman" w:hAnsi="Times New Roman"/>
                <w:sz w:val="20"/>
              </w:rPr>
            </w:pPr>
            <w:r>
              <w:rPr>
                <w:rFonts w:ascii="Times New Roman" w:hAnsi="Times New Roman"/>
                <w:sz w:val="20"/>
              </w:rPr>
              <w:t>Subordinated debt securities</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76,007</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0"/>
              <w:jc w:val="right"/>
              <w:rPr/>
            </w:pPr>
            <w:r>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64,498</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pPr>
            <w:r>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64,498</w:t>
            </w:r>
          </w:p>
        </w:tc>
        <w:tc>
          <w:tcPr>
            <w:tcW w:w="255" w:type="dxa"/>
            <w:tcBorders/>
            <w:shd w:fill="auto" w:val="clear"/>
            <w:vAlign w:val="bottom"/>
          </w:tcPr>
          <w:p>
            <w:pPr>
              <w:pStyle w:val="TableContents"/>
              <w:spacing w:before="0" w:after="283"/>
              <w:jc w:val="left"/>
              <w:rPr/>
            </w:pPr>
            <w:r>
              <w:rPr/>
              <w:t> </w:t>
            </w:r>
          </w:p>
        </w:tc>
      </w:tr>
    </w:tbl>
    <w:p>
      <w:pPr>
        <w:pStyle w:val="TextBody"/>
        <w:spacing w:before="0" w:after="0"/>
        <w:rPr/>
      </w:pPr>
      <w:r>
        <w:rPr/>
      </w:r>
    </w:p>
    <w:tbl>
      <w:tblPr>
        <w:tblW w:w="9580" w:type="dxa"/>
        <w:jc w:val="left"/>
        <w:tblInd w:w="0" w:type="dxa"/>
        <w:tblCellMar>
          <w:top w:w="0" w:type="dxa"/>
          <w:left w:w="0" w:type="dxa"/>
          <w:bottom w:w="0" w:type="dxa"/>
          <w:right w:w="0" w:type="dxa"/>
        </w:tblCellMar>
      </w:tblPr>
      <w:tblGrid>
        <w:gridCol w:w="4085"/>
        <w:gridCol w:w="60"/>
        <w:gridCol w:w="125"/>
        <w:gridCol w:w="845"/>
        <w:gridCol w:w="60"/>
        <w:gridCol w:w="60"/>
        <w:gridCol w:w="125"/>
        <w:gridCol w:w="695"/>
        <w:gridCol w:w="60"/>
        <w:gridCol w:w="60"/>
        <w:gridCol w:w="125"/>
        <w:gridCol w:w="845"/>
        <w:gridCol w:w="60"/>
        <w:gridCol w:w="60"/>
        <w:gridCol w:w="125"/>
        <w:gridCol w:w="845"/>
        <w:gridCol w:w="60"/>
        <w:gridCol w:w="60"/>
        <w:gridCol w:w="125"/>
        <w:gridCol w:w="845"/>
        <w:gridCol w:w="255"/>
      </w:tblGrid>
      <w:tr>
        <w:trPr/>
        <w:tc>
          <w:tcPr>
            <w:tcW w:w="408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7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Carrying</w:t>
            </w:r>
          </w:p>
          <w:p>
            <w:pPr>
              <w:pStyle w:val="TableContents"/>
              <w:spacing w:before="0" w:after="0"/>
              <w:jc w:val="center"/>
              <w:rPr>
                <w:rFonts w:ascii="Times New Roman" w:hAnsi="Times New Roman"/>
                <w:b/>
                <w:sz w:val="20"/>
              </w:rPr>
            </w:pPr>
            <w:r>
              <w:rPr>
                <w:rFonts w:ascii="Times New Roman" w:hAnsi="Times New Roman"/>
                <w:b/>
                <w:sz w:val="20"/>
              </w:rPr>
              <w:t>Amount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2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Level 1</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7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Level 2</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7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Level 3</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70" w:type="dxa"/>
            <w:gridSpan w:val="2"/>
            <w:tcBorders>
              <w:bottom w:val="single" w:sz="12" w:space="0" w:color="000000"/>
            </w:tcBorders>
            <w:shd w:fill="auto" w:val="clear"/>
            <w:tcMar>
              <w:bottom w:w="28" w:type="dxa"/>
            </w:tcMar>
            <w:vAlign w:val="bottom"/>
          </w:tcPr>
          <w:p>
            <w:pPr>
              <w:pStyle w:val="TableContents"/>
              <w:spacing w:before="0" w:after="0"/>
              <w:jc w:val="center"/>
              <w:rPr>
                <w:rFonts w:ascii="Times New Roman" w:hAnsi="Times New Roman"/>
                <w:b/>
                <w:sz w:val="20"/>
              </w:rPr>
            </w:pPr>
            <w:r>
              <w:rPr>
                <w:rFonts w:ascii="Times New Roman" w:hAnsi="Times New Roman"/>
                <w:b/>
                <w:sz w:val="20"/>
              </w:rPr>
              <w:t>Total</w:t>
            </w:r>
          </w:p>
          <w:p>
            <w:pPr>
              <w:pStyle w:val="TableContents"/>
              <w:spacing w:before="0" w:after="0"/>
              <w:jc w:val="center"/>
              <w:rPr>
                <w:rFonts w:ascii="Times New Roman" w:hAnsi="Times New Roman"/>
                <w:b/>
                <w:sz w:val="20"/>
              </w:rPr>
            </w:pPr>
            <w:r>
              <w:rPr>
                <w:rFonts w:ascii="Times New Roman" w:hAnsi="Times New Roman"/>
                <w:b/>
                <w:sz w:val="20"/>
              </w:rPr>
              <w:t>Fair Value</w:t>
            </w:r>
          </w:p>
        </w:tc>
        <w:tc>
          <w:tcPr>
            <w:tcW w:w="255" w:type="dxa"/>
            <w:tcBorders/>
            <w:shd w:fill="auto" w:val="clear"/>
            <w:vAlign w:val="bottom"/>
          </w:tcPr>
          <w:p>
            <w:pPr>
              <w:pStyle w:val="TableContents"/>
              <w:spacing w:before="0" w:after="283"/>
              <w:jc w:val="left"/>
              <w:rPr/>
            </w:pPr>
            <w:r>
              <w:rPr/>
              <w:t> </w:t>
            </w:r>
          </w:p>
        </w:tc>
      </w:tr>
      <w:tr>
        <w:trPr/>
        <w:tc>
          <w:tcPr>
            <w:tcW w:w="408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7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2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7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7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70" w:type="dxa"/>
            <w:gridSpan w:val="2"/>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jc w:val="left"/>
              <w:rPr/>
            </w:pPr>
            <w:r>
              <w:rPr/>
              <w:t> </w:t>
            </w:r>
          </w:p>
        </w:tc>
      </w:tr>
      <w:tr>
        <w:trPr/>
        <w:tc>
          <w:tcPr>
            <w:tcW w:w="4085" w:type="dxa"/>
            <w:tcBorders/>
            <w:shd w:fill="auto" w:val="clear"/>
            <w:vAlign w:val="bottom"/>
          </w:tcPr>
          <w:p>
            <w:pPr>
              <w:pStyle w:val="TableContents"/>
              <w:spacing w:before="0" w:after="0"/>
              <w:ind w:left="180" w:right="0" w:hanging="0"/>
              <w:jc w:val="left"/>
              <w:rPr>
                <w:rFonts w:ascii="Times New Roman" w:hAnsi="Times New Roman"/>
                <w:sz w:val="20"/>
                <w:u w:val="single"/>
              </w:rPr>
            </w:pPr>
            <w:r>
              <w:rPr>
                <w:rFonts w:ascii="Times New Roman" w:hAnsi="Times New Roman"/>
                <w:sz w:val="20"/>
                <w:u w:val="single"/>
              </w:rPr>
              <w:t>December 31, 2022</w:t>
            </w:r>
          </w:p>
        </w:tc>
        <w:tc>
          <w:tcPr>
            <w:tcW w:w="60" w:type="dxa"/>
            <w:tcBorders/>
            <w:shd w:fill="auto" w:val="clear"/>
            <w:vAlign w:val="bottom"/>
          </w:tcPr>
          <w:p>
            <w:pPr>
              <w:pStyle w:val="TableContents"/>
              <w:spacing w:before="0" w:after="283"/>
              <w:rPr/>
            </w:pPr>
            <w:r>
              <w:rPr/>
              <w:t> </w:t>
            </w:r>
          </w:p>
        </w:tc>
        <w:tc>
          <w:tcPr>
            <w:tcW w:w="97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2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7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7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70" w:type="dxa"/>
            <w:gridSpan w:val="2"/>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jc w:val="left"/>
              <w:rPr/>
            </w:pPr>
            <w:r>
              <w:rPr/>
              <w:t> </w:t>
            </w:r>
          </w:p>
        </w:tc>
      </w:tr>
      <w:tr>
        <w:trPr/>
        <w:tc>
          <w:tcPr>
            <w:tcW w:w="4085" w:type="dxa"/>
            <w:tcBorders/>
            <w:shd w:fill="auto"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Financial assets:</w:t>
            </w:r>
          </w:p>
        </w:tc>
        <w:tc>
          <w:tcPr>
            <w:tcW w:w="60" w:type="dxa"/>
            <w:tcBorders/>
            <w:shd w:fill="auto" w:val="clear"/>
            <w:vAlign w:val="bottom"/>
          </w:tcPr>
          <w:p>
            <w:pPr>
              <w:pStyle w:val="TableContents"/>
              <w:spacing w:before="0" w:after="283"/>
              <w:rPr/>
            </w:pPr>
            <w:r>
              <w:rPr/>
              <w:t> </w:t>
            </w:r>
          </w:p>
        </w:tc>
        <w:tc>
          <w:tcPr>
            <w:tcW w:w="97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2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7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7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970" w:type="dxa"/>
            <w:gridSpan w:val="2"/>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jc w:val="left"/>
              <w:rPr/>
            </w:pPr>
            <w:r>
              <w:rPr/>
              <w:t> </w:t>
            </w:r>
          </w:p>
        </w:tc>
      </w:tr>
      <w:tr>
        <w:trPr/>
        <w:tc>
          <w:tcPr>
            <w:tcW w:w="4085" w:type="dxa"/>
            <w:tcBorders/>
            <w:shd w:fill="CCEEFF" w:val="clear"/>
            <w:vAlign w:val="bottom"/>
          </w:tcPr>
          <w:p>
            <w:pPr>
              <w:pStyle w:val="TableContents"/>
              <w:spacing w:before="0" w:after="0"/>
              <w:ind w:left="288" w:right="0" w:hanging="144"/>
              <w:jc w:val="left"/>
              <w:rPr>
                <w:rFonts w:ascii="Times New Roman" w:hAnsi="Times New Roman"/>
                <w:sz w:val="20"/>
              </w:rPr>
            </w:pPr>
            <w:r>
              <w:rPr>
                <w:rFonts w:ascii="Times New Roman" w:hAnsi="Times New Roman"/>
                <w:sz w:val="20"/>
              </w:rPr>
              <w:t>Cash and cash equivalents</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234,883</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234,883</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234,883</w:t>
            </w:r>
          </w:p>
        </w:tc>
        <w:tc>
          <w:tcPr>
            <w:tcW w:w="255" w:type="dxa"/>
            <w:tcBorders/>
            <w:shd w:fill="CCEEFF" w:val="clear"/>
            <w:vAlign w:val="bottom"/>
          </w:tcPr>
          <w:p>
            <w:pPr>
              <w:pStyle w:val="TableContents"/>
              <w:spacing w:before="0" w:after="283"/>
              <w:jc w:val="left"/>
              <w:rPr/>
            </w:pPr>
            <w:r>
              <w:rPr/>
              <w:t> </w:t>
            </w:r>
          </w:p>
        </w:tc>
      </w:tr>
      <w:tr>
        <w:trPr/>
        <w:tc>
          <w:tcPr>
            <w:tcW w:w="4085" w:type="dxa"/>
            <w:tcBorders/>
            <w:shd w:fill="auto" w:val="clear"/>
            <w:vAlign w:val="bottom"/>
          </w:tcPr>
          <w:p>
            <w:pPr>
              <w:pStyle w:val="TableContents"/>
              <w:spacing w:before="0" w:after="0"/>
              <w:ind w:left="288" w:right="0" w:hanging="144"/>
              <w:jc w:val="left"/>
              <w:rPr>
                <w:rFonts w:ascii="Times New Roman" w:hAnsi="Times New Roman"/>
                <w:sz w:val="20"/>
              </w:rPr>
            </w:pPr>
            <w:r>
              <w:rPr>
                <w:rFonts w:ascii="Times New Roman" w:hAnsi="Times New Roman"/>
                <w:sz w:val="20"/>
              </w:rPr>
              <w:t>Loans held for investment, net</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2,708,793</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0"/>
              <w:jc w:val="right"/>
              <w:rPr/>
            </w:pPr>
            <w:r>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pPr>
            <w:r>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2,662,609</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2,662,609</w:t>
            </w:r>
          </w:p>
        </w:tc>
        <w:tc>
          <w:tcPr>
            <w:tcW w:w="255" w:type="dxa"/>
            <w:tcBorders/>
            <w:shd w:fill="auto" w:val="clear"/>
            <w:vAlign w:val="bottom"/>
          </w:tcPr>
          <w:p>
            <w:pPr>
              <w:pStyle w:val="TableContents"/>
              <w:spacing w:before="0" w:after="283"/>
              <w:ind w:left="0" w:right="0" w:firstLine="180"/>
              <w:jc w:val="left"/>
              <w:rPr/>
            </w:pPr>
            <w:r>
              <w:rPr/>
              <w:t> </w:t>
            </w:r>
          </w:p>
        </w:tc>
      </w:tr>
      <w:tr>
        <w:trPr/>
        <w:tc>
          <w:tcPr>
            <w:tcW w:w="4085" w:type="dxa"/>
            <w:tcBorders/>
            <w:shd w:fill="CCEEFF" w:val="clear"/>
            <w:vAlign w:val="bottom"/>
          </w:tcPr>
          <w:p>
            <w:pPr>
              <w:pStyle w:val="TableContents"/>
              <w:spacing w:before="0" w:after="283"/>
              <w:rPr/>
            </w:pPr>
            <w:r>
              <w:rPr/>
              <w:t>Loans held for sale (best efforts)</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20,365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20,745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20,745</w:t>
            </w:r>
          </w:p>
        </w:tc>
        <w:tc>
          <w:tcPr>
            <w:tcW w:w="255" w:type="dxa"/>
            <w:tcBorders/>
            <w:shd w:fill="CCEEFF" w:val="clear"/>
            <w:vAlign w:val="bottom"/>
          </w:tcPr>
          <w:p>
            <w:pPr>
              <w:pStyle w:val="TableContents"/>
              <w:spacing w:before="0" w:after="283"/>
              <w:jc w:val="left"/>
              <w:rPr/>
            </w:pPr>
            <w:r>
              <w:rPr/>
              <w:t> </w:t>
            </w:r>
          </w:p>
        </w:tc>
      </w:tr>
      <w:tr>
        <w:trPr/>
        <w:tc>
          <w:tcPr>
            <w:tcW w:w="4085" w:type="dxa"/>
            <w:tcBorders/>
            <w:shd w:fill="auto" w:val="clear"/>
            <w:vAlign w:val="bottom"/>
          </w:tcPr>
          <w:p>
            <w:pPr>
              <w:pStyle w:val="TableContents"/>
              <w:spacing w:before="0" w:after="0"/>
              <w:ind w:left="288" w:right="0" w:hanging="144"/>
              <w:jc w:val="left"/>
              <w:rPr>
                <w:rFonts w:ascii="Times New Roman" w:hAnsi="Times New Roman"/>
                <w:sz w:val="20"/>
              </w:rPr>
            </w:pPr>
            <w:r>
              <w:rPr>
                <w:rFonts w:ascii="Times New Roman" w:hAnsi="Times New Roman"/>
                <w:sz w:val="20"/>
              </w:rPr>
              <w:t>Accrued interest receivable</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16,432</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0"/>
              <w:jc w:val="right"/>
              <w:rPr/>
            </w:pPr>
            <w:r>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16,432</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pPr>
            <w:r>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16,432</w:t>
            </w:r>
          </w:p>
        </w:tc>
        <w:tc>
          <w:tcPr>
            <w:tcW w:w="255" w:type="dxa"/>
            <w:tcBorders/>
            <w:shd w:fill="auto" w:val="clear"/>
            <w:vAlign w:val="bottom"/>
          </w:tcPr>
          <w:p>
            <w:pPr>
              <w:pStyle w:val="TableContents"/>
              <w:spacing w:before="0" w:after="283"/>
              <w:jc w:val="left"/>
              <w:rPr/>
            </w:pPr>
            <w:r>
              <w:rPr/>
              <w:t> </w:t>
            </w:r>
          </w:p>
        </w:tc>
      </w:tr>
      <w:tr>
        <w:trPr/>
        <w:tc>
          <w:tcPr>
            <w:tcW w:w="408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283"/>
              <w:jc w:val="right"/>
              <w:rPr/>
            </w:pPr>
            <w:r>
              <w:rPr/>
              <w:t> </w:t>
            </w:r>
          </w:p>
        </w:tc>
        <w:tc>
          <w:tcPr>
            <w:tcW w:w="255" w:type="dxa"/>
            <w:tcBorders/>
            <w:shd w:fill="CCEEFF" w:val="clear"/>
            <w:vAlign w:val="bottom"/>
          </w:tcPr>
          <w:p>
            <w:pPr>
              <w:pStyle w:val="TableContents"/>
              <w:spacing w:before="0" w:after="283"/>
              <w:jc w:val="left"/>
              <w:rPr/>
            </w:pPr>
            <w:r>
              <w:rPr/>
              <w:t> </w:t>
            </w:r>
          </w:p>
        </w:tc>
      </w:tr>
      <w:tr>
        <w:trPr/>
        <w:tc>
          <w:tcPr>
            <w:tcW w:w="4085" w:type="dxa"/>
            <w:tcBorders/>
            <w:shd w:fill="auto"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Financial liabilities:</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283"/>
              <w:jc w:val="right"/>
              <w:rPr/>
            </w:pPr>
            <w:r>
              <w:rPr/>
              <w:t> </w:t>
            </w:r>
          </w:p>
        </w:tc>
        <w:tc>
          <w:tcPr>
            <w:tcW w:w="255" w:type="dxa"/>
            <w:tcBorders/>
            <w:shd w:fill="auto" w:val="clear"/>
            <w:vAlign w:val="bottom"/>
          </w:tcPr>
          <w:p>
            <w:pPr>
              <w:pStyle w:val="TableContents"/>
              <w:spacing w:before="0" w:after="283"/>
              <w:jc w:val="left"/>
              <w:rPr/>
            </w:pPr>
            <w:r>
              <w:rPr/>
              <w:t> </w:t>
            </w:r>
          </w:p>
        </w:tc>
      </w:tr>
      <w:tr>
        <w:trPr/>
        <w:tc>
          <w:tcPr>
            <w:tcW w:w="4085" w:type="dxa"/>
            <w:tcBorders/>
            <w:shd w:fill="CCEEFF" w:val="clear"/>
            <w:vAlign w:val="bottom"/>
          </w:tcPr>
          <w:p>
            <w:pPr>
              <w:pStyle w:val="TableContents"/>
              <w:spacing w:before="0" w:after="0"/>
              <w:ind w:left="288" w:right="0" w:hanging="144"/>
              <w:jc w:val="left"/>
              <w:rPr>
                <w:rFonts w:ascii="Times New Roman" w:hAnsi="Times New Roman"/>
                <w:sz w:val="20"/>
              </w:rPr>
            </w:pPr>
            <w:r>
              <w:rPr>
                <w:rFonts w:ascii="Times New Roman" w:hAnsi="Times New Roman"/>
                <w:sz w:val="20"/>
              </w:rPr>
              <w:t>Deposits</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3,406,430</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3,405,222</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3,405,222</w:t>
            </w:r>
          </w:p>
        </w:tc>
        <w:tc>
          <w:tcPr>
            <w:tcW w:w="255" w:type="dxa"/>
            <w:tcBorders/>
            <w:shd w:fill="CCEEFF" w:val="clear"/>
            <w:vAlign w:val="bottom"/>
          </w:tcPr>
          <w:p>
            <w:pPr>
              <w:pStyle w:val="TableContents"/>
              <w:spacing w:before="0" w:after="283"/>
              <w:jc w:val="left"/>
              <w:rPr/>
            </w:pPr>
            <w:r>
              <w:rPr/>
              <w:t> </w:t>
            </w:r>
          </w:p>
        </w:tc>
      </w:tr>
      <w:tr>
        <w:trPr/>
        <w:tc>
          <w:tcPr>
            <w:tcW w:w="4085" w:type="dxa"/>
            <w:tcBorders/>
            <w:shd w:fill="auto" w:val="clear"/>
            <w:vAlign w:val="bottom"/>
          </w:tcPr>
          <w:p>
            <w:pPr>
              <w:pStyle w:val="TableContents"/>
              <w:spacing w:before="0" w:after="0"/>
              <w:ind w:left="288" w:right="0" w:hanging="144"/>
              <w:jc w:val="left"/>
              <w:rPr>
                <w:rFonts w:ascii="Times New Roman" w:hAnsi="Times New Roman"/>
                <w:sz w:val="20"/>
              </w:rPr>
            </w:pPr>
            <w:r>
              <w:rPr>
                <w:rFonts w:ascii="Times New Roman" w:hAnsi="Times New Roman"/>
                <w:sz w:val="20"/>
              </w:rPr>
              <w:t>Accrued interest payable</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2,836</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0"/>
              <w:jc w:val="right"/>
              <w:rPr/>
            </w:pPr>
            <w:r>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2,836</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pPr>
            <w:r>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2,836</w:t>
            </w:r>
          </w:p>
        </w:tc>
        <w:tc>
          <w:tcPr>
            <w:tcW w:w="255" w:type="dxa"/>
            <w:tcBorders/>
            <w:shd w:fill="auto" w:val="clear"/>
            <w:vAlign w:val="bottom"/>
          </w:tcPr>
          <w:p>
            <w:pPr>
              <w:pStyle w:val="TableContents"/>
              <w:spacing w:before="0" w:after="283"/>
              <w:jc w:val="left"/>
              <w:rPr/>
            </w:pPr>
            <w:r>
              <w:rPr/>
              <w:t> </w:t>
            </w:r>
          </w:p>
        </w:tc>
      </w:tr>
      <w:tr>
        <w:trPr/>
        <w:tc>
          <w:tcPr>
            <w:tcW w:w="4085" w:type="dxa"/>
            <w:tcBorders/>
            <w:shd w:fill="CCEEFF" w:val="clear"/>
            <w:vAlign w:val="bottom"/>
          </w:tcPr>
          <w:p>
            <w:pPr>
              <w:pStyle w:val="TableContents"/>
              <w:spacing w:before="0" w:after="0"/>
              <w:ind w:left="288" w:right="0" w:hanging="144"/>
              <w:jc w:val="left"/>
              <w:rPr>
                <w:rFonts w:ascii="Times New Roman" w:hAnsi="Times New Roman"/>
                <w:sz w:val="20"/>
              </w:rPr>
            </w:pPr>
            <w:r>
              <w:rPr>
                <w:rFonts w:ascii="Times New Roman" w:hAnsi="Times New Roman"/>
                <w:sz w:val="20"/>
              </w:rPr>
              <w:t>Junior subordinated deferrable interest debentures</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46,393</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95"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34,606</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845" w:type="dxa"/>
            <w:tcBorders/>
            <w:shd w:fill="CCEEFF" w:val="clear"/>
            <w:vAlign w:val="bottom"/>
          </w:tcPr>
          <w:p>
            <w:pPr>
              <w:pStyle w:val="TableContents"/>
              <w:spacing w:before="0" w:after="0"/>
              <w:jc w:val="right"/>
              <w:rPr>
                <w:rFonts w:ascii="Times New Roman" w:hAnsi="Times New Roman"/>
                <w:sz w:val="20"/>
              </w:rPr>
            </w:pPr>
            <w:r>
              <w:rPr>
                <w:rFonts w:ascii="Times New Roman" w:hAnsi="Times New Roman"/>
                <w:sz w:val="20"/>
              </w:rPr>
              <w:t>34,606</w:t>
            </w:r>
          </w:p>
        </w:tc>
        <w:tc>
          <w:tcPr>
            <w:tcW w:w="255" w:type="dxa"/>
            <w:tcBorders/>
            <w:shd w:fill="CCEEFF" w:val="clear"/>
            <w:vAlign w:val="bottom"/>
          </w:tcPr>
          <w:p>
            <w:pPr>
              <w:pStyle w:val="TableContents"/>
              <w:spacing w:before="0" w:after="283"/>
              <w:jc w:val="left"/>
              <w:rPr/>
            </w:pPr>
            <w:r>
              <w:rPr/>
              <w:t> </w:t>
            </w:r>
          </w:p>
        </w:tc>
      </w:tr>
      <w:tr>
        <w:trPr/>
        <w:tc>
          <w:tcPr>
            <w:tcW w:w="4085" w:type="dxa"/>
            <w:tcBorders/>
            <w:shd w:fill="auto" w:val="clear"/>
            <w:vAlign w:val="bottom"/>
          </w:tcPr>
          <w:p>
            <w:pPr>
              <w:pStyle w:val="TableContents"/>
              <w:spacing w:before="0" w:after="0"/>
              <w:ind w:left="288" w:right="0" w:hanging="144"/>
              <w:jc w:val="left"/>
              <w:rPr>
                <w:rFonts w:ascii="Times New Roman" w:hAnsi="Times New Roman"/>
                <w:sz w:val="20"/>
              </w:rPr>
            </w:pPr>
            <w:r>
              <w:rPr>
                <w:rFonts w:ascii="Times New Roman" w:hAnsi="Times New Roman"/>
                <w:sz w:val="20"/>
              </w:rPr>
              <w:t>Subordinated debt securities</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75,961</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695" w:type="dxa"/>
            <w:tcBorders/>
            <w:shd w:fill="auto" w:val="clear"/>
            <w:vAlign w:val="bottom"/>
          </w:tcPr>
          <w:p>
            <w:pPr>
              <w:pStyle w:val="TableContents"/>
              <w:spacing w:before="0" w:after="0"/>
              <w:jc w:val="right"/>
              <w:rPr/>
            </w:pPr>
            <w:r>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70,835</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pPr>
            <w:r>
              <w:rPr/>
              <w:t>—</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845" w:type="dxa"/>
            <w:tcBorders/>
            <w:shd w:fill="auto" w:val="clear"/>
            <w:vAlign w:val="bottom"/>
          </w:tcPr>
          <w:p>
            <w:pPr>
              <w:pStyle w:val="TableContents"/>
              <w:spacing w:before="0" w:after="0"/>
              <w:jc w:val="right"/>
              <w:rPr>
                <w:rFonts w:ascii="Times New Roman" w:hAnsi="Times New Roman"/>
                <w:sz w:val="20"/>
              </w:rPr>
            </w:pPr>
            <w:r>
              <w:rPr>
                <w:rFonts w:ascii="Times New Roman" w:hAnsi="Times New Roman"/>
                <w:sz w:val="20"/>
              </w:rPr>
              <w:t>70,835</w:t>
            </w:r>
          </w:p>
        </w:tc>
        <w:tc>
          <w:tcPr>
            <w:tcW w:w="255" w:type="dxa"/>
            <w:tcBorders/>
            <w:shd w:fill="auto" w:val="clear"/>
            <w:vAlign w:val="bottom"/>
          </w:tcPr>
          <w:p>
            <w:pPr>
              <w:pStyle w:val="TableContents"/>
              <w:spacing w:before="0" w:after="283"/>
              <w:jc w:val="left"/>
              <w:rPr/>
            </w:pPr>
            <w:r>
              <w:rPr/>
              <w:t> </w:t>
            </w:r>
          </w:p>
        </w:tc>
      </w:tr>
    </w:tbl>
    <w:p>
      <w:pPr>
        <w:pStyle w:val="TextBody"/>
        <w:jc w:val="left"/>
        <w:rPr/>
      </w:pPr>
      <w:r>
        <w:rPr/>
      </w:r>
    </w:p>
    <w:p>
      <w:pPr>
        <w:pStyle w:val="TextBody"/>
        <w:spacing w:before="0" w:after="0"/>
        <w:jc w:val="left"/>
        <w:rPr>
          <w:rFonts w:ascii="Times New Roman" w:hAnsi="Times New Roman"/>
          <w:b/>
          <w:color w:val="000000"/>
          <w:sz w:val="20"/>
        </w:rPr>
      </w:pPr>
      <w:r>
        <w:rPr>
          <w:rFonts w:ascii="Times New Roman" w:hAnsi="Times New Roman"/>
          <w:b/>
          <w:color w:val="000000"/>
          <w:sz w:val="20"/>
        </w:rPr>
        <w:t>14.  SUBSEQUENT EVENTS</w:t>
      </w:r>
    </w:p>
    <w:p>
      <w:pPr>
        <w:pStyle w:val="TextBody"/>
        <w:spacing w:before="0" w:after="0"/>
        <w:jc w:val="left"/>
        <w:rPr>
          <w:rFonts w:ascii="Times New Roman" w:hAnsi="Times New Roman"/>
        </w:rPr>
      </w:pPr>
      <w:r>
        <w:rPr>
          <w:rFonts w:ascii="Times New Roman" w:hAnsi="Times New Roman"/>
        </w:rPr>
      </w:r>
    </w:p>
    <w:p>
      <w:pPr>
        <w:pStyle w:val="TextBody"/>
        <w:spacing w:before="0" w:after="0"/>
        <w:jc w:val="both"/>
        <w:rPr>
          <w:rFonts w:ascii="Times New Roman;Times;serif" w:hAnsi="Times New Roman;Times;serif"/>
          <w:i/>
          <w:color w:val="000000"/>
          <w:sz w:val="20"/>
        </w:rPr>
      </w:pPr>
      <w:r>
        <w:rPr>
          <w:rFonts w:ascii="Times New Roman;Times;serif" w:hAnsi="Times New Roman;Times;serif"/>
          <w:i/>
          <w:color w:val="000000"/>
          <w:sz w:val="20"/>
        </w:rPr>
        <w:t>Dividend Declaration</w:t>
      </w:r>
    </w:p>
    <w:p>
      <w:pPr>
        <w:pStyle w:val="TextBody"/>
        <w:spacing w:before="0" w:after="0"/>
        <w:jc w:val="left"/>
        <w:rPr/>
      </w:pPr>
      <w:r>
        <w:rPr/>
      </w:r>
    </w:p>
    <w:p>
      <w:pPr>
        <w:pStyle w:val="TextBody"/>
        <w:spacing w:before="0" w:after="0"/>
        <w:jc w:val="both"/>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On April 20, 2023, the Company declared a cash dividend of $0.13 per share of common stock to be paid on May 15, 2023 to all shareholders of record as of May 1, 2023.</w:t>
      </w:r>
    </w:p>
    <w:p>
      <w:pPr>
        <w:pStyle w:val="TextBody"/>
        <w:spacing w:before="0" w:after="0"/>
        <w:jc w:val="left"/>
        <w:rPr/>
      </w:pPr>
      <w:r>
        <w:rPr/>
      </w:r>
    </w:p>
    <w:p>
      <w:pPr>
        <w:pStyle w:val="TextBody"/>
        <w:spacing w:before="0" w:after="0"/>
        <w:jc w:val="both"/>
        <w:rPr>
          <w:rFonts w:ascii="Times New Roman;Times;serif" w:hAnsi="Times New Roman;Times;serif"/>
          <w:i/>
          <w:color w:val="000000"/>
          <w:sz w:val="20"/>
        </w:rPr>
      </w:pPr>
      <w:r>
        <w:rPr>
          <w:rFonts w:ascii="Times New Roman;Times;serif" w:hAnsi="Times New Roman;Times;serif"/>
          <w:i/>
          <w:color w:val="000000"/>
          <w:sz w:val="20"/>
        </w:rPr>
        <w:t>Windmark Sale</w:t>
      </w:r>
    </w:p>
    <w:p>
      <w:pPr>
        <w:pStyle w:val="TextBody"/>
        <w:spacing w:before="0" w:after="0"/>
        <w:jc w:val="left"/>
        <w:rPr/>
      </w:pPr>
      <w:r>
        <w:rPr/>
      </w:r>
    </w:p>
    <w:p>
      <w:pPr>
        <w:pStyle w:val="TextBody"/>
        <w:spacing w:before="0" w:after="0"/>
        <w:jc w:val="both"/>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On April 1, 2023, the Company entered into a Securities Purchase Agreement (“Agreement”) with Alliant Insurance Services, Inc., a California corporation (“Alliant”), providing for the sale of Windmark through a sale of all of the outstanding shares of capital stock of Windmark to Alliant. The transaction was consummated on April 1, 2023. Pursuant to the terms and subject to the conditions of the Agreement, the Company received an aggregate purchase price of $35.5 million in exchange for Windmark’s shares. The purchase price may be increased by the net amount of Windmark working capital as provided in the Agreement. The Agreement contains certain post-closing obligations of the Company, such as providing transition services to Alliant, indemnification obligations, and restrictive covenants that restrict the Company from soliciting the customers and employees of Windmark, or competing with Alliant in Texas, Oklahoma, Colorado, Nebraska, Kansas, Iowa, and Wyoming for a term of five (5) years, subject to certain conditions and exceptions as provided in the Agreement. The aggregate transaction costs incurred by the Company are approximately $3.1 million, which includes, without limitation, legal and accounting costs, payment for tail insurance coverage for the directors and officers of Windmark as contemplated by the Agreement, and payments to certain employees of Windmark in connection with the transaction.</w:t>
      </w:r>
    </w:p>
    <w:p>
      <w:pPr>
        <w:pStyle w:val="TextBody"/>
        <w:spacing w:before="0" w:after="0"/>
        <w:jc w:val="both"/>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28</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b w:val="false"/>
            <w:i/>
            <w:color w:val="000000"/>
            <w:sz w:val="16"/>
          </w:rPr>
          <w:t>Table of Contents</w:t>
        </w:r>
      </w:hyperlink>
    </w:p>
    <w:p>
      <w:pPr>
        <w:pStyle w:val="TextBody"/>
        <w:spacing w:before="0" w:after="0"/>
        <w:jc w:val="both"/>
        <w:rPr>
          <w:rFonts w:ascii="Times New Roman" w:hAnsi="Times New Roman"/>
          <w:b w:val="false"/>
          <w:i w:val="false"/>
          <w:caps w:val="false"/>
          <w:smallCaps w:val="false"/>
          <w:color w:val="000000"/>
          <w:sz w:val="20"/>
          <w:highlight w:val="white"/>
        </w:rPr>
      </w:pPr>
      <w:r>
        <w:rPr>
          <w:rFonts w:ascii="Times New Roman;Times;serif" w:hAnsi="Times New Roman;Times;serif"/>
          <w:b w:val="false"/>
          <w:i/>
          <w:caps w:val="false"/>
          <w:smallCaps w:val="false"/>
          <w:color w:val="000000"/>
          <w:sz w:val="20"/>
          <w:highlight w:val="white"/>
        </w:rPr>
        <w:t>New Stock Repurchase Program</w:t>
        <w:br/>
      </w:r>
      <w:r>
        <w:rPr>
          <w:rFonts w:ascii="Times New Roman" w:hAnsi="Times New Roman"/>
          <w:b w:val="false"/>
          <w:i w:val="false"/>
          <w:caps w:val="false"/>
          <w:smallCaps w:val="false"/>
          <w:color w:val="000000"/>
          <w:sz w:val="20"/>
          <w:highlight w:val="white"/>
        </w:rPr>
        <w:br/>
        <w:t>On May 5, 2023, SPFI’s board of directors (the “Board”) approved a new stock repurchase program for up to $15.0 million of the outstanding shares of the Company’s common stock (the “Stock Repurchase Program”). The Stock Repurchase Program began on May 5, 2023 and has an expiration date of May 5, 2024, subject to earlier termination or extension of the Stock Repurchase Program by the Board. Under the Stock Repurchase Program, SPFI may repurchase shares of common stock from time to time in privately negotiated transactions or the open market, including pursuant to Rule 10b5-1 trading plans, and in accordance with applicable regulations of the SEC. The extent to which SPFI repurchases its shares, and the timing of such repurchases, will depend upon a variety of factors, including the performance of SPFI’s stock price, general market and economic conditions, regulatory requirements, availability of funds, and other relevant considerations, as determined by SPFI. SPFI may, in its discretion, begin or terminate repurchases at any time prior to the Stock Repurchase Program’s expiration, without any prior notice. The Stock Repurchase Program does not obligate SPFI to repurchase any particular number or amount of shares of common stock.</w:t>
      </w:r>
    </w:p>
    <w:p>
      <w:pPr>
        <w:pStyle w:val="TextBody"/>
        <w:spacing w:before="0" w:after="0"/>
        <w:jc w:val="both"/>
        <w:rPr>
          <w:rFonts w:ascii="Times New Roman" w:hAnsi="Times New Roman"/>
          <w:sz w:val="20"/>
        </w:rPr>
      </w:pPr>
      <w:r>
        <w:rPr>
          <w:rFonts w:ascii="Times New Roman" w:hAnsi="Times New Roman"/>
          <w:sz w:val="20"/>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29</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b w:val="false"/>
            <w:i/>
            <w:color w:val="000000"/>
            <w:sz w:val="16"/>
          </w:rPr>
          <w:t>Table of Contents</w:t>
        </w:r>
      </w:hyperlink>
    </w:p>
    <w:p>
      <w:pPr>
        <w:pStyle w:val="Normal"/>
        <w:spacing w:before="0" w:after="0"/>
        <w:rPr>
          <w:sz w:val="4"/>
          <w:szCs w:val="4"/>
        </w:rPr>
      </w:pPr>
      <w:r>
        <w:rPr>
          <w:sz w:val="4"/>
          <w:szCs w:val="4"/>
        </w:rPr>
      </w:r>
      <w:bookmarkStart w:id="9" w:name="ManagementsDiscussionandA"/>
      <w:bookmarkStart w:id="10" w:name="ManagementsDiscussionandA"/>
      <w:bookmarkEnd w:id="10"/>
    </w:p>
    <w:tbl>
      <w:tblPr>
        <w:tblW w:w="9790" w:type="dxa"/>
        <w:jc w:val="left"/>
        <w:tblInd w:w="0" w:type="dxa"/>
        <w:tblCellMar>
          <w:top w:w="0" w:type="dxa"/>
          <w:left w:w="0" w:type="dxa"/>
          <w:bottom w:w="0" w:type="dxa"/>
          <w:right w:w="0" w:type="dxa"/>
        </w:tblCellMar>
      </w:tblPr>
      <w:tblGrid>
        <w:gridCol w:w="740"/>
        <w:gridCol w:w="9050"/>
      </w:tblGrid>
      <w:tr>
        <w:trPr/>
        <w:tc>
          <w:tcPr>
            <w:tcW w:w="740" w:type="dxa"/>
            <w:tcBorders/>
            <w:shd w:fill="auto" w:val="clear"/>
            <w:vAlign w:val="center"/>
          </w:tcPr>
          <w:p>
            <w:pPr>
              <w:pStyle w:val="TableContents"/>
              <w:spacing w:before="0" w:after="283"/>
              <w:rPr>
                <w:b/>
                <w:color w:val="000000"/>
              </w:rPr>
            </w:pPr>
            <w:r>
              <w:rPr>
                <w:b/>
                <w:color w:val="000000"/>
              </w:rPr>
              <w:t>Item 2.</w:t>
            </w:r>
          </w:p>
        </w:tc>
        <w:tc>
          <w:tcPr>
            <w:tcW w:w="9050" w:type="dxa"/>
            <w:tcBorders/>
            <w:shd w:fill="auto" w:val="clear"/>
            <w:vAlign w:val="center"/>
          </w:tcPr>
          <w:p>
            <w:pPr>
              <w:pStyle w:val="TableContents"/>
              <w:spacing w:before="0" w:after="0"/>
              <w:rPr>
                <w:b/>
                <w:color w:val="000000"/>
              </w:rPr>
            </w:pPr>
            <w:r>
              <w:rPr>
                <w:b/>
                <w:color w:val="000000"/>
              </w:rPr>
              <w:t>Management’s Discussion and Analysis of Financial Condition and Results of Operations</w:t>
            </w:r>
          </w:p>
        </w:tc>
      </w:tr>
    </w:tbl>
    <w:p>
      <w:pPr>
        <w:pStyle w:val="TextBody"/>
        <w:spacing w:before="0" w:after="0"/>
        <w:jc w:val="left"/>
        <w:rPr/>
      </w:pPr>
      <w:r>
        <w:rPr/>
      </w:r>
    </w:p>
    <w:p>
      <w:pPr>
        <w:pStyle w:val="TextBody"/>
        <w:spacing w:before="0" w:after="0"/>
        <w:jc w:val="both"/>
        <w:rPr>
          <w:rFonts w:ascii="Times New Roman" w:hAnsi="Times New Roman"/>
          <w:i/>
          <w:color w:val="000000"/>
          <w:sz w:val="20"/>
        </w:rPr>
      </w:pPr>
      <w:r>
        <w:rPr>
          <w:rFonts w:ascii="Times New Roman" w:hAnsi="Times New Roman"/>
          <w:i/>
          <w:color w:val="000000"/>
          <w:sz w:val="20"/>
        </w:rPr>
        <w:t>The following discussion and analysis is intended to assist readers in understanding our financial condition as of and results of operations for the period covered by this Quarterly Report on Form 10-Q (this “Form 10-Q”) and should be read in conjunction with our consolidated financial statements and the accompanying notes thereto included in this Form 10-Q and in our Annual Report on Form 10-K for the year ended December 31, 2022 (the “2022 Annual Report on Form 10-K”) filed with the Securities and Exchange Commission (the “SEC”) pursuant to Rule 424(b) of the Securities Act of 1933, as amended (the “Securities Act”), on March 13, 2023. Unless we state otherwise or the context otherwise requires, references in this Form 10-Q to “we,” “our,” “us” and “the Company” refer to South Plains Financial, Inc., a Texas corporation, our wholly-owned banking subsidiary, City Bank, a Texas banking association and our other consolidated subsidiaries. References in this Form 10-Q to the “Bank” refer to City Bank.</w:t>
      </w:r>
    </w:p>
    <w:p>
      <w:pPr>
        <w:pStyle w:val="TextBody"/>
        <w:spacing w:before="0" w:after="0"/>
        <w:jc w:val="left"/>
        <w:rPr/>
      </w:pPr>
      <w:r>
        <w:rPr/>
      </w:r>
    </w:p>
    <w:p>
      <w:pPr>
        <w:pStyle w:val="TextBody"/>
        <w:spacing w:before="0" w:after="0"/>
        <w:jc w:val="left"/>
        <w:rPr>
          <w:rFonts w:ascii="Times New Roman" w:hAnsi="Times New Roman"/>
          <w:color w:val="000000"/>
          <w:sz w:val="20"/>
        </w:rPr>
      </w:pPr>
      <w:r>
        <w:rPr>
          <w:rFonts w:ascii="Times New Roman" w:hAnsi="Times New Roman"/>
          <w:color w:val="000000"/>
          <w:sz w:val="20"/>
        </w:rPr>
        <w:t>C</w:t>
      </w:r>
      <w:r>
        <w:rPr>
          <w:rFonts w:ascii="Times New Roman" w:hAnsi="Times New Roman"/>
          <w:b/>
          <w:color w:val="000000"/>
          <w:sz w:val="20"/>
        </w:rPr>
        <w:t>autionary Notice Regarding Forward-Looking Statements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This Form 10-Q contains statements that we believe are “forward-looking statements” within the meaning of Section 27A of the Securities Act and Section 21E of the Securities Exchange Act of 1934, as amended (the “Exchange Act”). These forward-looking statements reflect our current views with respect to, among other things, future events and our financial performance. These statements are often, but not always, made through the use of words or phrases such as “may,” “might,” “should,” “could,” “predict,” “potential,” “believe,” “expect,” “continue,” “will,” “anticipate,” “seek,” “estimate,” “intend,” “plan,” “strive,” “projection,” “goal,” “target,” “outlook,” “aim,” “would,” “annualized” and “outlook,” or the negative version of those words or other comparable words or phrases of a future or forward-looking nature. These forward-looking statements are not historical facts, and are based on current expectations, estimates and projections about our industry, management’s beliefs and certain assumptions made by management, many of which, by their nature, are inherently uncertain and beyond our control. Accordingly, we caution you that any such forward-looking statements are not guarantees of future performance and are subject to risks, assumptions, estimates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pStyle w:val="TextBody"/>
        <w:spacing w:before="0" w:after="0"/>
        <w:jc w:val="left"/>
        <w:rPr/>
      </w:pPr>
      <w:r>
        <w:rPr/>
      </w:r>
    </w:p>
    <w:p>
      <w:pPr>
        <w:pStyle w:val="TextBody"/>
        <w:spacing w:before="0" w:after="0"/>
        <w:jc w:val="left"/>
        <w:rPr>
          <w:rFonts w:ascii="Times New Roman" w:hAnsi="Times New Roman"/>
          <w:color w:val="000000"/>
          <w:sz w:val="20"/>
        </w:rPr>
      </w:pPr>
      <w:r>
        <w:rPr>
          <w:rFonts w:ascii="Times New Roman" w:hAnsi="Times New Roman"/>
          <w:color w:val="000000"/>
          <w:sz w:val="20"/>
        </w:rPr>
        <w:t>There are or will be important factors that could cause our actual results to differ materially from those indicated in these forward-looking statements, including, but not limited to, the following:</w:t>
      </w:r>
    </w:p>
    <w:p>
      <w:pPr>
        <w:pStyle w:val="TextBody"/>
        <w:spacing w:before="0" w:after="0"/>
        <w:jc w:val="left"/>
        <w:rPr/>
      </w:pPr>
      <w:r>
        <w:rPr/>
      </w:r>
    </w:p>
    <w:tbl>
      <w:tblPr>
        <w:tblW w:w="5973" w:type="dxa"/>
        <w:jc w:val="left"/>
        <w:tblInd w:w="0" w:type="dxa"/>
        <w:tblCellMar>
          <w:top w:w="0" w:type="dxa"/>
          <w:left w:w="0" w:type="dxa"/>
          <w:bottom w:w="0" w:type="dxa"/>
          <w:right w:w="0" w:type="dxa"/>
        </w:tblCellMar>
      </w:tblPr>
      <w:tblGrid>
        <w:gridCol w:w="38"/>
        <w:gridCol w:w="170"/>
        <w:gridCol w:w="5765"/>
      </w:tblGrid>
      <w:tr>
        <w:trPr/>
        <w:tc>
          <w:tcPr>
            <w:tcW w:w="38" w:type="dxa"/>
            <w:tcBorders/>
            <w:shd w:fill="auto" w:val="clear"/>
            <w:vAlign w:val="center"/>
          </w:tcPr>
          <w:p>
            <w:pPr>
              <w:pStyle w:val="TableContents"/>
              <w:spacing w:before="0" w:after="283"/>
              <w:rPr/>
            </w:pPr>
            <w:r>
              <w:rPr/>
            </w:r>
          </w:p>
        </w:tc>
        <w:tc>
          <w:tcPr>
            <w:tcW w:w="170" w:type="dxa"/>
            <w:tcBorders/>
            <w:shd w:fill="auto" w:val="clear"/>
            <w:vAlign w:val="center"/>
          </w:tcPr>
          <w:p>
            <w:pPr>
              <w:pStyle w:val="TableContents"/>
              <w:spacing w:before="0" w:after="283"/>
              <w:rPr>
                <w:color w:val="000000"/>
              </w:rPr>
            </w:pPr>
            <w:r>
              <w:rPr>
                <w:color w:val="000000"/>
              </w:rPr>
              <w:t>●</w:t>
            </w:r>
          </w:p>
        </w:tc>
        <w:tc>
          <w:tcPr>
            <w:tcW w:w="5765" w:type="dxa"/>
            <w:tcBorders/>
            <w:shd w:fill="auto" w:val="clear"/>
            <w:vAlign w:val="center"/>
          </w:tcPr>
          <w:p>
            <w:pPr>
              <w:pStyle w:val="TableContents"/>
              <w:spacing w:before="0" w:after="0"/>
              <w:jc w:val="both"/>
              <w:rPr>
                <w:color w:val="000000"/>
              </w:rPr>
            </w:pPr>
            <w:r>
              <w:rPr>
                <w:color w:val="000000"/>
              </w:rPr>
              <w:t>potential recession in the United States and our market areas;</w:t>
            </w:r>
          </w:p>
        </w:tc>
      </w:tr>
    </w:tbl>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pPr>
            <w:r>
              <w:rPr/>
            </w:r>
          </w:p>
        </w:tc>
        <w:tc>
          <w:tcPr>
            <w:tcW w:w="170" w:type="dxa"/>
            <w:tcBorders/>
            <w:shd w:fill="auto" w:val="clear"/>
            <w:vAlign w:val="center"/>
          </w:tcPr>
          <w:p>
            <w:pPr>
              <w:pStyle w:val="TableContents"/>
              <w:spacing w:before="0" w:after="283"/>
              <w:rPr>
                <w:color w:val="000000"/>
              </w:rPr>
            </w:pPr>
            <w:r>
              <w:rPr>
                <w:color w:val="000000"/>
              </w:rPr>
              <w:t>●</w:t>
            </w:r>
          </w:p>
        </w:tc>
        <w:tc>
          <w:tcPr>
            <w:tcW w:w="9997" w:type="dxa"/>
            <w:tcBorders/>
            <w:shd w:fill="auto" w:val="clear"/>
            <w:vAlign w:val="center"/>
          </w:tcPr>
          <w:p>
            <w:pPr>
              <w:pStyle w:val="TableContents"/>
              <w:spacing w:before="0" w:after="0"/>
              <w:jc w:val="both"/>
              <w:rPr>
                <w:color w:val="000000"/>
              </w:rPr>
            </w:pPr>
            <w:r>
              <w:rPr>
                <w:color w:val="000000"/>
              </w:rPr>
              <w:t>the impacts related to or resulting from recent bank failures and any continuation of the recent uncertainty in the banking industry, including the associated impact to the Company and other financial institutions of any regulatory changes or other mitigation efforts taken by government agencies in response thereto;</w:t>
            </w:r>
          </w:p>
        </w:tc>
      </w:tr>
    </w:tbl>
    <w:tbl>
      <w:tblPr>
        <w:tblW w:w="8208" w:type="dxa"/>
        <w:jc w:val="left"/>
        <w:tblInd w:w="0" w:type="dxa"/>
        <w:tblCellMar>
          <w:top w:w="0" w:type="dxa"/>
          <w:left w:w="0" w:type="dxa"/>
          <w:bottom w:w="0" w:type="dxa"/>
          <w:right w:w="0" w:type="dxa"/>
        </w:tblCellMar>
      </w:tblPr>
      <w:tblGrid>
        <w:gridCol w:w="38"/>
        <w:gridCol w:w="170"/>
        <w:gridCol w:w="8000"/>
      </w:tblGrid>
      <w:tr>
        <w:trPr/>
        <w:tc>
          <w:tcPr>
            <w:tcW w:w="38" w:type="dxa"/>
            <w:tcBorders/>
            <w:shd w:fill="auto" w:val="clear"/>
            <w:vAlign w:val="center"/>
          </w:tcPr>
          <w:p>
            <w:pPr>
              <w:pStyle w:val="TableContents"/>
              <w:spacing w:before="0" w:after="283"/>
              <w:rPr/>
            </w:pPr>
            <w:r>
              <w:rPr/>
            </w:r>
          </w:p>
        </w:tc>
        <w:tc>
          <w:tcPr>
            <w:tcW w:w="170" w:type="dxa"/>
            <w:tcBorders/>
            <w:shd w:fill="auto" w:val="clear"/>
            <w:vAlign w:val="center"/>
          </w:tcPr>
          <w:p>
            <w:pPr>
              <w:pStyle w:val="TableContents"/>
              <w:spacing w:before="0" w:after="283"/>
              <w:rPr>
                <w:color w:val="000000"/>
              </w:rPr>
            </w:pPr>
            <w:r>
              <w:rPr>
                <w:color w:val="000000"/>
              </w:rPr>
              <w:t>●</w:t>
            </w:r>
          </w:p>
        </w:tc>
        <w:tc>
          <w:tcPr>
            <w:tcW w:w="8000" w:type="dxa"/>
            <w:tcBorders/>
            <w:shd w:fill="auto" w:val="clear"/>
            <w:vAlign w:val="center"/>
          </w:tcPr>
          <w:p>
            <w:pPr>
              <w:pStyle w:val="TableContents"/>
              <w:spacing w:before="0" w:after="0"/>
              <w:jc w:val="both"/>
              <w:rPr>
                <w:color w:val="000000"/>
              </w:rPr>
            </w:pPr>
            <w:r>
              <w:rPr>
                <w:color w:val="000000"/>
              </w:rPr>
              <w:t>increased competition for deposits and related changes in deposit customer behavior;</w:t>
            </w:r>
          </w:p>
        </w:tc>
      </w:tr>
    </w:tbl>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pPr>
            <w:r>
              <w:rPr/>
            </w:r>
          </w:p>
        </w:tc>
        <w:tc>
          <w:tcPr>
            <w:tcW w:w="170" w:type="dxa"/>
            <w:tcBorders/>
            <w:shd w:fill="auto" w:val="clear"/>
            <w:vAlign w:val="center"/>
          </w:tcPr>
          <w:p>
            <w:pPr>
              <w:pStyle w:val="TableContents"/>
              <w:spacing w:before="0" w:after="283"/>
              <w:rPr>
                <w:color w:val="000000"/>
              </w:rPr>
            </w:pPr>
            <w:r>
              <w:rPr>
                <w:color w:val="000000"/>
              </w:rPr>
              <w:t>●</w:t>
            </w:r>
          </w:p>
        </w:tc>
        <w:tc>
          <w:tcPr>
            <w:tcW w:w="9997" w:type="dxa"/>
            <w:tcBorders/>
            <w:shd w:fill="auto" w:val="clear"/>
            <w:vAlign w:val="center"/>
          </w:tcPr>
          <w:p>
            <w:pPr>
              <w:pStyle w:val="TableContents"/>
              <w:spacing w:before="0" w:after="0"/>
              <w:jc w:val="both"/>
              <w:rPr>
                <w:color w:val="000000"/>
              </w:rPr>
            </w:pPr>
            <w:r>
              <w:rPr>
                <w:color w:val="000000"/>
              </w:rPr>
              <w:t>the persistence of the current inflationary environment in the United States and our market areas, and its impact on market interest rates, the economy and credit quality;</w:t>
            </w:r>
          </w:p>
        </w:tc>
      </w:tr>
    </w:tbl>
    <w:tbl>
      <w:tblPr>
        <w:tblW w:w="4698" w:type="dxa"/>
        <w:jc w:val="left"/>
        <w:tblInd w:w="0" w:type="dxa"/>
        <w:tblCellMar>
          <w:top w:w="0" w:type="dxa"/>
          <w:left w:w="0" w:type="dxa"/>
          <w:bottom w:w="0" w:type="dxa"/>
          <w:right w:w="0" w:type="dxa"/>
        </w:tblCellMar>
      </w:tblPr>
      <w:tblGrid>
        <w:gridCol w:w="38"/>
        <w:gridCol w:w="170"/>
        <w:gridCol w:w="4490"/>
      </w:tblGrid>
      <w:tr>
        <w:trPr/>
        <w:tc>
          <w:tcPr>
            <w:tcW w:w="38" w:type="dxa"/>
            <w:tcBorders/>
            <w:shd w:fill="auto" w:val="clear"/>
            <w:vAlign w:val="center"/>
          </w:tcPr>
          <w:p>
            <w:pPr>
              <w:pStyle w:val="TableContents"/>
              <w:spacing w:before="0" w:after="283"/>
              <w:rPr/>
            </w:pPr>
            <w:r>
              <w:rPr/>
            </w:r>
          </w:p>
        </w:tc>
        <w:tc>
          <w:tcPr>
            <w:tcW w:w="170" w:type="dxa"/>
            <w:tcBorders/>
            <w:shd w:fill="auto" w:val="clear"/>
            <w:vAlign w:val="center"/>
          </w:tcPr>
          <w:p>
            <w:pPr>
              <w:pStyle w:val="TableContents"/>
              <w:spacing w:before="0" w:after="283"/>
              <w:rPr>
                <w:color w:val="000000"/>
              </w:rPr>
            </w:pPr>
            <w:r>
              <w:rPr>
                <w:color w:val="000000"/>
              </w:rPr>
              <w:t>●</w:t>
            </w:r>
          </w:p>
        </w:tc>
        <w:tc>
          <w:tcPr>
            <w:tcW w:w="4490" w:type="dxa"/>
            <w:tcBorders/>
            <w:shd w:fill="auto" w:val="clear"/>
            <w:vAlign w:val="center"/>
          </w:tcPr>
          <w:p>
            <w:pPr>
              <w:pStyle w:val="TableContents"/>
              <w:spacing w:before="0" w:after="0"/>
              <w:jc w:val="both"/>
              <w:rPr>
                <w:color w:val="000000"/>
              </w:rPr>
            </w:pPr>
            <w:r>
              <w:rPr>
                <w:color w:val="000000"/>
              </w:rPr>
              <w:t>the adequacy of the allowance for credit losses;</w:t>
            </w:r>
          </w:p>
        </w:tc>
      </w:tr>
    </w:tbl>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pPr>
            <w:r>
              <w:rPr/>
            </w:r>
          </w:p>
        </w:tc>
        <w:tc>
          <w:tcPr>
            <w:tcW w:w="170" w:type="dxa"/>
            <w:tcBorders/>
            <w:shd w:fill="auto" w:val="clear"/>
            <w:vAlign w:val="center"/>
          </w:tcPr>
          <w:p>
            <w:pPr>
              <w:pStyle w:val="TableContents"/>
              <w:spacing w:before="0" w:after="283"/>
              <w:rPr>
                <w:color w:val="000000"/>
              </w:rPr>
            </w:pPr>
            <w:r>
              <w:rPr>
                <w:color w:val="000000"/>
              </w:rPr>
              <w:t>●</w:t>
            </w:r>
          </w:p>
        </w:tc>
        <w:tc>
          <w:tcPr>
            <w:tcW w:w="9997" w:type="dxa"/>
            <w:tcBorders/>
            <w:shd w:fill="auto" w:val="clear"/>
            <w:vAlign w:val="center"/>
          </w:tcPr>
          <w:p>
            <w:pPr>
              <w:pStyle w:val="TableContents"/>
              <w:spacing w:before="0" w:after="0"/>
              <w:jc w:val="both"/>
              <w:rPr>
                <w:color w:val="000000"/>
              </w:rPr>
            </w:pPr>
            <w:r>
              <w:rPr>
                <w:color w:val="000000"/>
              </w:rPr>
              <w:t>our ability to effectively execute our expansion strategy and manage our growth, including identifying and consummating suitable acquisitions;</w:t>
            </w:r>
          </w:p>
        </w:tc>
      </w:tr>
    </w:tbl>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pPr>
            <w:r>
              <w:rPr/>
            </w:r>
          </w:p>
        </w:tc>
        <w:tc>
          <w:tcPr>
            <w:tcW w:w="170" w:type="dxa"/>
            <w:tcBorders/>
            <w:shd w:fill="auto" w:val="clear"/>
            <w:vAlign w:val="center"/>
          </w:tcPr>
          <w:p>
            <w:pPr>
              <w:pStyle w:val="TableContents"/>
              <w:spacing w:before="0" w:after="283"/>
              <w:rPr>
                <w:color w:val="000000"/>
              </w:rPr>
            </w:pPr>
            <w:r>
              <w:rPr>
                <w:color w:val="000000"/>
              </w:rPr>
              <w:t>●</w:t>
            </w:r>
          </w:p>
        </w:tc>
        <w:tc>
          <w:tcPr>
            <w:tcW w:w="9997" w:type="dxa"/>
            <w:tcBorders/>
            <w:shd w:fill="auto" w:val="clear"/>
            <w:vAlign w:val="center"/>
          </w:tcPr>
          <w:p>
            <w:pPr>
              <w:pStyle w:val="TableContents"/>
              <w:spacing w:before="0" w:after="0"/>
              <w:jc w:val="both"/>
              <w:rPr>
                <w:color w:val="000000"/>
              </w:rPr>
            </w:pPr>
            <w:r>
              <w:rPr>
                <w:color w:val="000000"/>
              </w:rPr>
              <w:t>business and economic conditions, particularly those affecting our market areas, as well as the concentration of our business in such market areas;</w:t>
            </w:r>
          </w:p>
        </w:tc>
      </w:tr>
    </w:tbl>
    <w:tbl>
      <w:tblPr>
        <w:tblW w:w="7623" w:type="dxa"/>
        <w:jc w:val="left"/>
        <w:tblInd w:w="0" w:type="dxa"/>
        <w:tblCellMar>
          <w:top w:w="0" w:type="dxa"/>
          <w:left w:w="0" w:type="dxa"/>
          <w:bottom w:w="0" w:type="dxa"/>
          <w:right w:w="0" w:type="dxa"/>
        </w:tblCellMar>
      </w:tblPr>
      <w:tblGrid>
        <w:gridCol w:w="38"/>
        <w:gridCol w:w="170"/>
        <w:gridCol w:w="7415"/>
      </w:tblGrid>
      <w:tr>
        <w:trPr/>
        <w:tc>
          <w:tcPr>
            <w:tcW w:w="38" w:type="dxa"/>
            <w:tcBorders/>
            <w:shd w:fill="auto" w:val="clear"/>
            <w:vAlign w:val="center"/>
          </w:tcPr>
          <w:p>
            <w:pPr>
              <w:pStyle w:val="TableContents"/>
              <w:spacing w:before="0" w:after="283"/>
              <w:rPr/>
            </w:pPr>
            <w:r>
              <w:rPr/>
            </w:r>
          </w:p>
        </w:tc>
        <w:tc>
          <w:tcPr>
            <w:tcW w:w="170" w:type="dxa"/>
            <w:tcBorders/>
            <w:shd w:fill="auto" w:val="clear"/>
            <w:vAlign w:val="center"/>
          </w:tcPr>
          <w:p>
            <w:pPr>
              <w:pStyle w:val="TableContents"/>
              <w:spacing w:before="0" w:after="283"/>
              <w:rPr>
                <w:color w:val="000000"/>
              </w:rPr>
            </w:pPr>
            <w:r>
              <w:rPr>
                <w:color w:val="000000"/>
              </w:rPr>
              <w:t>●</w:t>
            </w:r>
          </w:p>
        </w:tc>
        <w:tc>
          <w:tcPr>
            <w:tcW w:w="7415" w:type="dxa"/>
            <w:tcBorders/>
            <w:shd w:fill="auto" w:val="clear"/>
            <w:vAlign w:val="center"/>
          </w:tcPr>
          <w:p>
            <w:pPr>
              <w:pStyle w:val="TableContents"/>
              <w:spacing w:before="0" w:after="0"/>
              <w:jc w:val="both"/>
              <w:rPr>
                <w:color w:val="000000"/>
              </w:rPr>
            </w:pPr>
            <w:r>
              <w:rPr>
                <w:color w:val="000000"/>
              </w:rPr>
              <w:t>high concentrations of loans secured by real estate located in our market areas;</w:t>
            </w:r>
          </w:p>
        </w:tc>
      </w:tr>
    </w:tbl>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pPr>
            <w:r>
              <w:rPr/>
            </w:r>
          </w:p>
        </w:tc>
        <w:tc>
          <w:tcPr>
            <w:tcW w:w="170" w:type="dxa"/>
            <w:tcBorders/>
            <w:shd w:fill="auto" w:val="clear"/>
            <w:vAlign w:val="center"/>
          </w:tcPr>
          <w:p>
            <w:pPr>
              <w:pStyle w:val="TableContents"/>
              <w:spacing w:before="0" w:after="283"/>
              <w:rPr>
                <w:color w:val="000000"/>
              </w:rPr>
            </w:pPr>
            <w:r>
              <w:rPr>
                <w:color w:val="000000"/>
              </w:rPr>
              <w:t>●</w:t>
            </w:r>
          </w:p>
        </w:tc>
        <w:tc>
          <w:tcPr>
            <w:tcW w:w="9997" w:type="dxa"/>
            <w:tcBorders/>
            <w:shd w:fill="auto" w:val="clear"/>
            <w:vAlign w:val="center"/>
          </w:tcPr>
          <w:p>
            <w:pPr>
              <w:pStyle w:val="TableContents"/>
              <w:spacing w:before="0" w:after="0"/>
              <w:jc w:val="both"/>
              <w:rPr>
                <w:color w:val="000000"/>
              </w:rPr>
            </w:pPr>
            <w:r>
              <w:rPr>
                <w:color w:val="000000"/>
              </w:rPr>
              <w:t>risks associated with our commercial loan portfolio, including the uncertain economic consequences of the ongoing COVID-19 pandemic, or any current or future variants thereof, or any deterioration in value of the general business assets that secure such loans;</w:t>
            </w:r>
          </w:p>
        </w:tc>
      </w:tr>
    </w:tbl>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pPr>
            <w:r>
              <w:rPr/>
            </w:r>
          </w:p>
        </w:tc>
        <w:tc>
          <w:tcPr>
            <w:tcW w:w="170" w:type="dxa"/>
            <w:tcBorders/>
            <w:shd w:fill="auto" w:val="clear"/>
            <w:vAlign w:val="center"/>
          </w:tcPr>
          <w:p>
            <w:pPr>
              <w:pStyle w:val="TableContents"/>
              <w:spacing w:before="0" w:after="283"/>
              <w:rPr>
                <w:color w:val="000000"/>
              </w:rPr>
            </w:pPr>
            <w:r>
              <w:rPr>
                <w:color w:val="000000"/>
              </w:rPr>
              <w:t>●</w:t>
            </w:r>
          </w:p>
        </w:tc>
        <w:tc>
          <w:tcPr>
            <w:tcW w:w="9997" w:type="dxa"/>
            <w:tcBorders/>
            <w:shd w:fill="auto" w:val="clear"/>
            <w:vAlign w:val="center"/>
          </w:tcPr>
          <w:p>
            <w:pPr>
              <w:pStyle w:val="TableContents"/>
              <w:spacing w:before="0" w:after="0"/>
              <w:jc w:val="both"/>
              <w:rPr>
                <w:color w:val="000000"/>
              </w:rPr>
            </w:pPr>
            <w:r>
              <w:rPr>
                <w:color w:val="000000"/>
              </w:rPr>
              <w:t>potential changes in the prices, values and sales volumes of commercial and residential real estate securing our real estate loans;</w:t>
            </w:r>
          </w:p>
        </w:tc>
      </w:tr>
    </w:tbl>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pPr>
            <w:r>
              <w:rPr/>
            </w:r>
          </w:p>
        </w:tc>
        <w:tc>
          <w:tcPr>
            <w:tcW w:w="170" w:type="dxa"/>
            <w:tcBorders/>
            <w:shd w:fill="auto" w:val="clear"/>
            <w:vAlign w:val="center"/>
          </w:tcPr>
          <w:p>
            <w:pPr>
              <w:pStyle w:val="TableContents"/>
              <w:spacing w:before="0" w:after="283"/>
              <w:rPr>
                <w:color w:val="000000"/>
              </w:rPr>
            </w:pPr>
            <w:r>
              <w:rPr>
                <w:color w:val="000000"/>
              </w:rPr>
              <w:t>●</w:t>
            </w:r>
          </w:p>
        </w:tc>
        <w:tc>
          <w:tcPr>
            <w:tcW w:w="9997" w:type="dxa"/>
            <w:tcBorders/>
            <w:shd w:fill="auto" w:val="clear"/>
            <w:vAlign w:val="center"/>
          </w:tcPr>
          <w:p>
            <w:pPr>
              <w:pStyle w:val="TableContents"/>
              <w:spacing w:before="0" w:after="0"/>
              <w:jc w:val="both"/>
              <w:rPr>
                <w:color w:val="000000"/>
              </w:rPr>
            </w:pPr>
            <w:r>
              <w:rPr>
                <w:color w:val="000000"/>
              </w:rPr>
              <w:t>risks associated with our agricultural loan portfolio, including the heightened sensitivity to weather conditions, commodity prices, and other factors generally outside the borrowers and our control;</w:t>
            </w:r>
          </w:p>
        </w:tc>
      </w:tr>
    </w:tbl>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pPr>
            <w:r>
              <w:rPr/>
            </w:r>
          </w:p>
        </w:tc>
        <w:tc>
          <w:tcPr>
            <w:tcW w:w="170" w:type="dxa"/>
            <w:tcBorders/>
            <w:shd w:fill="auto" w:val="clear"/>
            <w:vAlign w:val="center"/>
          </w:tcPr>
          <w:p>
            <w:pPr>
              <w:pStyle w:val="TableContents"/>
              <w:spacing w:before="0" w:after="283"/>
              <w:rPr>
                <w:color w:val="000000"/>
              </w:rPr>
            </w:pPr>
            <w:r>
              <w:rPr>
                <w:color w:val="000000"/>
              </w:rPr>
              <w:t>●</w:t>
            </w:r>
          </w:p>
        </w:tc>
        <w:tc>
          <w:tcPr>
            <w:tcW w:w="9997" w:type="dxa"/>
            <w:tcBorders/>
            <w:shd w:fill="auto" w:val="clear"/>
            <w:vAlign w:val="center"/>
          </w:tcPr>
          <w:p>
            <w:pPr>
              <w:pStyle w:val="TableContents"/>
              <w:spacing w:before="0" w:after="0"/>
              <w:jc w:val="both"/>
              <w:rPr>
                <w:color w:val="000000"/>
              </w:rPr>
            </w:pPr>
            <w:r>
              <w:rPr>
                <w:color w:val="000000"/>
              </w:rPr>
              <w:t>risks associated with the sale of our insurance subsidiary, Windmark Insurance Agency, Inc. d/b/a Windmark Corp Division (“Windmark”) to Alliant Insurance Services, Inc., a California corporation (“Alliant”) and certain post-closing obligations related to such sale;</w:t>
            </w:r>
          </w:p>
        </w:tc>
      </w:tr>
    </w:tbl>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pPr>
            <w:r>
              <w:rPr/>
            </w:r>
          </w:p>
        </w:tc>
        <w:tc>
          <w:tcPr>
            <w:tcW w:w="170" w:type="dxa"/>
            <w:tcBorders/>
            <w:shd w:fill="auto" w:val="clear"/>
            <w:vAlign w:val="center"/>
          </w:tcPr>
          <w:p>
            <w:pPr>
              <w:pStyle w:val="TableContents"/>
              <w:spacing w:before="0" w:after="283"/>
              <w:rPr>
                <w:color w:val="000000"/>
              </w:rPr>
            </w:pPr>
            <w:r>
              <w:rPr>
                <w:color w:val="000000"/>
              </w:rPr>
              <w:t>●</w:t>
            </w:r>
          </w:p>
        </w:tc>
        <w:tc>
          <w:tcPr>
            <w:tcW w:w="9997" w:type="dxa"/>
            <w:tcBorders/>
            <w:shd w:fill="auto" w:val="clear"/>
            <w:vAlign w:val="center"/>
          </w:tcPr>
          <w:p>
            <w:pPr>
              <w:pStyle w:val="TableContents"/>
              <w:spacing w:before="0" w:after="0"/>
              <w:jc w:val="both"/>
              <w:rPr>
                <w:color w:val="000000"/>
              </w:rPr>
            </w:pPr>
            <w:r>
              <w:rPr>
                <w:color w:val="000000"/>
              </w:rPr>
              <w:t>risks related to the significant amount of credit that we have extended to a limited number of borrowers and in a limited geographic area;</w:t>
            </w:r>
          </w:p>
        </w:tc>
      </w:tr>
    </w:tbl>
    <w:tbl>
      <w:tblPr>
        <w:tblW w:w="7518" w:type="dxa"/>
        <w:jc w:val="left"/>
        <w:tblInd w:w="0" w:type="dxa"/>
        <w:tblCellMar>
          <w:top w:w="0" w:type="dxa"/>
          <w:left w:w="0" w:type="dxa"/>
          <w:bottom w:w="0" w:type="dxa"/>
          <w:right w:w="0" w:type="dxa"/>
        </w:tblCellMar>
      </w:tblPr>
      <w:tblGrid>
        <w:gridCol w:w="38"/>
        <w:gridCol w:w="170"/>
        <w:gridCol w:w="7310"/>
      </w:tblGrid>
      <w:tr>
        <w:trPr/>
        <w:tc>
          <w:tcPr>
            <w:tcW w:w="38" w:type="dxa"/>
            <w:tcBorders/>
            <w:shd w:fill="auto" w:val="clear"/>
            <w:vAlign w:val="center"/>
          </w:tcPr>
          <w:p>
            <w:pPr>
              <w:pStyle w:val="TableContents"/>
              <w:spacing w:before="0" w:after="283"/>
              <w:rPr/>
            </w:pPr>
            <w:r>
              <w:rPr/>
            </w:r>
          </w:p>
        </w:tc>
        <w:tc>
          <w:tcPr>
            <w:tcW w:w="170" w:type="dxa"/>
            <w:tcBorders/>
            <w:shd w:fill="auto" w:val="clear"/>
            <w:vAlign w:val="center"/>
          </w:tcPr>
          <w:p>
            <w:pPr>
              <w:pStyle w:val="TableContents"/>
              <w:spacing w:before="0" w:after="283"/>
              <w:rPr>
                <w:color w:val="000000"/>
              </w:rPr>
            </w:pPr>
            <w:r>
              <w:rPr>
                <w:color w:val="000000"/>
              </w:rPr>
              <w:t>●</w:t>
            </w:r>
          </w:p>
        </w:tc>
        <w:tc>
          <w:tcPr>
            <w:tcW w:w="7310" w:type="dxa"/>
            <w:tcBorders/>
            <w:shd w:fill="auto" w:val="clear"/>
            <w:vAlign w:val="center"/>
          </w:tcPr>
          <w:p>
            <w:pPr>
              <w:pStyle w:val="TableContents"/>
              <w:spacing w:before="0" w:after="0"/>
              <w:jc w:val="both"/>
              <w:rPr>
                <w:color w:val="000000"/>
              </w:rPr>
            </w:pPr>
            <w:r>
              <w:rPr>
                <w:color w:val="000000"/>
              </w:rPr>
              <w:t>public funds deposits comprising a relatively high percentage of our deposits;</w:t>
            </w:r>
          </w:p>
        </w:tc>
      </w:tr>
    </w:tbl>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pPr>
            <w:r>
              <w:rPr/>
            </w:r>
          </w:p>
        </w:tc>
        <w:tc>
          <w:tcPr>
            <w:tcW w:w="170" w:type="dxa"/>
            <w:tcBorders/>
            <w:shd w:fill="auto" w:val="clear"/>
            <w:vAlign w:val="center"/>
          </w:tcPr>
          <w:p>
            <w:pPr>
              <w:pStyle w:val="TableContents"/>
              <w:spacing w:before="0" w:after="283"/>
              <w:rPr>
                <w:color w:val="000000"/>
              </w:rPr>
            </w:pPr>
            <w:r>
              <w:rPr>
                <w:color w:val="000000"/>
              </w:rPr>
              <w:t>●</w:t>
            </w:r>
          </w:p>
        </w:tc>
        <w:tc>
          <w:tcPr>
            <w:tcW w:w="9997" w:type="dxa"/>
            <w:tcBorders/>
            <w:shd w:fill="auto" w:val="clear"/>
            <w:vAlign w:val="center"/>
          </w:tcPr>
          <w:p>
            <w:pPr>
              <w:pStyle w:val="TableContents"/>
              <w:spacing w:before="0" w:after="0"/>
              <w:jc w:val="both"/>
              <w:rPr>
                <w:color w:val="000000"/>
              </w:rPr>
            </w:pPr>
            <w:r>
              <w:rPr>
                <w:color w:val="000000"/>
              </w:rPr>
              <w:t>potential impairment on the goodwill we have recorded or may record in connection with business acquisitions;</w:t>
            </w:r>
          </w:p>
        </w:tc>
      </w:tr>
    </w:tbl>
    <w:tbl>
      <w:tblPr>
        <w:tblW w:w="3753" w:type="dxa"/>
        <w:jc w:val="left"/>
        <w:tblInd w:w="0" w:type="dxa"/>
        <w:tblCellMar>
          <w:top w:w="0" w:type="dxa"/>
          <w:left w:w="0" w:type="dxa"/>
          <w:bottom w:w="0" w:type="dxa"/>
          <w:right w:w="0" w:type="dxa"/>
        </w:tblCellMar>
      </w:tblPr>
      <w:tblGrid>
        <w:gridCol w:w="38"/>
        <w:gridCol w:w="170"/>
        <w:gridCol w:w="3545"/>
      </w:tblGrid>
      <w:tr>
        <w:trPr/>
        <w:tc>
          <w:tcPr>
            <w:tcW w:w="38" w:type="dxa"/>
            <w:tcBorders/>
            <w:shd w:fill="auto" w:val="clear"/>
            <w:vAlign w:val="center"/>
          </w:tcPr>
          <w:p>
            <w:pPr>
              <w:pStyle w:val="TableContents"/>
              <w:spacing w:before="0" w:after="283"/>
              <w:rPr/>
            </w:pPr>
            <w:r>
              <w:rPr/>
            </w:r>
          </w:p>
        </w:tc>
        <w:tc>
          <w:tcPr>
            <w:tcW w:w="170" w:type="dxa"/>
            <w:tcBorders/>
            <w:shd w:fill="auto" w:val="clear"/>
            <w:vAlign w:val="center"/>
          </w:tcPr>
          <w:p>
            <w:pPr>
              <w:pStyle w:val="TableContents"/>
              <w:spacing w:before="0" w:after="283"/>
              <w:rPr>
                <w:color w:val="000000"/>
              </w:rPr>
            </w:pPr>
            <w:r>
              <w:rPr>
                <w:color w:val="000000"/>
              </w:rPr>
              <w:t>●</w:t>
            </w:r>
          </w:p>
        </w:tc>
        <w:tc>
          <w:tcPr>
            <w:tcW w:w="3545" w:type="dxa"/>
            <w:tcBorders/>
            <w:shd w:fill="auto" w:val="clear"/>
            <w:vAlign w:val="center"/>
          </w:tcPr>
          <w:p>
            <w:pPr>
              <w:pStyle w:val="TableContents"/>
              <w:spacing w:before="0" w:after="0"/>
              <w:jc w:val="both"/>
              <w:rPr>
                <w:color w:val="000000"/>
              </w:rPr>
            </w:pPr>
            <w:r>
              <w:rPr>
                <w:color w:val="000000"/>
              </w:rPr>
              <w:t>our ability to maintain our reputation;</w:t>
            </w:r>
          </w:p>
        </w:tc>
      </w:tr>
    </w:tbl>
    <w:tbl>
      <w:tblPr>
        <w:tblW w:w="9888" w:type="dxa"/>
        <w:jc w:val="left"/>
        <w:tblInd w:w="0" w:type="dxa"/>
        <w:tblCellMar>
          <w:top w:w="0" w:type="dxa"/>
          <w:left w:w="0" w:type="dxa"/>
          <w:bottom w:w="0" w:type="dxa"/>
          <w:right w:w="0" w:type="dxa"/>
        </w:tblCellMar>
      </w:tblPr>
      <w:tblGrid>
        <w:gridCol w:w="38"/>
        <w:gridCol w:w="170"/>
        <w:gridCol w:w="9680"/>
      </w:tblGrid>
      <w:tr>
        <w:trPr/>
        <w:tc>
          <w:tcPr>
            <w:tcW w:w="38" w:type="dxa"/>
            <w:tcBorders/>
            <w:shd w:fill="auto" w:val="clear"/>
            <w:vAlign w:val="center"/>
          </w:tcPr>
          <w:p>
            <w:pPr>
              <w:pStyle w:val="TableContents"/>
              <w:spacing w:before="0" w:after="283"/>
              <w:rPr/>
            </w:pPr>
            <w:r>
              <w:rPr/>
            </w:r>
          </w:p>
        </w:tc>
        <w:tc>
          <w:tcPr>
            <w:tcW w:w="170" w:type="dxa"/>
            <w:tcBorders/>
            <w:shd w:fill="auto" w:val="clear"/>
            <w:vAlign w:val="center"/>
          </w:tcPr>
          <w:p>
            <w:pPr>
              <w:pStyle w:val="TableContents"/>
              <w:spacing w:before="0" w:after="283"/>
              <w:rPr>
                <w:color w:val="000000"/>
              </w:rPr>
            </w:pPr>
            <w:r>
              <w:rPr>
                <w:color w:val="000000"/>
              </w:rPr>
              <w:t>●</w:t>
            </w:r>
          </w:p>
        </w:tc>
        <w:tc>
          <w:tcPr>
            <w:tcW w:w="9680" w:type="dxa"/>
            <w:tcBorders/>
            <w:shd w:fill="auto" w:val="clear"/>
            <w:vAlign w:val="center"/>
          </w:tcPr>
          <w:p>
            <w:pPr>
              <w:pStyle w:val="TableContents"/>
              <w:spacing w:before="0" w:after="0"/>
              <w:jc w:val="both"/>
              <w:rPr>
                <w:color w:val="000000"/>
              </w:rPr>
            </w:pPr>
            <w:r>
              <w:rPr>
                <w:color w:val="000000"/>
              </w:rPr>
              <w:t>our ability to successfully manage our credit risk and the sufficiency of our allowance for credit losses;</w:t>
            </w:r>
          </w:p>
        </w:tc>
      </w:tr>
    </w:tbl>
    <w:tbl>
      <w:tblPr>
        <w:tblW w:w="6723" w:type="dxa"/>
        <w:jc w:val="left"/>
        <w:tblInd w:w="0" w:type="dxa"/>
        <w:tblCellMar>
          <w:top w:w="0" w:type="dxa"/>
          <w:left w:w="0" w:type="dxa"/>
          <w:bottom w:w="0" w:type="dxa"/>
          <w:right w:w="0" w:type="dxa"/>
        </w:tblCellMar>
      </w:tblPr>
      <w:tblGrid>
        <w:gridCol w:w="38"/>
        <w:gridCol w:w="170"/>
        <w:gridCol w:w="6515"/>
      </w:tblGrid>
      <w:tr>
        <w:trPr/>
        <w:tc>
          <w:tcPr>
            <w:tcW w:w="38" w:type="dxa"/>
            <w:tcBorders/>
            <w:shd w:fill="auto" w:val="clear"/>
            <w:vAlign w:val="center"/>
          </w:tcPr>
          <w:p>
            <w:pPr>
              <w:pStyle w:val="TableContents"/>
              <w:spacing w:before="0" w:after="283"/>
              <w:rPr/>
            </w:pPr>
            <w:r>
              <w:rPr/>
            </w:r>
          </w:p>
        </w:tc>
        <w:tc>
          <w:tcPr>
            <w:tcW w:w="170" w:type="dxa"/>
            <w:tcBorders/>
            <w:shd w:fill="auto" w:val="clear"/>
            <w:vAlign w:val="center"/>
          </w:tcPr>
          <w:p>
            <w:pPr>
              <w:pStyle w:val="TableContents"/>
              <w:spacing w:before="0" w:after="283"/>
              <w:rPr>
                <w:color w:val="000000"/>
              </w:rPr>
            </w:pPr>
            <w:r>
              <w:rPr>
                <w:color w:val="000000"/>
              </w:rPr>
              <w:t>●</w:t>
            </w:r>
          </w:p>
        </w:tc>
        <w:tc>
          <w:tcPr>
            <w:tcW w:w="6515" w:type="dxa"/>
            <w:tcBorders/>
            <w:shd w:fill="auto" w:val="clear"/>
            <w:vAlign w:val="center"/>
          </w:tcPr>
          <w:p>
            <w:pPr>
              <w:pStyle w:val="TableContents"/>
              <w:spacing w:before="0" w:after="0"/>
              <w:jc w:val="both"/>
              <w:rPr>
                <w:color w:val="000000"/>
              </w:rPr>
            </w:pPr>
            <w:r>
              <w:rPr>
                <w:color w:val="000000"/>
              </w:rPr>
              <w:t>our ability to attract, hire and retain qualified management personnel;</w:t>
            </w:r>
          </w:p>
        </w:tc>
      </w:tr>
    </w:tbl>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30</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b w:val="false"/>
            <w:i/>
            <w:color w:val="000000"/>
            <w:sz w:val="16"/>
          </w:rPr>
          <w:t>Table of Contents</w:t>
        </w:r>
      </w:hyperlink>
    </w:p>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pPr>
            <w:r>
              <w:rPr/>
            </w:r>
          </w:p>
        </w:tc>
        <w:tc>
          <w:tcPr>
            <w:tcW w:w="170" w:type="dxa"/>
            <w:tcBorders/>
            <w:shd w:fill="auto" w:val="clear"/>
            <w:vAlign w:val="center"/>
          </w:tcPr>
          <w:p>
            <w:pPr>
              <w:pStyle w:val="TableContents"/>
              <w:spacing w:before="0" w:after="283"/>
              <w:rPr>
                <w:color w:val="000000"/>
              </w:rPr>
            </w:pPr>
            <w:r>
              <w:rPr>
                <w:color w:val="000000"/>
              </w:rPr>
              <w:t>●</w:t>
            </w:r>
          </w:p>
        </w:tc>
        <w:tc>
          <w:tcPr>
            <w:tcW w:w="9997" w:type="dxa"/>
            <w:tcBorders/>
            <w:shd w:fill="auto" w:val="clear"/>
            <w:vAlign w:val="center"/>
          </w:tcPr>
          <w:p>
            <w:pPr>
              <w:pStyle w:val="TableContents"/>
              <w:spacing w:before="0" w:after="0"/>
              <w:jc w:val="both"/>
              <w:rPr>
                <w:color w:val="000000"/>
              </w:rPr>
            </w:pPr>
            <w:r>
              <w:rPr>
                <w:color w:val="000000"/>
              </w:rPr>
              <w:t>our dependence on our management team, including our ability to retain executive officers and key employees and their customer and community relationships;</w:t>
            </w:r>
          </w:p>
        </w:tc>
      </w:tr>
    </w:tbl>
    <w:tbl>
      <w:tblPr>
        <w:tblW w:w="7818" w:type="dxa"/>
        <w:jc w:val="left"/>
        <w:tblInd w:w="0" w:type="dxa"/>
        <w:tblCellMar>
          <w:top w:w="0" w:type="dxa"/>
          <w:left w:w="0" w:type="dxa"/>
          <w:bottom w:w="0" w:type="dxa"/>
          <w:right w:w="0" w:type="dxa"/>
        </w:tblCellMar>
      </w:tblPr>
      <w:tblGrid>
        <w:gridCol w:w="38"/>
        <w:gridCol w:w="170"/>
        <w:gridCol w:w="7610"/>
      </w:tblGrid>
      <w:tr>
        <w:trPr/>
        <w:tc>
          <w:tcPr>
            <w:tcW w:w="38" w:type="dxa"/>
            <w:tcBorders/>
            <w:shd w:fill="auto" w:val="clear"/>
            <w:vAlign w:val="center"/>
          </w:tcPr>
          <w:p>
            <w:pPr>
              <w:pStyle w:val="TableContents"/>
              <w:spacing w:before="0" w:after="283"/>
              <w:rPr/>
            </w:pPr>
            <w:r>
              <w:rPr/>
            </w:r>
          </w:p>
        </w:tc>
        <w:tc>
          <w:tcPr>
            <w:tcW w:w="170" w:type="dxa"/>
            <w:tcBorders/>
            <w:shd w:fill="auto" w:val="clear"/>
            <w:vAlign w:val="center"/>
          </w:tcPr>
          <w:p>
            <w:pPr>
              <w:pStyle w:val="TableContents"/>
              <w:spacing w:before="0" w:after="283"/>
              <w:rPr>
                <w:color w:val="000000"/>
              </w:rPr>
            </w:pPr>
            <w:r>
              <w:rPr>
                <w:color w:val="000000"/>
              </w:rPr>
              <w:t>●</w:t>
            </w:r>
          </w:p>
        </w:tc>
        <w:tc>
          <w:tcPr>
            <w:tcW w:w="7610" w:type="dxa"/>
            <w:tcBorders/>
            <w:shd w:fill="auto" w:val="clear"/>
            <w:vAlign w:val="center"/>
          </w:tcPr>
          <w:p>
            <w:pPr>
              <w:pStyle w:val="TableContents"/>
              <w:spacing w:before="0" w:after="0"/>
              <w:jc w:val="both"/>
              <w:rPr>
                <w:color w:val="000000"/>
              </w:rPr>
            </w:pPr>
            <w:r>
              <w:rPr>
                <w:color w:val="000000"/>
              </w:rPr>
              <w:t>interest rate fluctuations, which could have an adverse effect on our profitability;</w:t>
            </w:r>
          </w:p>
        </w:tc>
      </w:tr>
    </w:tbl>
    <w:tbl>
      <w:tblPr>
        <w:tblW w:w="7443" w:type="dxa"/>
        <w:jc w:val="left"/>
        <w:tblInd w:w="0" w:type="dxa"/>
        <w:tblCellMar>
          <w:top w:w="0" w:type="dxa"/>
          <w:left w:w="0" w:type="dxa"/>
          <w:bottom w:w="0" w:type="dxa"/>
          <w:right w:w="0" w:type="dxa"/>
        </w:tblCellMar>
      </w:tblPr>
      <w:tblGrid>
        <w:gridCol w:w="38"/>
        <w:gridCol w:w="170"/>
        <w:gridCol w:w="7235"/>
      </w:tblGrid>
      <w:tr>
        <w:trPr/>
        <w:tc>
          <w:tcPr>
            <w:tcW w:w="38" w:type="dxa"/>
            <w:tcBorders/>
            <w:shd w:fill="auto" w:val="clear"/>
            <w:vAlign w:val="center"/>
          </w:tcPr>
          <w:p>
            <w:pPr>
              <w:pStyle w:val="TableContents"/>
              <w:spacing w:before="0" w:after="283"/>
              <w:rPr/>
            </w:pPr>
            <w:r>
              <w:rPr/>
            </w:r>
          </w:p>
        </w:tc>
        <w:tc>
          <w:tcPr>
            <w:tcW w:w="170" w:type="dxa"/>
            <w:tcBorders/>
            <w:shd w:fill="auto" w:val="clear"/>
            <w:vAlign w:val="center"/>
          </w:tcPr>
          <w:p>
            <w:pPr>
              <w:pStyle w:val="TableContents"/>
              <w:spacing w:before="0" w:after="283"/>
              <w:rPr>
                <w:color w:val="000000"/>
              </w:rPr>
            </w:pPr>
            <w:r>
              <w:rPr>
                <w:color w:val="000000"/>
              </w:rPr>
              <w:t>●</w:t>
            </w:r>
          </w:p>
        </w:tc>
        <w:tc>
          <w:tcPr>
            <w:tcW w:w="7235" w:type="dxa"/>
            <w:tcBorders/>
            <w:shd w:fill="auto" w:val="clear"/>
            <w:vAlign w:val="center"/>
          </w:tcPr>
          <w:p>
            <w:pPr>
              <w:pStyle w:val="TableContents"/>
              <w:spacing w:before="0" w:after="0"/>
              <w:jc w:val="both"/>
              <w:rPr>
                <w:color w:val="000000"/>
              </w:rPr>
            </w:pPr>
            <w:r>
              <w:rPr>
                <w:color w:val="000000"/>
              </w:rPr>
              <w:t>competition from banks, credit unions and other financial services providers;</w:t>
            </w:r>
          </w:p>
        </w:tc>
      </w:tr>
    </w:tbl>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pPr>
            <w:r>
              <w:rPr/>
            </w:r>
          </w:p>
        </w:tc>
        <w:tc>
          <w:tcPr>
            <w:tcW w:w="170" w:type="dxa"/>
            <w:tcBorders/>
            <w:shd w:fill="auto" w:val="clear"/>
            <w:vAlign w:val="center"/>
          </w:tcPr>
          <w:p>
            <w:pPr>
              <w:pStyle w:val="TableContents"/>
              <w:spacing w:before="0" w:after="283"/>
              <w:rPr>
                <w:color w:val="000000"/>
              </w:rPr>
            </w:pPr>
            <w:r>
              <w:rPr>
                <w:color w:val="000000"/>
              </w:rPr>
              <w:t>●</w:t>
            </w:r>
          </w:p>
        </w:tc>
        <w:tc>
          <w:tcPr>
            <w:tcW w:w="9997" w:type="dxa"/>
            <w:tcBorders/>
            <w:shd w:fill="auto" w:val="clear"/>
            <w:vAlign w:val="center"/>
          </w:tcPr>
          <w:p>
            <w:pPr>
              <w:pStyle w:val="TableContents"/>
              <w:spacing w:before="0" w:after="0"/>
              <w:jc w:val="both"/>
              <w:rPr>
                <w:color w:val="000000"/>
              </w:rPr>
            </w:pPr>
            <w:r>
              <w:rPr>
                <w:color w:val="000000"/>
              </w:rPr>
              <w:t>our ability to keep pace with technological change or difficulties we may experience when implementing new technologies;</w:t>
            </w:r>
          </w:p>
        </w:tc>
      </w:tr>
    </w:tbl>
    <w:tbl>
      <w:tblPr>
        <w:tblW w:w="6648" w:type="dxa"/>
        <w:jc w:val="left"/>
        <w:tblInd w:w="0" w:type="dxa"/>
        <w:tblCellMar>
          <w:top w:w="0" w:type="dxa"/>
          <w:left w:w="0" w:type="dxa"/>
          <w:bottom w:w="0" w:type="dxa"/>
          <w:right w:w="0" w:type="dxa"/>
        </w:tblCellMar>
      </w:tblPr>
      <w:tblGrid>
        <w:gridCol w:w="38"/>
        <w:gridCol w:w="170"/>
        <w:gridCol w:w="6440"/>
      </w:tblGrid>
      <w:tr>
        <w:trPr/>
        <w:tc>
          <w:tcPr>
            <w:tcW w:w="38" w:type="dxa"/>
            <w:tcBorders/>
            <w:shd w:fill="auto" w:val="clear"/>
            <w:vAlign w:val="center"/>
          </w:tcPr>
          <w:p>
            <w:pPr>
              <w:pStyle w:val="TableContents"/>
              <w:spacing w:before="0" w:after="283"/>
              <w:rPr/>
            </w:pPr>
            <w:r>
              <w:rPr/>
            </w:r>
          </w:p>
        </w:tc>
        <w:tc>
          <w:tcPr>
            <w:tcW w:w="170" w:type="dxa"/>
            <w:tcBorders/>
            <w:shd w:fill="auto" w:val="clear"/>
            <w:vAlign w:val="center"/>
          </w:tcPr>
          <w:p>
            <w:pPr>
              <w:pStyle w:val="TableContents"/>
              <w:spacing w:before="0" w:after="283"/>
              <w:rPr>
                <w:color w:val="000000"/>
              </w:rPr>
            </w:pPr>
            <w:r>
              <w:rPr>
                <w:color w:val="000000"/>
              </w:rPr>
              <w:t>●</w:t>
            </w:r>
          </w:p>
        </w:tc>
        <w:tc>
          <w:tcPr>
            <w:tcW w:w="6440" w:type="dxa"/>
            <w:tcBorders/>
            <w:shd w:fill="auto" w:val="clear"/>
            <w:vAlign w:val="center"/>
          </w:tcPr>
          <w:p>
            <w:pPr>
              <w:pStyle w:val="TableContents"/>
              <w:spacing w:before="0" w:after="0"/>
              <w:jc w:val="both"/>
              <w:rPr>
                <w:color w:val="000000"/>
              </w:rPr>
            </w:pPr>
            <w:r>
              <w:rPr>
                <w:color w:val="000000"/>
              </w:rPr>
              <w:t>system failures, service denials, cyber-attacks and security breaches;</w:t>
            </w:r>
          </w:p>
        </w:tc>
      </w:tr>
    </w:tbl>
    <w:tbl>
      <w:tblPr>
        <w:tblW w:w="6993" w:type="dxa"/>
        <w:jc w:val="left"/>
        <w:tblInd w:w="0" w:type="dxa"/>
        <w:tblCellMar>
          <w:top w:w="0" w:type="dxa"/>
          <w:left w:w="0" w:type="dxa"/>
          <w:bottom w:w="0" w:type="dxa"/>
          <w:right w:w="0" w:type="dxa"/>
        </w:tblCellMar>
      </w:tblPr>
      <w:tblGrid>
        <w:gridCol w:w="38"/>
        <w:gridCol w:w="170"/>
        <w:gridCol w:w="6785"/>
      </w:tblGrid>
      <w:tr>
        <w:trPr/>
        <w:tc>
          <w:tcPr>
            <w:tcW w:w="38" w:type="dxa"/>
            <w:tcBorders/>
            <w:shd w:fill="auto" w:val="clear"/>
            <w:vAlign w:val="center"/>
          </w:tcPr>
          <w:p>
            <w:pPr>
              <w:pStyle w:val="TableContents"/>
              <w:spacing w:before="0" w:after="283"/>
              <w:rPr/>
            </w:pPr>
            <w:r>
              <w:rPr/>
            </w:r>
          </w:p>
        </w:tc>
        <w:tc>
          <w:tcPr>
            <w:tcW w:w="170" w:type="dxa"/>
            <w:tcBorders/>
            <w:shd w:fill="auto" w:val="clear"/>
            <w:vAlign w:val="center"/>
          </w:tcPr>
          <w:p>
            <w:pPr>
              <w:pStyle w:val="TableContents"/>
              <w:spacing w:before="0" w:after="283"/>
              <w:rPr>
                <w:color w:val="000000"/>
              </w:rPr>
            </w:pPr>
            <w:r>
              <w:rPr>
                <w:color w:val="000000"/>
              </w:rPr>
              <w:t>●</w:t>
            </w:r>
          </w:p>
        </w:tc>
        <w:tc>
          <w:tcPr>
            <w:tcW w:w="6785" w:type="dxa"/>
            <w:tcBorders/>
            <w:shd w:fill="auto" w:val="clear"/>
            <w:vAlign w:val="center"/>
          </w:tcPr>
          <w:p>
            <w:pPr>
              <w:pStyle w:val="TableContents"/>
              <w:spacing w:before="0" w:after="0"/>
              <w:jc w:val="both"/>
              <w:rPr>
                <w:color w:val="000000"/>
              </w:rPr>
            </w:pPr>
            <w:r>
              <w:rPr>
                <w:color w:val="000000"/>
              </w:rPr>
              <w:t>our ability to maintain effective internal control over financial reporting;</w:t>
            </w:r>
          </w:p>
        </w:tc>
      </w:tr>
    </w:tbl>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pPr>
            <w:r>
              <w:rPr/>
            </w:r>
          </w:p>
        </w:tc>
        <w:tc>
          <w:tcPr>
            <w:tcW w:w="170" w:type="dxa"/>
            <w:tcBorders/>
            <w:shd w:fill="auto" w:val="clear"/>
            <w:vAlign w:val="center"/>
          </w:tcPr>
          <w:p>
            <w:pPr>
              <w:pStyle w:val="TableContents"/>
              <w:spacing w:before="0" w:after="283"/>
              <w:rPr>
                <w:color w:val="000000"/>
              </w:rPr>
            </w:pPr>
            <w:r>
              <w:rPr>
                <w:color w:val="000000"/>
              </w:rPr>
              <w:t>●</w:t>
            </w:r>
          </w:p>
        </w:tc>
        <w:tc>
          <w:tcPr>
            <w:tcW w:w="9997" w:type="dxa"/>
            <w:tcBorders/>
            <w:shd w:fill="auto" w:val="clear"/>
            <w:vAlign w:val="center"/>
          </w:tcPr>
          <w:p>
            <w:pPr>
              <w:pStyle w:val="TableContents"/>
              <w:spacing w:before="0" w:after="0"/>
              <w:jc w:val="both"/>
              <w:rPr>
                <w:color w:val="000000"/>
              </w:rPr>
            </w:pPr>
            <w:r>
              <w:rPr>
                <w:color w:val="000000"/>
              </w:rPr>
              <w:t>employee error, fraudulent activity by employees or customers and inaccurate or incomplete information about our customers and counterparties;</w:t>
            </w:r>
          </w:p>
        </w:tc>
      </w:tr>
    </w:tbl>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pPr>
            <w:r>
              <w:rPr/>
            </w:r>
          </w:p>
        </w:tc>
        <w:tc>
          <w:tcPr>
            <w:tcW w:w="170" w:type="dxa"/>
            <w:tcBorders/>
            <w:shd w:fill="auto" w:val="clear"/>
            <w:vAlign w:val="center"/>
          </w:tcPr>
          <w:p>
            <w:pPr>
              <w:pStyle w:val="TableContents"/>
              <w:spacing w:before="0" w:after="283"/>
              <w:rPr>
                <w:color w:val="000000"/>
              </w:rPr>
            </w:pPr>
            <w:r>
              <w:rPr>
                <w:color w:val="000000"/>
              </w:rPr>
              <w:t>●</w:t>
            </w:r>
          </w:p>
        </w:tc>
        <w:tc>
          <w:tcPr>
            <w:tcW w:w="9997" w:type="dxa"/>
            <w:tcBorders/>
            <w:shd w:fill="auto" w:val="clear"/>
            <w:vAlign w:val="center"/>
          </w:tcPr>
          <w:p>
            <w:pPr>
              <w:pStyle w:val="TableContents"/>
              <w:spacing w:before="0" w:after="0"/>
              <w:jc w:val="both"/>
              <w:rPr>
                <w:color w:val="000000"/>
              </w:rPr>
            </w:pPr>
            <w:r>
              <w:rPr>
                <w:color w:val="000000"/>
              </w:rPr>
              <w:t>increased capital requirements imposed by banking regulators, which may require us to raise capital at a time when capital is not available on favorable terms or at all;</w:t>
            </w:r>
          </w:p>
        </w:tc>
      </w:tr>
    </w:tbl>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pPr>
            <w:r>
              <w:rPr/>
            </w:r>
          </w:p>
        </w:tc>
        <w:tc>
          <w:tcPr>
            <w:tcW w:w="170" w:type="dxa"/>
            <w:tcBorders/>
            <w:shd w:fill="auto" w:val="clear"/>
            <w:vAlign w:val="center"/>
          </w:tcPr>
          <w:p>
            <w:pPr>
              <w:pStyle w:val="TableContents"/>
              <w:spacing w:before="0" w:after="283"/>
              <w:rPr>
                <w:color w:val="000000"/>
              </w:rPr>
            </w:pPr>
            <w:r>
              <w:rPr>
                <w:color w:val="000000"/>
              </w:rPr>
              <w:t>●</w:t>
            </w:r>
          </w:p>
        </w:tc>
        <w:tc>
          <w:tcPr>
            <w:tcW w:w="9997" w:type="dxa"/>
            <w:tcBorders/>
            <w:shd w:fill="auto" w:val="clear"/>
            <w:vAlign w:val="center"/>
          </w:tcPr>
          <w:p>
            <w:pPr>
              <w:pStyle w:val="TableContents"/>
              <w:spacing w:before="0" w:after="0"/>
              <w:jc w:val="both"/>
              <w:rPr>
                <w:color w:val="000000"/>
              </w:rPr>
            </w:pPr>
            <w:r>
              <w:rPr>
                <w:color w:val="000000"/>
              </w:rPr>
              <w:t>our ability to maintain adequate liquidity and to raise necessary capital to fund our acquisition strategy and operations or to meet increased minimum regulatory capital levels;</w:t>
            </w:r>
          </w:p>
        </w:tc>
      </w:tr>
    </w:tbl>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pPr>
            <w:r>
              <w:rPr/>
            </w:r>
          </w:p>
        </w:tc>
        <w:tc>
          <w:tcPr>
            <w:tcW w:w="170" w:type="dxa"/>
            <w:tcBorders/>
            <w:shd w:fill="auto" w:val="clear"/>
            <w:vAlign w:val="center"/>
          </w:tcPr>
          <w:p>
            <w:pPr>
              <w:pStyle w:val="TableContents"/>
              <w:spacing w:before="0" w:after="283"/>
              <w:rPr>
                <w:color w:val="000000"/>
              </w:rPr>
            </w:pPr>
            <w:r>
              <w:rPr>
                <w:color w:val="000000"/>
              </w:rPr>
              <w:t>●</w:t>
            </w:r>
          </w:p>
        </w:tc>
        <w:tc>
          <w:tcPr>
            <w:tcW w:w="9997" w:type="dxa"/>
            <w:tcBorders/>
            <w:shd w:fill="auto" w:val="clear"/>
            <w:vAlign w:val="center"/>
          </w:tcPr>
          <w:p>
            <w:pPr>
              <w:pStyle w:val="TableContents"/>
              <w:spacing w:before="0" w:after="0"/>
              <w:jc w:val="both"/>
              <w:rPr>
                <w:color w:val="000000"/>
              </w:rPr>
            </w:pPr>
            <w:r>
              <w:rPr>
                <w:color w:val="000000"/>
              </w:rPr>
              <w:t>costs and effects of litigation, investigations or similar matters to which we may be subject, including any effect on our reputation;</w:t>
            </w:r>
          </w:p>
        </w:tc>
      </w:tr>
    </w:tbl>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pPr>
            <w:r>
              <w:rPr/>
            </w:r>
          </w:p>
        </w:tc>
        <w:tc>
          <w:tcPr>
            <w:tcW w:w="170" w:type="dxa"/>
            <w:tcBorders/>
            <w:shd w:fill="auto" w:val="clear"/>
            <w:vAlign w:val="center"/>
          </w:tcPr>
          <w:p>
            <w:pPr>
              <w:pStyle w:val="TableContents"/>
              <w:spacing w:before="0" w:after="283"/>
              <w:rPr>
                <w:color w:val="000000"/>
              </w:rPr>
            </w:pPr>
            <w:r>
              <w:rPr>
                <w:color w:val="000000"/>
              </w:rPr>
              <w:t>●</w:t>
            </w:r>
          </w:p>
        </w:tc>
        <w:tc>
          <w:tcPr>
            <w:tcW w:w="9997" w:type="dxa"/>
            <w:tcBorders/>
            <w:shd w:fill="auto" w:val="clear"/>
            <w:vAlign w:val="center"/>
          </w:tcPr>
          <w:p>
            <w:pPr>
              <w:pStyle w:val="TableContents"/>
              <w:spacing w:before="0" w:after="0"/>
              <w:jc w:val="both"/>
              <w:rPr>
                <w:color w:val="000000"/>
              </w:rPr>
            </w:pPr>
            <w:r>
              <w:rPr>
                <w:color w:val="000000"/>
              </w:rPr>
              <w:t>natural disasters, severe weather, acts of god, acts of war or terrorism, outbreaks of hostilities, public health outbreaks (such as the ongoing COVID-19 pandemic), other international or domestic calamities, and other matters beyond our control;</w:t>
            </w:r>
          </w:p>
        </w:tc>
      </w:tr>
    </w:tbl>
    <w:tbl>
      <w:tblPr>
        <w:tblW w:w="2538" w:type="dxa"/>
        <w:jc w:val="left"/>
        <w:tblInd w:w="0" w:type="dxa"/>
        <w:tblCellMar>
          <w:top w:w="0" w:type="dxa"/>
          <w:left w:w="0" w:type="dxa"/>
          <w:bottom w:w="0" w:type="dxa"/>
          <w:right w:w="0" w:type="dxa"/>
        </w:tblCellMar>
      </w:tblPr>
      <w:tblGrid>
        <w:gridCol w:w="38"/>
        <w:gridCol w:w="170"/>
        <w:gridCol w:w="2330"/>
      </w:tblGrid>
      <w:tr>
        <w:trPr/>
        <w:tc>
          <w:tcPr>
            <w:tcW w:w="38" w:type="dxa"/>
            <w:tcBorders/>
            <w:shd w:fill="auto" w:val="clear"/>
            <w:vAlign w:val="center"/>
          </w:tcPr>
          <w:p>
            <w:pPr>
              <w:pStyle w:val="TableContents"/>
              <w:spacing w:before="0" w:after="283"/>
              <w:rPr/>
            </w:pPr>
            <w:r>
              <w:rPr/>
            </w:r>
          </w:p>
        </w:tc>
        <w:tc>
          <w:tcPr>
            <w:tcW w:w="170" w:type="dxa"/>
            <w:tcBorders/>
            <w:shd w:fill="auto" w:val="clear"/>
            <w:vAlign w:val="center"/>
          </w:tcPr>
          <w:p>
            <w:pPr>
              <w:pStyle w:val="TableContents"/>
              <w:spacing w:before="0" w:after="283"/>
              <w:rPr>
                <w:color w:val="000000"/>
              </w:rPr>
            </w:pPr>
            <w:r>
              <w:rPr>
                <w:color w:val="000000"/>
              </w:rPr>
              <w:t>●</w:t>
            </w:r>
          </w:p>
        </w:tc>
        <w:tc>
          <w:tcPr>
            <w:tcW w:w="2330" w:type="dxa"/>
            <w:tcBorders/>
            <w:shd w:fill="auto" w:val="clear"/>
            <w:vAlign w:val="center"/>
          </w:tcPr>
          <w:p>
            <w:pPr>
              <w:pStyle w:val="TableContents"/>
              <w:spacing w:before="0" w:after="0"/>
              <w:jc w:val="both"/>
              <w:rPr>
                <w:color w:val="000000"/>
              </w:rPr>
            </w:pPr>
            <w:r>
              <w:rPr>
                <w:color w:val="000000"/>
              </w:rPr>
              <w:t>tariffs and trade barriers;</w:t>
            </w:r>
          </w:p>
        </w:tc>
      </w:tr>
    </w:tbl>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pPr>
            <w:r>
              <w:rPr/>
            </w:r>
          </w:p>
        </w:tc>
        <w:tc>
          <w:tcPr>
            <w:tcW w:w="170" w:type="dxa"/>
            <w:tcBorders/>
            <w:shd w:fill="auto" w:val="clear"/>
            <w:vAlign w:val="center"/>
          </w:tcPr>
          <w:p>
            <w:pPr>
              <w:pStyle w:val="TableContents"/>
              <w:spacing w:before="0" w:after="283"/>
              <w:rPr>
                <w:color w:val="000000"/>
              </w:rPr>
            </w:pPr>
            <w:r>
              <w:rPr>
                <w:color w:val="000000"/>
              </w:rPr>
              <w:t>●</w:t>
            </w:r>
          </w:p>
        </w:tc>
        <w:tc>
          <w:tcPr>
            <w:tcW w:w="9997" w:type="dxa"/>
            <w:tcBorders/>
            <w:shd w:fill="auto" w:val="clear"/>
            <w:vAlign w:val="center"/>
          </w:tcPr>
          <w:p>
            <w:pPr>
              <w:pStyle w:val="TableContents"/>
              <w:spacing w:before="0" w:after="0"/>
              <w:jc w:val="both"/>
              <w:rPr>
                <w:color w:val="000000"/>
              </w:rPr>
            </w:pPr>
            <w:r>
              <w:rPr>
                <w:color w:val="000000"/>
              </w:rPr>
              <w:t>compliance with governmental and regulatory requirements, including the Dodd-Frank Act Wall Street Reform and Consumer Protection Act, the Economic Growth, Regulatory Relief, and Consumer Protection Act (“EGRRCPA”), and others relating to banking, consumer protection, securities and tax matters; and</w:t>
            </w:r>
          </w:p>
        </w:tc>
      </w:tr>
    </w:tbl>
    <w:tbl>
      <w:tblPr>
        <w:tblW w:w="10205" w:type="dxa"/>
        <w:jc w:val="left"/>
        <w:tblInd w:w="0" w:type="dxa"/>
        <w:tblCellMar>
          <w:top w:w="0" w:type="dxa"/>
          <w:left w:w="0" w:type="dxa"/>
          <w:bottom w:w="0" w:type="dxa"/>
          <w:right w:w="0" w:type="dxa"/>
        </w:tblCellMar>
      </w:tblPr>
      <w:tblGrid>
        <w:gridCol w:w="38"/>
        <w:gridCol w:w="170"/>
        <w:gridCol w:w="9997"/>
      </w:tblGrid>
      <w:tr>
        <w:trPr/>
        <w:tc>
          <w:tcPr>
            <w:tcW w:w="38" w:type="dxa"/>
            <w:tcBorders/>
            <w:shd w:fill="auto" w:val="clear"/>
            <w:vAlign w:val="center"/>
          </w:tcPr>
          <w:p>
            <w:pPr>
              <w:pStyle w:val="TableContents"/>
              <w:spacing w:before="0" w:after="283"/>
              <w:rPr/>
            </w:pPr>
            <w:r>
              <w:rPr/>
            </w:r>
          </w:p>
        </w:tc>
        <w:tc>
          <w:tcPr>
            <w:tcW w:w="170" w:type="dxa"/>
            <w:tcBorders/>
            <w:shd w:fill="auto" w:val="clear"/>
            <w:vAlign w:val="center"/>
          </w:tcPr>
          <w:p>
            <w:pPr>
              <w:pStyle w:val="TableContents"/>
              <w:spacing w:before="0" w:after="283"/>
              <w:rPr>
                <w:color w:val="000000"/>
              </w:rPr>
            </w:pPr>
            <w:r>
              <w:rPr>
                <w:color w:val="000000"/>
              </w:rPr>
              <w:t>●</w:t>
            </w:r>
          </w:p>
        </w:tc>
        <w:tc>
          <w:tcPr>
            <w:tcW w:w="9997" w:type="dxa"/>
            <w:tcBorders/>
            <w:shd w:fill="auto" w:val="clear"/>
            <w:vAlign w:val="center"/>
          </w:tcPr>
          <w:p>
            <w:pPr>
              <w:pStyle w:val="TableContents"/>
              <w:spacing w:before="0" w:after="0"/>
              <w:jc w:val="both"/>
              <w:rPr>
                <w:color w:val="000000"/>
              </w:rPr>
            </w:pPr>
            <w:r>
              <w:rPr>
                <w:color w:val="000000"/>
              </w:rPr>
              <w:t>changes in the laws, rules, regulations, interpretations or policies relating to financial institutions, accounting, tax, trade, current and future governmental monetary and fiscal policies, including the uncertain impacts of quantitative tightening and current and future policies of the Board of Governors of the Federal Reserve System (“Federal Reserve”) and as a result of initiatives of the Biden administration.</w:t>
            </w:r>
          </w:p>
        </w:tc>
      </w:tr>
    </w:tbl>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foregoing factors should not be construed as exhaustive and should be read together with the other cautionary statements included in this Form 10-Q and the risk factors set forth in our 2022 Annual Report on Form 10-K. Because of these risks and other uncertainties, our actual future results, performance or achievements, or industry results, may be materially different from the results indicated by the forward-looking statements in this Form 10-Q. In addition, our past results of operations are not necessarily indicative of our future results. Accordingly, you should not rely on any forward-looking statements, which represent our beliefs, assumptions and estimates only as of the dates on which such forward-looking statements were made. Any forward-looking statement speaks only as of the date on which it is made, and we do not undertake any obligation to update or review any forward-looking statement, whether as a result of new information, future developments or otherwise, except as required by law.</w:t>
      </w:r>
    </w:p>
    <w:p>
      <w:pPr>
        <w:pStyle w:val="TextBody"/>
        <w:spacing w:before="0" w:after="0"/>
        <w:jc w:val="left"/>
        <w:rPr/>
      </w:pPr>
      <w:r>
        <w:rPr/>
      </w:r>
    </w:p>
    <w:p>
      <w:pPr>
        <w:pStyle w:val="TextBody"/>
        <w:spacing w:before="0" w:after="0"/>
        <w:jc w:val="both"/>
        <w:rPr>
          <w:rFonts w:ascii="Times New Roman" w:hAnsi="Times New Roman"/>
          <w:b/>
          <w:color w:val="000000"/>
          <w:sz w:val="20"/>
        </w:rPr>
      </w:pPr>
      <w:r>
        <w:rPr>
          <w:rFonts w:ascii="Times New Roman" w:hAnsi="Times New Roman"/>
          <w:b/>
          <w:color w:val="000000"/>
          <w:sz w:val="20"/>
        </w:rPr>
        <w:t>Available Information</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 xml:space="preserve">The Company maintains an Internet web site at </w:t>
      </w:r>
      <w:r>
        <w:rPr>
          <w:rFonts w:ascii="Times New Roman" w:hAnsi="Times New Roman"/>
          <w:i/>
          <w:color w:val="000000"/>
          <w:sz w:val="20"/>
          <w:u w:val="single"/>
        </w:rPr>
        <w:t>www.spfi.bank</w:t>
      </w:r>
      <w:r>
        <w:rPr>
          <w:rFonts w:ascii="Times New Roman" w:hAnsi="Times New Roman"/>
          <w:color w:val="000000"/>
          <w:sz w:val="20"/>
        </w:rPr>
        <w:t xml:space="preserve">. The Company makes available, free of charge, on its web site (under </w:t>
      </w:r>
      <w:r>
        <w:rPr>
          <w:rFonts w:ascii="Times New Roman" w:hAnsi="Times New Roman"/>
          <w:i/>
          <w:color w:val="000000"/>
          <w:sz w:val="20"/>
          <w:u w:val="single"/>
        </w:rPr>
        <w:t>www.spfi.bank/financials-filings/sec-filings</w:t>
      </w:r>
      <w:r>
        <w:rPr>
          <w:rFonts w:ascii="Times New Roman" w:hAnsi="Times New Roman"/>
          <w:color w:val="000000"/>
          <w:sz w:val="20"/>
        </w:rPr>
        <w:t xml:space="preserve"> ) the Company’s annual reports on Form 10-K, quarterly reports on Form 10-Q, current reports on Form 8-K, and amendments to those reports filed or furnished pursuant to Section 13(a) or Section 15(d) of the Exchange Act as soon as reasonably practicable after the Company files such material with, or furnishes it to, the SEC. The Company also makes available, free of charge, through its web site (under </w:t>
      </w:r>
      <w:r>
        <w:rPr>
          <w:rFonts w:ascii="Times New Roman" w:hAnsi="Times New Roman"/>
          <w:i/>
          <w:color w:val="000000"/>
          <w:sz w:val="20"/>
          <w:u w:val="single"/>
        </w:rPr>
        <w:t>www.spfi.bank/corporate-governance/documents-charters</w:t>
      </w:r>
      <w:r>
        <w:rPr>
          <w:rFonts w:ascii="Times New Roman" w:hAnsi="Times New Roman"/>
          <w:color w:val="000000"/>
          <w:sz w:val="20"/>
        </w:rPr>
        <w:t xml:space="preserve"> ) links to the Company’s Code of Conduct and the charters for its board committees. In addition, the SEC maintains an Internet site (at </w:t>
      </w:r>
      <w:r>
        <w:rPr>
          <w:rFonts w:ascii="Times New Roman" w:hAnsi="Times New Roman"/>
          <w:i/>
          <w:color w:val="000000"/>
          <w:sz w:val="20"/>
          <w:u w:val="single"/>
        </w:rPr>
        <w:t>www.sec.gov</w:t>
      </w:r>
      <w:r>
        <w:rPr>
          <w:rFonts w:ascii="Times New Roman" w:hAnsi="Times New Roman"/>
          <w:color w:val="000000"/>
          <w:sz w:val="20"/>
        </w:rPr>
        <w:t xml:space="preserve"> ) that contains reports, proxy and information statements, and other information regarding issuers that file electronically with the SEC.</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 xml:space="preserve">The Company routinely posts important information for investors on its web site (under </w:t>
      </w:r>
      <w:r>
        <w:rPr>
          <w:rFonts w:ascii="Times New Roman" w:hAnsi="Times New Roman"/>
          <w:i/>
          <w:color w:val="000000"/>
          <w:sz w:val="20"/>
          <w:u w:val="single"/>
        </w:rPr>
        <w:t>www.spfi.bank</w:t>
      </w:r>
      <w:r>
        <w:rPr>
          <w:rFonts w:ascii="Times New Roman" w:hAnsi="Times New Roman"/>
          <w:color w:val="000000"/>
          <w:sz w:val="20"/>
        </w:rPr>
        <w:t xml:space="preserve"> and, more specifically, under the News &amp; Events tab at </w:t>
      </w:r>
      <w:r>
        <w:rPr>
          <w:rFonts w:ascii="Times New Roman" w:hAnsi="Times New Roman"/>
          <w:i/>
          <w:color w:val="000000"/>
          <w:sz w:val="20"/>
          <w:u w:val="single"/>
        </w:rPr>
        <w:t>www.spfi.bank/news-events/press-releases</w:t>
      </w:r>
      <w:r>
        <w:rPr>
          <w:rFonts w:ascii="Times New Roman" w:hAnsi="Times New Roman"/>
          <w:color w:val="000000"/>
          <w:sz w:val="20"/>
        </w:rPr>
        <w:t xml:space="preserve"> ). The Company intends to use its web site as a means of disclosing material non-public information and for complying with its disclosure obligations under SEC Regulation FD (Fair Disclosure). Accordingly, investors should monitor the Company’s web site, in addition to following the Company’s press releases, SEC filings, public conference calls, presentations and webcasts.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information contained on, or that may be accessed through, the Company’s web site is not incorporated by reference into, and is not a part of, this Form 10-Q.</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31</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b w:val="false"/>
            <w:i/>
            <w:color w:val="000000"/>
            <w:sz w:val="16"/>
          </w:rPr>
          <w:t>Table of Contents</w:t>
        </w:r>
      </w:hyperlink>
    </w:p>
    <w:p>
      <w:pPr>
        <w:pStyle w:val="TextBody"/>
        <w:spacing w:before="0" w:after="0"/>
        <w:jc w:val="left"/>
        <w:rPr>
          <w:rFonts w:ascii="Times New Roman" w:hAnsi="Times New Roman"/>
          <w:b/>
          <w:color w:val="000000"/>
          <w:sz w:val="20"/>
        </w:rPr>
      </w:pPr>
      <w:r>
        <w:rPr>
          <w:rFonts w:ascii="Times New Roman" w:hAnsi="Times New Roman"/>
          <w:b/>
          <w:color w:val="000000"/>
          <w:sz w:val="20"/>
        </w:rPr>
        <w:t>Overview</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We are a bank holding company headquartered in Lubbock, Texas, and our wholly-owned subsidiary, City Bank is one of the largest independent banks in West Texas and has additional banking operations in the Dallas, El Paso, Greater Houston, the Permian Basin, and College Station, Texas markets, and the Ruidoso, New Mexico market. Through City Bank, we provide a wide range of commercial and consumer financial services to small and medium-sized businesses and individuals in our market areas. Our principal business activities include commercial and retail banking, along with investment, trust and mortgage services.</w:t>
      </w:r>
    </w:p>
    <w:p>
      <w:pPr>
        <w:pStyle w:val="TextBody"/>
        <w:spacing w:before="0" w:after="0"/>
        <w:jc w:val="left"/>
        <w:rPr/>
      </w:pPr>
      <w:r>
        <w:rPr/>
      </w:r>
    </w:p>
    <w:p>
      <w:pPr>
        <w:pStyle w:val="TextBody"/>
        <w:spacing w:before="0" w:after="0"/>
        <w:jc w:val="left"/>
        <w:rPr>
          <w:rFonts w:ascii="Times New Roman" w:hAnsi="Times New Roman"/>
          <w:b/>
          <w:color w:val="000000"/>
          <w:sz w:val="20"/>
        </w:rPr>
      </w:pPr>
      <w:r>
        <w:rPr>
          <w:rFonts w:ascii="Times New Roman" w:hAnsi="Times New Roman"/>
          <w:b/>
          <w:color w:val="000000"/>
          <w:sz w:val="20"/>
        </w:rPr>
        <w:t>Recent Developments</w:t>
      </w:r>
    </w:p>
    <w:p>
      <w:pPr>
        <w:pStyle w:val="TextBody"/>
        <w:spacing w:before="0" w:after="0"/>
        <w:jc w:val="left"/>
        <w:rPr/>
      </w:pPr>
      <w:r>
        <w:rPr/>
      </w:r>
    </w:p>
    <w:p>
      <w:pPr>
        <w:pStyle w:val="TextBody"/>
        <w:spacing w:before="0" w:after="0"/>
        <w:jc w:val="both"/>
        <w:rPr>
          <w:rFonts w:ascii="Times New Roman" w:hAnsi="Times New Roman"/>
          <w:i/>
          <w:color w:val="000000"/>
          <w:sz w:val="20"/>
        </w:rPr>
      </w:pPr>
      <w:r>
        <w:rPr>
          <w:rFonts w:ascii="Times New Roman" w:hAnsi="Times New Roman"/>
          <w:i/>
          <w:color w:val="000000"/>
          <w:sz w:val="20"/>
        </w:rPr>
        <w:t>Economic Conditions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Our financial condition at March 31, 2023, as well as the results of operations for the three months ended March 31, 2023, have been impacted by significant market increases in market interest rates due to the increases in the prime lending rate since March 2022 by the Federal Reserve in response to the persistent inflationary environment in the United States. In addition, recent events in other parts of the banking industry have brought additional focus on investment securities portfolios, interest rate risk, liquidity management and capital. As a result, we are providing additional information on our deposits and liquidity position at March 31, 2023 to help illustrate the more traditional and stable nature of our banking model compared to other financial institutions who have recently experienced liquidity and capital challenges.</w:t>
      </w:r>
    </w:p>
    <w:p>
      <w:pPr>
        <w:pStyle w:val="TextBody"/>
        <w:spacing w:before="0" w:after="0"/>
        <w:jc w:val="left"/>
        <w:rPr/>
      </w:pPr>
      <w:r>
        <w:rPr/>
      </w:r>
    </w:p>
    <w:p>
      <w:pPr>
        <w:pStyle w:val="TextBody"/>
        <w:spacing w:before="0" w:after="0"/>
        <w:jc w:val="both"/>
        <w:rPr>
          <w:rFonts w:ascii="Times New Roman" w:hAnsi="Times New Roman"/>
          <w:i/>
          <w:color w:val="000000"/>
          <w:sz w:val="20"/>
        </w:rPr>
      </w:pPr>
      <w:r>
        <w:rPr>
          <w:rFonts w:ascii="Times New Roman" w:hAnsi="Times New Roman"/>
          <w:i/>
          <w:color w:val="000000"/>
          <w:sz w:val="20"/>
        </w:rPr>
        <w:t>Deposits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Total deposits were $3.51 billion at March 31, 2023, an increase of $101.6 million during the first quarter. Total deposits were comprised of 32% of noninterest-bearing deposits, 8% of time deposits and 60% of interest-bearing nonmaturity deposits. Retail customers accounted for approximately 45% of total deposits, with commercial and public funds accounting for approximately 43% and 12%, respectively. Our average deposit account size was approximately $35 thousand. An estimated 17% of total deposits were uninsured or uncollateralized at March 31, 2023.</w:t>
      </w:r>
    </w:p>
    <w:p>
      <w:pPr>
        <w:pStyle w:val="TextBody"/>
        <w:spacing w:before="0" w:after="0"/>
        <w:jc w:val="left"/>
        <w:rPr/>
      </w:pPr>
      <w:r>
        <w:rPr/>
      </w:r>
    </w:p>
    <w:p>
      <w:pPr>
        <w:pStyle w:val="TextBody"/>
        <w:spacing w:before="0" w:after="0"/>
        <w:jc w:val="both"/>
        <w:rPr>
          <w:rFonts w:ascii="Times New Roman" w:hAnsi="Times New Roman"/>
          <w:i/>
          <w:color w:val="000000"/>
          <w:sz w:val="20"/>
        </w:rPr>
      </w:pPr>
      <w:r>
        <w:rPr>
          <w:rFonts w:ascii="Times New Roman" w:hAnsi="Times New Roman"/>
          <w:i/>
          <w:color w:val="000000"/>
          <w:sz w:val="20"/>
        </w:rPr>
        <w:t>Liquidity</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We had available borrowing capacity of approximately $1.75 billion through the FHLB, the FRB’s Discount Window, and access to the FRB’s Term Funding Program (“BTFP”) at March 31, 2023. The unused line with the FHLB was $988 million and the unused line with the FRB was $586 million at March 31, 2023. There were no advances made on these lines during the first quarter of 2023. We have not pledged any securities for the BTFP but have approximately $179 million of available securities that can be used as collateral. Additionally, we have uncollateralized lines with multiple banks totaling $160 million at March 31, 2023. These lines are not guaranteed and we are not placing reliance on them.</w:t>
      </w:r>
    </w:p>
    <w:p>
      <w:pPr>
        <w:pStyle w:val="TextBody"/>
        <w:spacing w:before="0" w:after="0"/>
        <w:jc w:val="left"/>
        <w:rPr/>
      </w:pPr>
      <w:r>
        <w:rPr/>
      </w:r>
    </w:p>
    <w:p>
      <w:pPr>
        <w:pStyle w:val="TextBody"/>
        <w:spacing w:before="0" w:after="0"/>
        <w:jc w:val="both"/>
        <w:rPr>
          <w:rFonts w:ascii="Times New Roman" w:hAnsi="Times New Roman"/>
          <w:i/>
          <w:color w:val="000000"/>
          <w:sz w:val="20"/>
        </w:rPr>
      </w:pPr>
      <w:r>
        <w:rPr>
          <w:rFonts w:ascii="Times New Roman" w:hAnsi="Times New Roman"/>
          <w:i/>
          <w:color w:val="000000"/>
          <w:sz w:val="20"/>
        </w:rPr>
        <w:t>Divestiture</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As previously announced, on April 1, 2023, the Company completed the sale of City Bank’s wholly owned subsidiary, Windmark , to Alliant Insurance Services in an all cash transaction.</w:t>
      </w:r>
    </w:p>
    <w:p>
      <w:pPr>
        <w:pStyle w:val="TextBody"/>
        <w:spacing w:before="0" w:after="0"/>
        <w:jc w:val="left"/>
        <w:rPr/>
      </w:pPr>
      <w:r>
        <w:rPr/>
      </w:r>
    </w:p>
    <w:p>
      <w:pPr>
        <w:pStyle w:val="TextBody"/>
        <w:spacing w:before="0" w:after="0"/>
        <w:jc w:val="both"/>
        <w:rPr>
          <w:rFonts w:ascii="Times New Roman" w:hAnsi="Times New Roman"/>
          <w:i/>
          <w:color w:val="000000"/>
          <w:sz w:val="20"/>
        </w:rPr>
      </w:pPr>
      <w:r>
        <w:rPr>
          <w:rFonts w:ascii="Times New Roman" w:hAnsi="Times New Roman"/>
          <w:i/>
          <w:color w:val="000000"/>
          <w:sz w:val="20"/>
        </w:rPr>
        <w:t>New Stock Repurchase Program</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As previously announced, on May 5, 2023, SPFI’s board of directors (the “Board”) approved a new stock repurchase program for up to $15.0 million of the outstanding shares of the Company’s common stock (the “Stock Repurchase Program”). The Stock Repurchase Program began on May 5, 2023 and has an expiration date of May 5, 2024, subject to earlier termination or extension of the Stock Repurchase Program by the Board.</w:t>
      </w:r>
    </w:p>
    <w:p>
      <w:pPr>
        <w:pStyle w:val="TextBody"/>
        <w:spacing w:before="0" w:after="0"/>
        <w:jc w:val="left"/>
        <w:rPr/>
      </w:pPr>
      <w:r>
        <w:rPr/>
      </w:r>
    </w:p>
    <w:p>
      <w:pPr>
        <w:pStyle w:val="TextBody"/>
        <w:spacing w:before="0" w:after="0"/>
        <w:jc w:val="left"/>
        <w:rPr>
          <w:rFonts w:ascii="Times New Roman" w:hAnsi="Times New Roman"/>
          <w:b/>
          <w:color w:val="000000"/>
          <w:sz w:val="20"/>
        </w:rPr>
      </w:pPr>
      <w:r>
        <w:rPr>
          <w:rFonts w:ascii="Times New Roman" w:hAnsi="Times New Roman"/>
          <w:b/>
          <w:color w:val="000000"/>
          <w:sz w:val="20"/>
        </w:rPr>
        <w:t>Results of Operations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We had net income of $9.2 million, or $0.53 per diluted common share, for the three months ended March 31, 2023, compared to net income of $14.3 million, or $0.78 per diluted common share for the three months ended March 31, 2022. Return on average equity (annualized) was 10.34% and return on average assets (annualized) was 0.95% for the three months ended March 31, 2023, compared to 14.58% and 1.47%, respectively, for the three months ended March 31, 2022. The decrease in net income of $5.0 million was primarily the result of a decrease of $13.0 million in noninterest income and an increase of $3.1 million in the provision for credit losses, partially offset by an increase of $4.4 million in net interest income and a decrease of $5.6 million in noninterest expense.</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32</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b w:val="false"/>
            <w:i/>
            <w:color w:val="000000"/>
            <w:sz w:val="16"/>
          </w:rPr>
          <w:t>Table of Contents</w:t>
        </w:r>
      </w:hyperlink>
    </w:p>
    <w:p>
      <w:pPr>
        <w:pStyle w:val="TextBody"/>
        <w:spacing w:before="0" w:after="0"/>
        <w:jc w:val="left"/>
        <w:rPr>
          <w:rFonts w:ascii="Times New Roman" w:hAnsi="Times New Roman"/>
          <w:b/>
          <w:i/>
          <w:color w:val="000000"/>
          <w:sz w:val="20"/>
        </w:rPr>
      </w:pPr>
      <w:r>
        <w:rPr>
          <w:rFonts w:ascii="Times New Roman" w:hAnsi="Times New Roman"/>
          <w:b/>
          <w:i/>
          <w:color w:val="000000"/>
          <w:sz w:val="20"/>
        </w:rPr>
        <w:t>Net Interest Income</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Net interest income is the principal source of the Company’s net income and represents the difference between interest income (interest and fees earned on assets, primarily loans and investment securities) and interest expense (interest paid on deposits and borrowed funds). We generate interest income from interest-earning assets that we own, including loans and investment securities. We incur interest expense from interest-bearing liabilities, including interest-bearing deposits and other borrowings, notably FHLB advances and subordinated notes. To evaluate net interest income, we measure and monitor (i) yields on our loans and other interest-earning assets, (ii) the costs of our deposits and other funding sources, (iii) our net interest spread and (iv) our net interest margin. Net interest spread is the difference between rates earned on interest-earning assets and rates paid on interest-bearing liabilities. Net interest margin is calculated as the annualized net interest income on a fully tax-equivalent basis divided by average interest-earning assets.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Changes in the market interest rates and interest rates we earn on interest-earning assets or pay on interest-bearing liabilities, as well as the volume and types of interest-earning assets, interest-bearing and noninterest-bearing liabilities, are usually the largest drivers of periodic changes in net interest spread, net interest margin and net interest income.</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table presents, for the periods indicated, information about: (i) weighted average balances, the total dollar amount of interest income from interest-earning assets and the resultant average yields; (ii) average balances, the total dollar amount of interest expense on interest-bearing liabilities and the resultant average rates; (iii) net interest income; (iv) the interest rate spread; and (v) the net interest margin. For purposes of this table, interest income, net interest margin and net interest spread are shown on a fully tax-equivalent basis.</w:t>
      </w:r>
    </w:p>
    <w:p>
      <w:pPr>
        <w:pStyle w:val="TextBody"/>
        <w:spacing w:before="0" w:after="0"/>
        <w:jc w:val="left"/>
        <w:rPr/>
      </w:pPr>
      <w:r>
        <w:rPr/>
      </w:r>
    </w:p>
    <w:tbl>
      <w:tblPr>
        <w:tblW w:w="10205" w:type="dxa"/>
        <w:jc w:val="left"/>
        <w:tblInd w:w="0" w:type="dxa"/>
        <w:tblCellMar>
          <w:top w:w="0" w:type="dxa"/>
          <w:left w:w="0" w:type="dxa"/>
          <w:bottom w:w="0" w:type="dxa"/>
          <w:right w:w="0" w:type="dxa"/>
        </w:tblCellMar>
      </w:tblPr>
      <w:tblGrid>
        <w:gridCol w:w="4081"/>
        <w:gridCol w:w="60"/>
        <w:gridCol w:w="140"/>
        <w:gridCol w:w="980"/>
        <w:gridCol w:w="60"/>
        <w:gridCol w:w="60"/>
        <w:gridCol w:w="140"/>
        <w:gridCol w:w="680"/>
        <w:gridCol w:w="60"/>
        <w:gridCol w:w="60"/>
        <w:gridCol w:w="72"/>
        <w:gridCol w:w="534"/>
        <w:gridCol w:w="215"/>
        <w:gridCol w:w="60"/>
        <w:gridCol w:w="140"/>
        <w:gridCol w:w="980"/>
        <w:gridCol w:w="60"/>
        <w:gridCol w:w="60"/>
        <w:gridCol w:w="140"/>
        <w:gridCol w:w="680"/>
        <w:gridCol w:w="60"/>
        <w:gridCol w:w="60"/>
        <w:gridCol w:w="72"/>
        <w:gridCol w:w="534"/>
        <w:gridCol w:w="217"/>
      </w:tblGrid>
      <w:tr>
        <w:trPr/>
        <w:tc>
          <w:tcPr>
            <w:tcW w:w="408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847" w:type="dxa"/>
            <w:gridSpan w:val="22"/>
            <w:tcBorders>
              <w:bottom w:val="single" w:sz="12" w:space="0" w:color="000000"/>
            </w:tcBorders>
            <w:shd w:fill="auto" w:val="clear"/>
            <w:tcMar>
              <w:bottom w:w="28" w:type="dxa"/>
            </w:tcMar>
            <w:vAlign w:val="bottom"/>
          </w:tcPr>
          <w:p>
            <w:pPr>
              <w:pStyle w:val="TableContents"/>
              <w:spacing w:before="0" w:after="0"/>
              <w:jc w:val="center"/>
              <w:rPr>
                <w:b/>
              </w:rPr>
            </w:pPr>
            <w:r>
              <w:rPr>
                <w:b/>
              </w:rPr>
              <w:t>Three Months Ended March 31,</w:t>
            </w:r>
          </w:p>
        </w:tc>
        <w:tc>
          <w:tcPr>
            <w:tcW w:w="217" w:type="dxa"/>
            <w:tcBorders/>
            <w:shd w:fill="auto" w:val="clear"/>
            <w:vAlign w:val="bottom"/>
          </w:tcPr>
          <w:p>
            <w:pPr>
              <w:pStyle w:val="TableContents"/>
              <w:spacing w:before="0" w:after="283"/>
              <w:rPr/>
            </w:pPr>
            <w:r>
              <w:rPr/>
              <w:t> </w:t>
            </w:r>
          </w:p>
        </w:tc>
      </w:tr>
      <w:tr>
        <w:trPr/>
        <w:tc>
          <w:tcPr>
            <w:tcW w:w="408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786" w:type="dxa"/>
            <w:gridSpan w:val="10"/>
            <w:tcBorders>
              <w:bottom w:val="single" w:sz="12" w:space="0" w:color="000000"/>
            </w:tcBorders>
            <w:shd w:fill="auto" w:val="clear"/>
            <w:tcMar>
              <w:bottom w:w="28" w:type="dxa"/>
            </w:tcMar>
            <w:vAlign w:val="bottom"/>
          </w:tcPr>
          <w:p>
            <w:pPr>
              <w:pStyle w:val="TableContents"/>
              <w:spacing w:before="0" w:after="0"/>
              <w:jc w:val="center"/>
              <w:rPr>
                <w:b/>
              </w:rPr>
            </w:pPr>
            <w:r>
              <w:rPr>
                <w:b/>
              </w:rPr>
              <w:t>2023</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786" w:type="dxa"/>
            <w:gridSpan w:val="10"/>
            <w:tcBorders>
              <w:bottom w:val="single" w:sz="12" w:space="0" w:color="000000"/>
            </w:tcBorders>
            <w:shd w:fill="auto" w:val="clear"/>
            <w:tcMar>
              <w:bottom w:w="28" w:type="dxa"/>
            </w:tcMar>
            <w:vAlign w:val="bottom"/>
          </w:tcPr>
          <w:p>
            <w:pPr>
              <w:pStyle w:val="TableContents"/>
              <w:spacing w:before="0" w:after="0"/>
              <w:jc w:val="center"/>
              <w:rPr>
                <w:b/>
              </w:rPr>
            </w:pPr>
            <w:r>
              <w:rPr>
                <w:b/>
              </w:rPr>
              <w:t>2022</w:t>
            </w:r>
          </w:p>
        </w:tc>
        <w:tc>
          <w:tcPr>
            <w:tcW w:w="217" w:type="dxa"/>
            <w:tcBorders/>
            <w:shd w:fill="auto" w:val="clear"/>
            <w:vAlign w:val="bottom"/>
          </w:tcPr>
          <w:p>
            <w:pPr>
              <w:pStyle w:val="TableContents"/>
              <w:spacing w:before="0" w:after="283"/>
              <w:rPr/>
            </w:pPr>
            <w:r>
              <w:rPr/>
              <w:t> </w:t>
            </w:r>
          </w:p>
        </w:tc>
      </w:tr>
      <w:tr>
        <w:trPr/>
        <w:tc>
          <w:tcPr>
            <w:tcW w:w="408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Average</w:t>
            </w:r>
          </w:p>
          <w:p>
            <w:pPr>
              <w:pStyle w:val="TableContents"/>
              <w:spacing w:before="0" w:after="0"/>
              <w:jc w:val="center"/>
              <w:rPr>
                <w:b/>
                <w:color w:val="000000"/>
              </w:rPr>
            </w:pPr>
            <w:r>
              <w:rPr>
                <w:b/>
                <w:color w:val="000000"/>
              </w:rPr>
              <w:t>Balance</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Interest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6"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Yield/</w:t>
            </w:r>
          </w:p>
          <w:p>
            <w:pPr>
              <w:pStyle w:val="TableContents"/>
              <w:spacing w:before="0" w:after="0"/>
              <w:jc w:val="center"/>
              <w:rPr>
                <w:b/>
                <w:color w:val="000000"/>
              </w:rPr>
            </w:pPr>
            <w:r>
              <w:rPr>
                <w:b/>
                <w:color w:val="000000"/>
              </w:rPr>
              <w:t>Rate</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Average</w:t>
            </w:r>
          </w:p>
          <w:p>
            <w:pPr>
              <w:pStyle w:val="TableContents"/>
              <w:spacing w:before="0" w:after="0"/>
              <w:jc w:val="center"/>
              <w:rPr>
                <w:b/>
                <w:color w:val="000000"/>
              </w:rPr>
            </w:pPr>
            <w:r>
              <w:rPr>
                <w:b/>
                <w:color w:val="000000"/>
              </w:rPr>
              <w:t>Balance</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Interest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6"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Yield/</w:t>
            </w:r>
          </w:p>
          <w:p>
            <w:pPr>
              <w:pStyle w:val="TableContents"/>
              <w:spacing w:before="0" w:after="0"/>
              <w:jc w:val="center"/>
              <w:rPr>
                <w:b/>
                <w:color w:val="000000"/>
              </w:rPr>
            </w:pPr>
            <w:r>
              <w:rPr>
                <w:b/>
                <w:color w:val="000000"/>
              </w:rPr>
              <w:t>Rate</w:t>
            </w:r>
          </w:p>
        </w:tc>
        <w:tc>
          <w:tcPr>
            <w:tcW w:w="217" w:type="dxa"/>
            <w:tcBorders/>
            <w:shd w:fill="auto" w:val="clear"/>
            <w:vAlign w:val="bottom"/>
          </w:tcPr>
          <w:p>
            <w:pPr>
              <w:pStyle w:val="TableContents"/>
              <w:spacing w:before="0" w:after="283"/>
              <w:rPr/>
            </w:pPr>
            <w:r>
              <w:rPr/>
              <w:t> </w:t>
            </w:r>
          </w:p>
        </w:tc>
      </w:tr>
      <w:tr>
        <w:trPr/>
        <w:tc>
          <w:tcPr>
            <w:tcW w:w="408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847" w:type="dxa"/>
            <w:gridSpan w:val="22"/>
            <w:tcBorders/>
            <w:shd w:fill="auto" w:val="clear"/>
            <w:vAlign w:val="bottom"/>
          </w:tcPr>
          <w:p>
            <w:pPr>
              <w:pStyle w:val="TableContents"/>
              <w:spacing w:before="0" w:after="0"/>
              <w:jc w:val="center"/>
              <w:rPr>
                <w:b/>
                <w:color w:val="000000"/>
              </w:rPr>
            </w:pPr>
            <w:r>
              <w:rPr>
                <w:b/>
                <w:color w:val="000000"/>
              </w:rPr>
              <w:t>(Dollars in thousands)</w:t>
            </w:r>
          </w:p>
        </w:tc>
        <w:tc>
          <w:tcPr>
            <w:tcW w:w="217" w:type="dxa"/>
            <w:tcBorders/>
            <w:shd w:fill="auto" w:val="clear"/>
            <w:vAlign w:val="bottom"/>
          </w:tcPr>
          <w:p>
            <w:pPr>
              <w:pStyle w:val="TableContents"/>
              <w:spacing w:before="0" w:after="283"/>
              <w:rPr/>
            </w:pPr>
            <w:r>
              <w:rPr/>
              <w:t> </w:t>
            </w:r>
          </w:p>
        </w:tc>
      </w:tr>
      <w:tr>
        <w:trPr/>
        <w:tc>
          <w:tcPr>
            <w:tcW w:w="4081" w:type="dxa"/>
            <w:tcBorders/>
            <w:shd w:fill="auto" w:val="clear"/>
            <w:vAlign w:val="bottom"/>
          </w:tcPr>
          <w:p>
            <w:pPr>
              <w:pStyle w:val="TableContents"/>
              <w:spacing w:before="0" w:after="0"/>
              <w:ind w:left="144" w:right="0" w:hanging="144"/>
              <w:rPr>
                <w:b/>
                <w:color w:val="000000"/>
              </w:rPr>
            </w:pPr>
            <w:r>
              <w:rPr>
                <w:b/>
                <w:color w:val="000000"/>
              </w:rPr>
              <w:t>Assets:</w:t>
            </w:r>
          </w:p>
        </w:tc>
        <w:tc>
          <w:tcPr>
            <w:tcW w:w="60" w:type="dxa"/>
            <w:tcBorders/>
            <w:shd w:fill="auto" w:val="clear"/>
            <w:vAlign w:val="bottom"/>
          </w:tcPr>
          <w:p>
            <w:pPr>
              <w:pStyle w:val="TableContents"/>
              <w:spacing w:before="0" w:after="283"/>
              <w:rPr/>
            </w:pPr>
            <w:r>
              <w:rPr/>
              <w:t> </w:t>
            </w:r>
          </w:p>
        </w:tc>
        <w:tc>
          <w:tcPr>
            <w:tcW w:w="112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6" w:type="dxa"/>
            <w:gridSpan w:val="2"/>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6" w:type="dxa"/>
            <w:gridSpan w:val="2"/>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r>
      <w:tr>
        <w:trPr/>
        <w:tc>
          <w:tcPr>
            <w:tcW w:w="4081" w:type="dxa"/>
            <w:tcBorders/>
            <w:shd w:fill="auto" w:val="clear"/>
            <w:vAlign w:val="bottom"/>
          </w:tcPr>
          <w:p>
            <w:pPr>
              <w:pStyle w:val="TableContents"/>
              <w:spacing w:before="0" w:after="0"/>
              <w:ind w:left="144" w:right="0" w:hanging="144"/>
              <w:rPr>
                <w:color w:val="000000"/>
              </w:rPr>
            </w:pPr>
            <w:r>
              <w:rPr>
                <w:color w:val="000000"/>
              </w:rPr>
              <w:t>Interest-earning assets:</w:t>
            </w:r>
          </w:p>
        </w:tc>
        <w:tc>
          <w:tcPr>
            <w:tcW w:w="60" w:type="dxa"/>
            <w:tcBorders/>
            <w:shd w:fill="auto" w:val="clear"/>
            <w:vAlign w:val="bottom"/>
          </w:tcPr>
          <w:p>
            <w:pPr>
              <w:pStyle w:val="TableContents"/>
              <w:spacing w:before="0" w:after="283"/>
              <w:rPr/>
            </w:pPr>
            <w:r>
              <w:rPr/>
              <w:t> </w:t>
            </w:r>
          </w:p>
        </w:tc>
        <w:tc>
          <w:tcPr>
            <w:tcW w:w="112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6" w:type="dxa"/>
            <w:gridSpan w:val="2"/>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6" w:type="dxa"/>
            <w:gridSpan w:val="2"/>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r>
      <w:tr>
        <w:trPr/>
        <w:tc>
          <w:tcPr>
            <w:tcW w:w="4081" w:type="dxa"/>
            <w:tcBorders/>
            <w:shd w:fill="CCEEFF" w:val="clear"/>
            <w:vAlign w:val="bottom"/>
          </w:tcPr>
          <w:p>
            <w:pPr>
              <w:pStyle w:val="TableContents"/>
              <w:spacing w:lineRule="auto" w:line="240" w:before="0" w:after="0"/>
              <w:ind w:left="324" w:right="0" w:hanging="144"/>
              <w:rPr>
                <w:color w:val="000000"/>
              </w:rPr>
            </w:pPr>
            <w:r>
              <w:rPr>
                <w:color w:val="000000"/>
              </w:rPr>
              <w:t>Loans (1)</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pPr>
            <w:r>
              <w:rPr/>
              <w:t>$</w:t>
            </w:r>
          </w:p>
        </w:tc>
        <w:tc>
          <w:tcPr>
            <w:tcW w:w="980" w:type="dxa"/>
            <w:tcBorders/>
            <w:shd w:fill="CCEEFF" w:val="clear"/>
            <w:vAlign w:val="bottom"/>
          </w:tcPr>
          <w:p>
            <w:pPr>
              <w:pStyle w:val="TableContents"/>
              <w:spacing w:before="0" w:after="0"/>
              <w:jc w:val="right"/>
              <w:rPr/>
            </w:pPr>
            <w:r>
              <w:rPr/>
              <w:t>2,778,876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pPr>
            <w:r>
              <w:rPr/>
              <w:t>$</w:t>
            </w:r>
          </w:p>
        </w:tc>
        <w:tc>
          <w:tcPr>
            <w:tcW w:w="680" w:type="dxa"/>
            <w:tcBorders/>
            <w:shd w:fill="CCEEFF" w:val="clear"/>
            <w:vAlign w:val="bottom"/>
          </w:tcPr>
          <w:p>
            <w:pPr>
              <w:pStyle w:val="TableContents"/>
              <w:spacing w:before="0" w:after="0"/>
              <w:jc w:val="right"/>
              <w:rPr/>
            </w:pPr>
            <w:r>
              <w:rPr/>
              <w:t>39,602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534" w:type="dxa"/>
            <w:tcBorders/>
            <w:shd w:fill="CCEEFF" w:val="clear"/>
            <w:vAlign w:val="bottom"/>
          </w:tcPr>
          <w:p>
            <w:pPr>
              <w:pStyle w:val="TableContents"/>
              <w:spacing w:before="0" w:after="0"/>
              <w:jc w:val="right"/>
              <w:rPr/>
            </w:pPr>
            <w:r>
              <w:rPr/>
              <w:t>5.78</w:t>
            </w:r>
          </w:p>
        </w:tc>
        <w:tc>
          <w:tcPr>
            <w:tcW w:w="21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pPr>
            <w:r>
              <w:rPr/>
              <w:t>$</w:t>
            </w:r>
          </w:p>
        </w:tc>
        <w:tc>
          <w:tcPr>
            <w:tcW w:w="980" w:type="dxa"/>
            <w:tcBorders/>
            <w:shd w:fill="CCEEFF" w:val="clear"/>
            <w:vAlign w:val="bottom"/>
          </w:tcPr>
          <w:p>
            <w:pPr>
              <w:pStyle w:val="TableContents"/>
              <w:spacing w:before="0" w:after="0"/>
              <w:jc w:val="right"/>
              <w:rPr/>
            </w:pPr>
            <w:r>
              <w:rPr/>
              <w:t>2,482,603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pPr>
            <w:r>
              <w:rPr/>
              <w:t>$</w:t>
            </w:r>
          </w:p>
        </w:tc>
        <w:tc>
          <w:tcPr>
            <w:tcW w:w="680" w:type="dxa"/>
            <w:tcBorders/>
            <w:shd w:fill="CCEEFF" w:val="clear"/>
            <w:vAlign w:val="bottom"/>
          </w:tcPr>
          <w:p>
            <w:pPr>
              <w:pStyle w:val="TableContents"/>
              <w:spacing w:before="0" w:after="0"/>
              <w:jc w:val="right"/>
              <w:rPr/>
            </w:pPr>
            <w:r>
              <w:rPr/>
              <w:t>29,379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534" w:type="dxa"/>
            <w:tcBorders/>
            <w:shd w:fill="CCEEFF" w:val="clear"/>
            <w:vAlign w:val="bottom"/>
          </w:tcPr>
          <w:p>
            <w:pPr>
              <w:pStyle w:val="TableContents"/>
              <w:spacing w:before="0" w:after="0"/>
              <w:jc w:val="right"/>
              <w:rPr/>
            </w:pPr>
            <w:r>
              <w:rPr/>
              <w:t>4.80</w:t>
            </w:r>
          </w:p>
        </w:tc>
        <w:tc>
          <w:tcPr>
            <w:tcW w:w="217" w:type="dxa"/>
            <w:tcBorders/>
            <w:shd w:fill="CCEEFF" w:val="clear"/>
            <w:vAlign w:val="bottom"/>
          </w:tcPr>
          <w:p>
            <w:pPr>
              <w:pStyle w:val="TableContents"/>
              <w:spacing w:before="0" w:after="0"/>
              <w:rPr/>
            </w:pPr>
            <w:r>
              <w:rPr/>
              <w:t>%</w:t>
            </w:r>
          </w:p>
        </w:tc>
      </w:tr>
      <w:tr>
        <w:trPr/>
        <w:tc>
          <w:tcPr>
            <w:tcW w:w="4081" w:type="dxa"/>
            <w:tcBorders/>
            <w:shd w:fill="auto" w:val="clear"/>
            <w:vAlign w:val="bottom"/>
          </w:tcPr>
          <w:p>
            <w:pPr>
              <w:pStyle w:val="TableContents"/>
              <w:spacing w:before="0" w:after="0"/>
              <w:ind w:left="324" w:right="0" w:hanging="144"/>
              <w:rPr>
                <w:color w:val="000000"/>
              </w:rPr>
            </w:pPr>
            <w:r>
              <w:rPr>
                <w:color w:val="000000"/>
              </w:rPr>
              <w:t>Investment securities – taxable</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0"/>
              <w:jc w:val="right"/>
              <w:rPr/>
            </w:pPr>
            <w:r>
              <w:rPr/>
              <w:t>585,427</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0"/>
              <w:jc w:val="right"/>
              <w:rPr/>
            </w:pPr>
            <w:r>
              <w:rPr/>
              <w:t>5,240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534" w:type="dxa"/>
            <w:tcBorders/>
            <w:shd w:fill="auto" w:val="clear"/>
            <w:vAlign w:val="bottom"/>
          </w:tcPr>
          <w:p>
            <w:pPr>
              <w:pStyle w:val="TableContents"/>
              <w:spacing w:before="0" w:after="0"/>
              <w:jc w:val="right"/>
              <w:rPr/>
            </w:pPr>
            <w:r>
              <w:rPr/>
              <w:t>3.63</w:t>
            </w:r>
          </w:p>
        </w:tc>
        <w:tc>
          <w:tcPr>
            <w:tcW w:w="215" w:type="dxa"/>
            <w:tcBorders/>
            <w:shd w:fill="auto" w:val="clear"/>
            <w:vAlign w:val="bottom"/>
          </w:tcPr>
          <w:p>
            <w:pPr>
              <w:pStyle w:val="TableContents"/>
              <w:spacing w:before="0" w:after="0"/>
              <w:rPr/>
            </w:pPr>
            <w:r>
              <w:rPr/>
              <w:t>%</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0"/>
              <w:jc w:val="right"/>
              <w:rPr/>
            </w:pPr>
            <w:r>
              <w:rPr/>
              <w:t>520,672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0"/>
              <w:jc w:val="right"/>
              <w:rPr/>
            </w:pPr>
            <w:r>
              <w:rPr/>
              <w:t>2,354</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534" w:type="dxa"/>
            <w:tcBorders/>
            <w:shd w:fill="auto" w:val="clear"/>
            <w:vAlign w:val="bottom"/>
          </w:tcPr>
          <w:p>
            <w:pPr>
              <w:pStyle w:val="TableContents"/>
              <w:spacing w:before="0" w:after="0"/>
              <w:jc w:val="right"/>
              <w:rPr/>
            </w:pPr>
            <w:r>
              <w:rPr/>
              <w:t>1.83</w:t>
            </w:r>
          </w:p>
        </w:tc>
        <w:tc>
          <w:tcPr>
            <w:tcW w:w="217" w:type="dxa"/>
            <w:tcBorders/>
            <w:shd w:fill="auto" w:val="clear"/>
            <w:vAlign w:val="bottom"/>
          </w:tcPr>
          <w:p>
            <w:pPr>
              <w:pStyle w:val="TableContents"/>
              <w:spacing w:before="0" w:after="0"/>
              <w:rPr/>
            </w:pPr>
            <w:r>
              <w:rPr/>
              <w:t>%</w:t>
            </w:r>
          </w:p>
        </w:tc>
      </w:tr>
      <w:tr>
        <w:trPr/>
        <w:tc>
          <w:tcPr>
            <w:tcW w:w="4081" w:type="dxa"/>
            <w:tcBorders/>
            <w:shd w:fill="CCEEFF" w:val="clear"/>
            <w:vAlign w:val="bottom"/>
          </w:tcPr>
          <w:p>
            <w:pPr>
              <w:pStyle w:val="TableContents"/>
              <w:spacing w:before="0" w:after="0"/>
              <w:ind w:left="324" w:right="0" w:hanging="144"/>
              <w:rPr>
                <w:color w:val="000000"/>
              </w:rPr>
            </w:pPr>
            <w:r>
              <w:rPr>
                <w:color w:val="000000"/>
              </w:rPr>
              <w:t>Investment securities – non-taxable</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pPr>
            <w:r>
              <w:rPr/>
              <w:t>213,191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pPr>
            <w:r>
              <w:rPr/>
              <w:t>1,413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534" w:type="dxa"/>
            <w:tcBorders/>
            <w:shd w:fill="CCEEFF" w:val="clear"/>
            <w:vAlign w:val="bottom"/>
          </w:tcPr>
          <w:p>
            <w:pPr>
              <w:pStyle w:val="TableContents"/>
              <w:spacing w:before="0" w:after="0"/>
              <w:jc w:val="right"/>
              <w:rPr/>
            </w:pPr>
            <w:r>
              <w:rPr/>
              <w:t>2.69</w:t>
            </w:r>
          </w:p>
        </w:tc>
        <w:tc>
          <w:tcPr>
            <w:tcW w:w="21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pPr>
            <w:r>
              <w:rPr/>
              <w:t>218,321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pPr>
            <w:r>
              <w:rPr/>
              <w:t>1,448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534" w:type="dxa"/>
            <w:tcBorders/>
            <w:shd w:fill="CCEEFF" w:val="clear"/>
            <w:vAlign w:val="bottom"/>
          </w:tcPr>
          <w:p>
            <w:pPr>
              <w:pStyle w:val="TableContents"/>
              <w:spacing w:before="0" w:after="0"/>
              <w:jc w:val="right"/>
              <w:rPr/>
            </w:pPr>
            <w:r>
              <w:rPr/>
              <w:t>2.69</w:t>
            </w:r>
          </w:p>
        </w:tc>
        <w:tc>
          <w:tcPr>
            <w:tcW w:w="217" w:type="dxa"/>
            <w:tcBorders/>
            <w:shd w:fill="CCEEFF" w:val="clear"/>
            <w:vAlign w:val="bottom"/>
          </w:tcPr>
          <w:p>
            <w:pPr>
              <w:pStyle w:val="TableContents"/>
              <w:spacing w:before="0" w:after="0"/>
              <w:rPr/>
            </w:pPr>
            <w:r>
              <w:rPr/>
              <w:t>%</w:t>
            </w:r>
          </w:p>
        </w:tc>
      </w:tr>
      <w:tr>
        <w:trPr/>
        <w:tc>
          <w:tcPr>
            <w:tcW w:w="4081" w:type="dxa"/>
            <w:tcBorders/>
            <w:shd w:fill="auto" w:val="clear"/>
            <w:vAlign w:val="bottom"/>
          </w:tcPr>
          <w:p>
            <w:pPr>
              <w:pStyle w:val="TableContents"/>
              <w:spacing w:lineRule="auto" w:line="240" w:before="0" w:after="0"/>
              <w:ind w:left="324" w:right="0" w:hanging="144"/>
              <w:rPr>
                <w:color w:val="000000"/>
              </w:rPr>
            </w:pPr>
            <w:r>
              <w:rPr>
                <w:color w:val="000000"/>
              </w:rPr>
              <w:t>Other interest-earning assets (2)</w:t>
            </w:r>
          </w:p>
        </w:tc>
        <w:tc>
          <w:tcPr>
            <w:tcW w:w="60" w:type="dxa"/>
            <w:tcBorders/>
            <w:shd w:fill="auto" w:val="clear"/>
            <w:vAlign w:val="bottom"/>
          </w:tcPr>
          <w:p>
            <w:pPr>
              <w:pStyle w:val="TableContents"/>
              <w:spacing w:before="0" w:after="283"/>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rPr/>
            </w:pPr>
            <w:r>
              <w:rPr/>
              <w:t> </w:t>
            </w:r>
          </w:p>
        </w:tc>
        <w:tc>
          <w:tcPr>
            <w:tcW w:w="980" w:type="dxa"/>
            <w:tcBorders>
              <w:bottom w:val="single" w:sz="12" w:space="0" w:color="000000"/>
            </w:tcBorders>
            <w:shd w:fill="auto" w:val="clear"/>
            <w:tcMar>
              <w:bottom w:w="28" w:type="dxa"/>
            </w:tcMar>
            <w:vAlign w:val="bottom"/>
          </w:tcPr>
          <w:p>
            <w:pPr>
              <w:pStyle w:val="TableContents"/>
              <w:spacing w:before="0" w:after="0"/>
              <w:jc w:val="right"/>
              <w:rPr/>
            </w:pPr>
            <w:r>
              <w:rPr/>
              <w:t>161,955</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rPr/>
            </w:pPr>
            <w:r>
              <w:rPr/>
              <w:t> </w:t>
            </w:r>
          </w:p>
        </w:tc>
        <w:tc>
          <w:tcPr>
            <w:tcW w:w="680" w:type="dxa"/>
            <w:tcBorders>
              <w:bottom w:val="single" w:sz="12" w:space="0" w:color="000000"/>
            </w:tcBorders>
            <w:shd w:fill="auto" w:val="clear"/>
            <w:tcMar>
              <w:bottom w:w="28" w:type="dxa"/>
            </w:tcMar>
            <w:vAlign w:val="bottom"/>
          </w:tcPr>
          <w:p>
            <w:pPr>
              <w:pStyle w:val="TableContents"/>
              <w:spacing w:before="0" w:after="0"/>
              <w:jc w:val="right"/>
              <w:rPr/>
            </w:pPr>
            <w:r>
              <w:rPr/>
              <w:t>1,495</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2" w:type="dxa"/>
            <w:tcBorders>
              <w:bottom w:val="single" w:sz="12" w:space="0" w:color="000000"/>
            </w:tcBorders>
            <w:shd w:fill="auto" w:val="clear"/>
            <w:tcMar>
              <w:bottom w:w="28" w:type="dxa"/>
            </w:tcMar>
            <w:vAlign w:val="bottom"/>
          </w:tcPr>
          <w:p>
            <w:pPr>
              <w:pStyle w:val="TableContents"/>
              <w:spacing w:before="0" w:after="283"/>
              <w:rPr/>
            </w:pPr>
            <w:r>
              <w:rPr/>
              <w:t> </w:t>
            </w:r>
          </w:p>
        </w:tc>
        <w:tc>
          <w:tcPr>
            <w:tcW w:w="534" w:type="dxa"/>
            <w:tcBorders>
              <w:bottom w:val="single" w:sz="12" w:space="0" w:color="000000"/>
            </w:tcBorders>
            <w:shd w:fill="auto" w:val="clear"/>
            <w:tcMar>
              <w:bottom w:w="28" w:type="dxa"/>
            </w:tcMar>
            <w:vAlign w:val="bottom"/>
          </w:tcPr>
          <w:p>
            <w:pPr>
              <w:pStyle w:val="TableContents"/>
              <w:spacing w:before="0" w:after="0"/>
              <w:jc w:val="right"/>
              <w:rPr/>
            </w:pPr>
            <w:r>
              <w:rPr/>
              <w:t>3.74</w:t>
            </w:r>
          </w:p>
        </w:tc>
        <w:tc>
          <w:tcPr>
            <w:tcW w:w="215" w:type="dxa"/>
            <w:tcBorders/>
            <w:shd w:fill="auto" w:val="clear"/>
            <w:vAlign w:val="bottom"/>
          </w:tcPr>
          <w:p>
            <w:pPr>
              <w:pStyle w:val="TableContents"/>
              <w:spacing w:before="0" w:after="0"/>
              <w:rPr/>
            </w:pPr>
            <w:r>
              <w:rPr/>
              <w:t>%</w:t>
            </w:r>
          </w:p>
        </w:tc>
        <w:tc>
          <w:tcPr>
            <w:tcW w:w="60" w:type="dxa"/>
            <w:tcBorders/>
            <w:shd w:fill="auto" w:val="clear"/>
            <w:vAlign w:val="bottom"/>
          </w:tcPr>
          <w:p>
            <w:pPr>
              <w:pStyle w:val="TableContents"/>
              <w:spacing w:before="0" w:after="283"/>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rPr/>
            </w:pPr>
            <w:r>
              <w:rPr/>
              <w:t> </w:t>
            </w:r>
          </w:p>
        </w:tc>
        <w:tc>
          <w:tcPr>
            <w:tcW w:w="980" w:type="dxa"/>
            <w:tcBorders>
              <w:bottom w:val="single" w:sz="12" w:space="0" w:color="000000"/>
            </w:tcBorders>
            <w:shd w:fill="auto" w:val="clear"/>
            <w:tcMar>
              <w:bottom w:w="28" w:type="dxa"/>
            </w:tcMar>
            <w:vAlign w:val="bottom"/>
          </w:tcPr>
          <w:p>
            <w:pPr>
              <w:pStyle w:val="TableContents"/>
              <w:spacing w:before="0" w:after="0"/>
              <w:jc w:val="right"/>
              <w:rPr/>
            </w:pPr>
            <w:r>
              <w:rPr/>
              <w:t>467,471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rPr/>
            </w:pPr>
            <w:r>
              <w:rPr/>
              <w:t> </w:t>
            </w:r>
          </w:p>
        </w:tc>
        <w:tc>
          <w:tcPr>
            <w:tcW w:w="680" w:type="dxa"/>
            <w:tcBorders>
              <w:bottom w:val="single" w:sz="12" w:space="0" w:color="000000"/>
            </w:tcBorders>
            <w:shd w:fill="auto" w:val="clear"/>
            <w:tcMar>
              <w:bottom w:w="28" w:type="dxa"/>
            </w:tcMar>
            <w:vAlign w:val="bottom"/>
          </w:tcPr>
          <w:p>
            <w:pPr>
              <w:pStyle w:val="TableContents"/>
              <w:spacing w:before="0" w:after="0"/>
              <w:jc w:val="right"/>
              <w:rPr/>
            </w:pPr>
            <w:r>
              <w:rPr/>
              <w:t>204</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2" w:type="dxa"/>
            <w:tcBorders>
              <w:bottom w:val="single" w:sz="12" w:space="0" w:color="000000"/>
            </w:tcBorders>
            <w:shd w:fill="auto" w:val="clear"/>
            <w:tcMar>
              <w:bottom w:w="28" w:type="dxa"/>
            </w:tcMar>
            <w:vAlign w:val="bottom"/>
          </w:tcPr>
          <w:p>
            <w:pPr>
              <w:pStyle w:val="TableContents"/>
              <w:spacing w:before="0" w:after="283"/>
              <w:rPr/>
            </w:pPr>
            <w:r>
              <w:rPr/>
              <w:t> </w:t>
            </w:r>
          </w:p>
        </w:tc>
        <w:tc>
          <w:tcPr>
            <w:tcW w:w="534" w:type="dxa"/>
            <w:tcBorders>
              <w:bottom w:val="single" w:sz="12" w:space="0" w:color="000000"/>
            </w:tcBorders>
            <w:shd w:fill="auto" w:val="clear"/>
            <w:tcMar>
              <w:bottom w:w="28" w:type="dxa"/>
            </w:tcMar>
            <w:vAlign w:val="bottom"/>
          </w:tcPr>
          <w:p>
            <w:pPr>
              <w:pStyle w:val="TableContents"/>
              <w:spacing w:before="0" w:after="0"/>
              <w:jc w:val="right"/>
              <w:rPr/>
            </w:pPr>
            <w:r>
              <w:rPr/>
              <w:t>0.18</w:t>
            </w:r>
          </w:p>
        </w:tc>
        <w:tc>
          <w:tcPr>
            <w:tcW w:w="217" w:type="dxa"/>
            <w:tcBorders/>
            <w:shd w:fill="auto" w:val="clear"/>
            <w:vAlign w:val="bottom"/>
          </w:tcPr>
          <w:p>
            <w:pPr>
              <w:pStyle w:val="TableContents"/>
              <w:spacing w:before="0" w:after="0"/>
              <w:rPr/>
            </w:pPr>
            <w:r>
              <w:rPr/>
              <w:t>%</w:t>
            </w:r>
          </w:p>
        </w:tc>
      </w:tr>
      <w:tr>
        <w:trPr/>
        <w:tc>
          <w:tcPr>
            <w:tcW w:w="4081" w:type="dxa"/>
            <w:tcBorders/>
            <w:shd w:fill="CCEEFF" w:val="clear"/>
            <w:vAlign w:val="bottom"/>
          </w:tcPr>
          <w:p>
            <w:pPr>
              <w:pStyle w:val="TableContents"/>
              <w:spacing w:before="0" w:after="0"/>
              <w:ind w:left="324" w:right="0" w:hanging="144"/>
              <w:rPr>
                <w:color w:val="000000"/>
              </w:rPr>
            </w:pPr>
            <w:r>
              <w:rPr>
                <w:color w:val="000000"/>
              </w:rPr>
              <w:t>Total interest-earning assets</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pPr>
            <w:r>
              <w:rPr/>
              <w:t>3,739,449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pPr>
            <w:r>
              <w:rPr/>
              <w:t>47,750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534" w:type="dxa"/>
            <w:tcBorders/>
            <w:shd w:fill="CCEEFF" w:val="clear"/>
            <w:vAlign w:val="bottom"/>
          </w:tcPr>
          <w:p>
            <w:pPr>
              <w:pStyle w:val="TableContents"/>
              <w:spacing w:before="0" w:after="0"/>
              <w:jc w:val="right"/>
              <w:rPr/>
            </w:pPr>
            <w:r>
              <w:rPr/>
              <w:t>5.18</w:t>
            </w:r>
          </w:p>
        </w:tc>
        <w:tc>
          <w:tcPr>
            <w:tcW w:w="21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pPr>
            <w:r>
              <w:rPr/>
              <w:t>3,689,067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pPr>
            <w:r>
              <w:rPr/>
              <w:t>33,385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534" w:type="dxa"/>
            <w:tcBorders/>
            <w:shd w:fill="CCEEFF" w:val="clear"/>
            <w:vAlign w:val="bottom"/>
          </w:tcPr>
          <w:p>
            <w:pPr>
              <w:pStyle w:val="TableContents"/>
              <w:spacing w:before="0" w:after="0"/>
              <w:jc w:val="right"/>
              <w:rPr/>
            </w:pPr>
            <w:r>
              <w:rPr/>
              <w:t>3.67</w:t>
            </w:r>
          </w:p>
        </w:tc>
        <w:tc>
          <w:tcPr>
            <w:tcW w:w="217" w:type="dxa"/>
            <w:tcBorders/>
            <w:shd w:fill="CCEEFF" w:val="clear"/>
            <w:vAlign w:val="bottom"/>
          </w:tcPr>
          <w:p>
            <w:pPr>
              <w:pStyle w:val="TableContents"/>
              <w:spacing w:before="0" w:after="0"/>
              <w:rPr/>
            </w:pPr>
            <w:r>
              <w:rPr/>
              <w:t>%</w:t>
            </w:r>
          </w:p>
        </w:tc>
      </w:tr>
      <w:tr>
        <w:trPr/>
        <w:tc>
          <w:tcPr>
            <w:tcW w:w="4081" w:type="dxa"/>
            <w:tcBorders/>
            <w:shd w:fill="auto" w:val="clear"/>
            <w:vAlign w:val="bottom"/>
          </w:tcPr>
          <w:p>
            <w:pPr>
              <w:pStyle w:val="TableContents"/>
              <w:spacing w:before="0" w:after="0"/>
              <w:ind w:left="144" w:right="0" w:hanging="144"/>
              <w:rPr>
                <w:color w:val="000000"/>
              </w:rPr>
            </w:pPr>
            <w:r>
              <w:rPr>
                <w:color w:val="000000"/>
              </w:rPr>
              <w:t>Noninterest-earning assets</w:t>
            </w:r>
          </w:p>
        </w:tc>
        <w:tc>
          <w:tcPr>
            <w:tcW w:w="60" w:type="dxa"/>
            <w:tcBorders/>
            <w:shd w:fill="auto" w:val="clear"/>
            <w:vAlign w:val="bottom"/>
          </w:tcPr>
          <w:p>
            <w:pPr>
              <w:pStyle w:val="TableContents"/>
              <w:spacing w:before="0" w:after="283"/>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rPr/>
            </w:pPr>
            <w:r>
              <w:rPr/>
              <w:t> </w:t>
            </w:r>
          </w:p>
        </w:tc>
        <w:tc>
          <w:tcPr>
            <w:tcW w:w="980" w:type="dxa"/>
            <w:tcBorders>
              <w:bottom w:val="single" w:sz="12" w:space="0" w:color="000000"/>
            </w:tcBorders>
            <w:shd w:fill="auto" w:val="clear"/>
            <w:tcMar>
              <w:bottom w:w="28" w:type="dxa"/>
            </w:tcMar>
            <w:vAlign w:val="bottom"/>
          </w:tcPr>
          <w:p>
            <w:pPr>
              <w:pStyle w:val="TableContents"/>
              <w:spacing w:before="0" w:after="0"/>
              <w:jc w:val="right"/>
              <w:rPr/>
            </w:pPr>
            <w:r>
              <w:rPr/>
              <w:t>189,477</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534" w:type="dxa"/>
            <w:tcBorders/>
            <w:shd w:fill="auto" w:val="clear"/>
            <w:vAlign w:val="bottom"/>
          </w:tcPr>
          <w:p>
            <w:pPr>
              <w:pStyle w:val="TableContents"/>
              <w:spacing w:before="0" w:after="283"/>
              <w:jc w:val="right"/>
              <w:rPr/>
            </w:pPr>
            <w:r>
              <w:rPr/>
              <w:t> </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rPr/>
            </w:pPr>
            <w:r>
              <w:rPr/>
              <w:t> </w:t>
            </w:r>
          </w:p>
        </w:tc>
        <w:tc>
          <w:tcPr>
            <w:tcW w:w="980" w:type="dxa"/>
            <w:tcBorders>
              <w:bottom w:val="single" w:sz="12" w:space="0" w:color="000000"/>
            </w:tcBorders>
            <w:shd w:fill="auto" w:val="clear"/>
            <w:tcMar>
              <w:bottom w:w="28" w:type="dxa"/>
            </w:tcMar>
            <w:vAlign w:val="bottom"/>
          </w:tcPr>
          <w:p>
            <w:pPr>
              <w:pStyle w:val="TableContents"/>
              <w:spacing w:before="0" w:after="0"/>
              <w:jc w:val="right"/>
              <w:rPr/>
            </w:pPr>
            <w:r>
              <w:rPr/>
              <w:t>262,178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534" w:type="dxa"/>
            <w:tcBorders/>
            <w:shd w:fill="auto" w:val="clear"/>
            <w:vAlign w:val="bottom"/>
          </w:tcPr>
          <w:p>
            <w:pPr>
              <w:pStyle w:val="TableContents"/>
              <w:spacing w:before="0" w:after="283"/>
              <w:jc w:val="right"/>
              <w:rPr/>
            </w:pPr>
            <w:r>
              <w:rPr/>
              <w:t> </w:t>
            </w:r>
          </w:p>
        </w:tc>
        <w:tc>
          <w:tcPr>
            <w:tcW w:w="217" w:type="dxa"/>
            <w:tcBorders/>
            <w:shd w:fill="auto" w:val="clear"/>
            <w:vAlign w:val="bottom"/>
          </w:tcPr>
          <w:p>
            <w:pPr>
              <w:pStyle w:val="TableContents"/>
              <w:spacing w:before="0" w:after="283"/>
              <w:rPr/>
            </w:pPr>
            <w:r>
              <w:rPr/>
              <w:t> </w:t>
            </w:r>
          </w:p>
        </w:tc>
      </w:tr>
      <w:tr>
        <w:trPr/>
        <w:tc>
          <w:tcPr>
            <w:tcW w:w="4081" w:type="dxa"/>
            <w:tcBorders/>
            <w:shd w:fill="CCEEFF" w:val="clear"/>
            <w:vAlign w:val="bottom"/>
          </w:tcPr>
          <w:p>
            <w:pPr>
              <w:pStyle w:val="TableContents"/>
              <w:spacing w:before="0" w:after="0"/>
              <w:ind w:left="504" w:right="0" w:hanging="144"/>
              <w:rPr>
                <w:color w:val="000000"/>
              </w:rPr>
            </w:pPr>
            <w:r>
              <w:rPr>
                <w:color w:val="000000"/>
              </w:rPr>
              <w:t>Total assets</w:t>
            </w:r>
          </w:p>
        </w:tc>
        <w:tc>
          <w:tcPr>
            <w:tcW w:w="60" w:type="dxa"/>
            <w:tcBorders/>
            <w:shd w:fill="CCEEFF" w:val="clear"/>
            <w:vAlign w:val="bottom"/>
          </w:tcPr>
          <w:p>
            <w:pPr>
              <w:pStyle w:val="TableContents"/>
              <w:spacing w:before="0" w:after="283"/>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rPr/>
            </w:pPr>
            <w:r>
              <w:rPr/>
              <w:t>$</w:t>
            </w:r>
          </w:p>
        </w:tc>
        <w:tc>
          <w:tcPr>
            <w:tcW w:w="980" w:type="dxa"/>
            <w:tcBorders>
              <w:bottom w:val="double" w:sz="8" w:space="0" w:color="000000"/>
            </w:tcBorders>
            <w:shd w:fill="CCEEFF" w:val="clear"/>
            <w:tcMar>
              <w:bottom w:w="28" w:type="dxa"/>
            </w:tcMar>
            <w:vAlign w:val="bottom"/>
          </w:tcPr>
          <w:p>
            <w:pPr>
              <w:pStyle w:val="TableContents"/>
              <w:spacing w:before="0" w:after="0"/>
              <w:jc w:val="right"/>
              <w:rPr/>
            </w:pPr>
            <w:r>
              <w:rPr/>
              <w:t>3,928,926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534" w:type="dxa"/>
            <w:tcBorders/>
            <w:shd w:fill="CCEEFF" w:val="clear"/>
            <w:vAlign w:val="bottom"/>
          </w:tcPr>
          <w:p>
            <w:pPr>
              <w:pStyle w:val="TableContents"/>
              <w:spacing w:before="0" w:after="283"/>
              <w:jc w:val="right"/>
              <w:rPr/>
            </w:pPr>
            <w:r>
              <w:rPr/>
              <w:t> </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rPr/>
            </w:pPr>
            <w:r>
              <w:rPr/>
              <w:t>$</w:t>
            </w:r>
          </w:p>
        </w:tc>
        <w:tc>
          <w:tcPr>
            <w:tcW w:w="980" w:type="dxa"/>
            <w:tcBorders>
              <w:bottom w:val="double" w:sz="8" w:space="0" w:color="000000"/>
            </w:tcBorders>
            <w:shd w:fill="CCEEFF" w:val="clear"/>
            <w:tcMar>
              <w:bottom w:w="28" w:type="dxa"/>
            </w:tcMar>
            <w:vAlign w:val="bottom"/>
          </w:tcPr>
          <w:p>
            <w:pPr>
              <w:pStyle w:val="TableContents"/>
              <w:spacing w:before="0" w:after="0"/>
              <w:jc w:val="right"/>
              <w:rPr/>
            </w:pPr>
            <w:r>
              <w:rPr/>
              <w:t>3,951,245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534" w:type="dxa"/>
            <w:tcBorders/>
            <w:shd w:fill="CCEEFF" w:val="clear"/>
            <w:vAlign w:val="bottom"/>
          </w:tcPr>
          <w:p>
            <w:pPr>
              <w:pStyle w:val="TableContents"/>
              <w:spacing w:before="0" w:after="283"/>
              <w:jc w:val="right"/>
              <w:rPr/>
            </w:pPr>
            <w:r>
              <w:rPr/>
              <w:t> </w:t>
            </w:r>
          </w:p>
        </w:tc>
        <w:tc>
          <w:tcPr>
            <w:tcW w:w="217" w:type="dxa"/>
            <w:tcBorders/>
            <w:shd w:fill="CCEEFF" w:val="clear"/>
            <w:vAlign w:val="bottom"/>
          </w:tcPr>
          <w:p>
            <w:pPr>
              <w:pStyle w:val="TableContents"/>
              <w:spacing w:before="0" w:after="283"/>
              <w:rPr/>
            </w:pPr>
            <w:r>
              <w:rPr/>
              <w:t> </w:t>
            </w:r>
          </w:p>
        </w:tc>
      </w:tr>
      <w:tr>
        <w:trPr/>
        <w:tc>
          <w:tcPr>
            <w:tcW w:w="408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534" w:type="dxa"/>
            <w:tcBorders/>
            <w:shd w:fill="auto" w:val="clear"/>
            <w:vAlign w:val="bottom"/>
          </w:tcPr>
          <w:p>
            <w:pPr>
              <w:pStyle w:val="TableContents"/>
              <w:spacing w:before="0" w:after="283"/>
              <w:jc w:val="right"/>
              <w:rPr/>
            </w:pPr>
            <w:r>
              <w:rPr/>
              <w:t> </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534" w:type="dxa"/>
            <w:tcBorders/>
            <w:shd w:fill="auto" w:val="clear"/>
            <w:vAlign w:val="bottom"/>
          </w:tcPr>
          <w:p>
            <w:pPr>
              <w:pStyle w:val="TableContents"/>
              <w:spacing w:before="0" w:after="283"/>
              <w:jc w:val="right"/>
              <w:rPr/>
            </w:pPr>
            <w:r>
              <w:rPr/>
              <w:t> </w:t>
            </w:r>
          </w:p>
        </w:tc>
        <w:tc>
          <w:tcPr>
            <w:tcW w:w="217" w:type="dxa"/>
            <w:tcBorders/>
            <w:shd w:fill="auto" w:val="clear"/>
            <w:vAlign w:val="bottom"/>
          </w:tcPr>
          <w:p>
            <w:pPr>
              <w:pStyle w:val="TableContents"/>
              <w:spacing w:before="0" w:after="283"/>
              <w:rPr/>
            </w:pPr>
            <w:r>
              <w:rPr/>
              <w:t> </w:t>
            </w:r>
          </w:p>
        </w:tc>
      </w:tr>
      <w:tr>
        <w:trPr/>
        <w:tc>
          <w:tcPr>
            <w:tcW w:w="4081" w:type="dxa"/>
            <w:tcBorders/>
            <w:shd w:fill="CCEEFF" w:val="clear"/>
            <w:vAlign w:val="bottom"/>
          </w:tcPr>
          <w:p>
            <w:pPr>
              <w:pStyle w:val="TableContents"/>
              <w:spacing w:before="0" w:after="0"/>
              <w:ind w:left="144" w:right="0" w:hanging="144"/>
              <w:rPr>
                <w:b/>
                <w:color w:val="000000"/>
              </w:rPr>
            </w:pPr>
            <w:r>
              <w:rPr>
                <w:b/>
                <w:color w:val="000000"/>
              </w:rPr>
              <w:t>Liabilities and Stockholders’ Equity:</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534" w:type="dxa"/>
            <w:tcBorders/>
            <w:shd w:fill="CCEEFF" w:val="clear"/>
            <w:vAlign w:val="bottom"/>
          </w:tcPr>
          <w:p>
            <w:pPr>
              <w:pStyle w:val="TableContents"/>
              <w:spacing w:before="0" w:after="283"/>
              <w:jc w:val="right"/>
              <w:rPr/>
            </w:pPr>
            <w:r>
              <w:rPr/>
              <w:t> </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534" w:type="dxa"/>
            <w:tcBorders/>
            <w:shd w:fill="CCEEFF" w:val="clear"/>
            <w:vAlign w:val="bottom"/>
          </w:tcPr>
          <w:p>
            <w:pPr>
              <w:pStyle w:val="TableContents"/>
              <w:spacing w:before="0" w:after="283"/>
              <w:jc w:val="right"/>
              <w:rPr/>
            </w:pPr>
            <w:r>
              <w:rPr/>
              <w:t> </w:t>
            </w:r>
          </w:p>
        </w:tc>
        <w:tc>
          <w:tcPr>
            <w:tcW w:w="217" w:type="dxa"/>
            <w:tcBorders/>
            <w:shd w:fill="CCEEFF" w:val="clear"/>
            <w:vAlign w:val="bottom"/>
          </w:tcPr>
          <w:p>
            <w:pPr>
              <w:pStyle w:val="TableContents"/>
              <w:spacing w:before="0" w:after="283"/>
              <w:rPr/>
            </w:pPr>
            <w:r>
              <w:rPr/>
              <w:t> </w:t>
            </w:r>
          </w:p>
        </w:tc>
      </w:tr>
      <w:tr>
        <w:trPr/>
        <w:tc>
          <w:tcPr>
            <w:tcW w:w="4081" w:type="dxa"/>
            <w:tcBorders/>
            <w:shd w:fill="auto" w:val="clear"/>
            <w:vAlign w:val="bottom"/>
          </w:tcPr>
          <w:p>
            <w:pPr>
              <w:pStyle w:val="TableContents"/>
              <w:spacing w:before="0" w:after="0"/>
              <w:ind w:left="144" w:right="0" w:hanging="144"/>
              <w:rPr>
                <w:color w:val="000000"/>
              </w:rPr>
            </w:pPr>
            <w:r>
              <w:rPr>
                <w:color w:val="000000"/>
              </w:rPr>
              <w:t>Interest-bearing liabilities:</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534" w:type="dxa"/>
            <w:tcBorders/>
            <w:shd w:fill="auto" w:val="clear"/>
            <w:vAlign w:val="bottom"/>
          </w:tcPr>
          <w:p>
            <w:pPr>
              <w:pStyle w:val="TableContents"/>
              <w:spacing w:before="0" w:after="283"/>
              <w:jc w:val="right"/>
              <w:rPr/>
            </w:pPr>
            <w:r>
              <w:rPr/>
              <w:t> </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534" w:type="dxa"/>
            <w:tcBorders/>
            <w:shd w:fill="auto" w:val="clear"/>
            <w:vAlign w:val="bottom"/>
          </w:tcPr>
          <w:p>
            <w:pPr>
              <w:pStyle w:val="TableContents"/>
              <w:spacing w:before="0" w:after="283"/>
              <w:jc w:val="right"/>
              <w:rPr/>
            </w:pPr>
            <w:r>
              <w:rPr/>
              <w:t> </w:t>
            </w:r>
          </w:p>
        </w:tc>
        <w:tc>
          <w:tcPr>
            <w:tcW w:w="217" w:type="dxa"/>
            <w:tcBorders/>
            <w:shd w:fill="auto" w:val="clear"/>
            <w:vAlign w:val="bottom"/>
          </w:tcPr>
          <w:p>
            <w:pPr>
              <w:pStyle w:val="TableContents"/>
              <w:spacing w:before="0" w:after="283"/>
              <w:rPr/>
            </w:pPr>
            <w:r>
              <w:rPr/>
              <w:t> </w:t>
            </w:r>
          </w:p>
        </w:tc>
      </w:tr>
      <w:tr>
        <w:trPr/>
        <w:tc>
          <w:tcPr>
            <w:tcW w:w="4081" w:type="dxa"/>
            <w:tcBorders/>
            <w:shd w:fill="CCEEFF" w:val="clear"/>
            <w:vAlign w:val="bottom"/>
          </w:tcPr>
          <w:p>
            <w:pPr>
              <w:pStyle w:val="TableContents"/>
              <w:spacing w:before="0" w:after="0"/>
              <w:ind w:left="324" w:right="0" w:hanging="144"/>
              <w:rPr>
                <w:color w:val="000000"/>
              </w:rPr>
            </w:pPr>
            <w:r>
              <w:rPr>
                <w:color w:val="000000"/>
              </w:rPr>
              <w:t>NOW, savings and money market deposits</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pPr>
            <w:r>
              <w:rPr/>
              <w:t>$</w:t>
            </w:r>
          </w:p>
        </w:tc>
        <w:tc>
          <w:tcPr>
            <w:tcW w:w="980" w:type="dxa"/>
            <w:tcBorders/>
            <w:shd w:fill="CCEEFF" w:val="clear"/>
            <w:vAlign w:val="bottom"/>
          </w:tcPr>
          <w:p>
            <w:pPr>
              <w:pStyle w:val="TableContents"/>
              <w:spacing w:before="0" w:after="0"/>
              <w:jc w:val="right"/>
              <w:rPr/>
            </w:pPr>
            <w:r>
              <w:rPr/>
              <w:t>1,988,555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pPr>
            <w:r>
              <w:rPr/>
              <w:t>$</w:t>
            </w:r>
          </w:p>
        </w:tc>
        <w:tc>
          <w:tcPr>
            <w:tcW w:w="680" w:type="dxa"/>
            <w:tcBorders/>
            <w:shd w:fill="CCEEFF" w:val="clear"/>
            <w:vAlign w:val="bottom"/>
          </w:tcPr>
          <w:p>
            <w:pPr>
              <w:pStyle w:val="TableContents"/>
              <w:spacing w:before="0" w:after="0"/>
              <w:jc w:val="right"/>
              <w:rPr/>
            </w:pPr>
            <w:r>
              <w:rPr/>
              <w:t>9,984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534" w:type="dxa"/>
            <w:tcBorders/>
            <w:shd w:fill="CCEEFF" w:val="clear"/>
            <w:vAlign w:val="bottom"/>
          </w:tcPr>
          <w:p>
            <w:pPr>
              <w:pStyle w:val="TableContents"/>
              <w:spacing w:before="0" w:after="0"/>
              <w:jc w:val="right"/>
              <w:rPr/>
            </w:pPr>
            <w:r>
              <w:rPr/>
              <w:t>2.04</w:t>
            </w:r>
          </w:p>
        </w:tc>
        <w:tc>
          <w:tcPr>
            <w:tcW w:w="21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pPr>
            <w:r>
              <w:rPr/>
              <w:t>$</w:t>
            </w:r>
          </w:p>
        </w:tc>
        <w:tc>
          <w:tcPr>
            <w:tcW w:w="980" w:type="dxa"/>
            <w:tcBorders/>
            <w:shd w:fill="CCEEFF" w:val="clear"/>
            <w:vAlign w:val="bottom"/>
          </w:tcPr>
          <w:p>
            <w:pPr>
              <w:pStyle w:val="TableContents"/>
              <w:spacing w:before="0" w:after="0"/>
              <w:jc w:val="right"/>
              <w:rPr/>
            </w:pPr>
            <w:r>
              <w:rPr/>
              <w:t>1,937,764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pPr>
            <w:r>
              <w:rPr/>
              <w:t>$</w:t>
            </w:r>
          </w:p>
        </w:tc>
        <w:tc>
          <w:tcPr>
            <w:tcW w:w="680" w:type="dxa"/>
            <w:tcBorders/>
            <w:shd w:fill="CCEEFF" w:val="clear"/>
            <w:vAlign w:val="bottom"/>
          </w:tcPr>
          <w:p>
            <w:pPr>
              <w:pStyle w:val="TableContents"/>
              <w:spacing w:before="0" w:after="0"/>
              <w:jc w:val="right"/>
              <w:rPr/>
            </w:pPr>
            <w:r>
              <w:rPr/>
              <w:t>911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534" w:type="dxa"/>
            <w:tcBorders/>
            <w:shd w:fill="CCEEFF" w:val="clear"/>
            <w:vAlign w:val="bottom"/>
          </w:tcPr>
          <w:p>
            <w:pPr>
              <w:pStyle w:val="TableContents"/>
              <w:spacing w:before="0" w:after="0"/>
              <w:jc w:val="right"/>
              <w:rPr/>
            </w:pPr>
            <w:r>
              <w:rPr/>
              <w:t>0.19</w:t>
            </w:r>
          </w:p>
        </w:tc>
        <w:tc>
          <w:tcPr>
            <w:tcW w:w="217" w:type="dxa"/>
            <w:tcBorders/>
            <w:shd w:fill="CCEEFF" w:val="clear"/>
            <w:vAlign w:val="bottom"/>
          </w:tcPr>
          <w:p>
            <w:pPr>
              <w:pStyle w:val="TableContents"/>
              <w:spacing w:before="0" w:after="0"/>
              <w:rPr/>
            </w:pPr>
            <w:r>
              <w:rPr/>
              <w:t>%</w:t>
            </w:r>
          </w:p>
        </w:tc>
      </w:tr>
      <w:tr>
        <w:trPr/>
        <w:tc>
          <w:tcPr>
            <w:tcW w:w="4081" w:type="dxa"/>
            <w:tcBorders/>
            <w:shd w:fill="auto" w:val="clear"/>
            <w:vAlign w:val="bottom"/>
          </w:tcPr>
          <w:p>
            <w:pPr>
              <w:pStyle w:val="TableContents"/>
              <w:spacing w:before="0" w:after="0"/>
              <w:ind w:left="324" w:right="0" w:hanging="144"/>
              <w:rPr>
                <w:color w:val="000000"/>
              </w:rPr>
            </w:pPr>
            <w:r>
              <w:rPr>
                <w:color w:val="000000"/>
              </w:rPr>
              <w:t>Time deposits</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0"/>
              <w:jc w:val="right"/>
              <w:rPr/>
            </w:pPr>
            <w:r>
              <w:rPr/>
              <w:t>283,997</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0"/>
              <w:jc w:val="right"/>
              <w:rPr/>
            </w:pPr>
            <w:r>
              <w:rPr/>
              <w:t>1,386</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534" w:type="dxa"/>
            <w:tcBorders/>
            <w:shd w:fill="auto" w:val="clear"/>
            <w:vAlign w:val="bottom"/>
          </w:tcPr>
          <w:p>
            <w:pPr>
              <w:pStyle w:val="TableContents"/>
              <w:spacing w:before="0" w:after="0"/>
              <w:jc w:val="right"/>
              <w:rPr/>
            </w:pPr>
            <w:r>
              <w:rPr/>
              <w:t>1.98</w:t>
            </w:r>
          </w:p>
        </w:tc>
        <w:tc>
          <w:tcPr>
            <w:tcW w:w="215" w:type="dxa"/>
            <w:tcBorders/>
            <w:shd w:fill="auto" w:val="clear"/>
            <w:vAlign w:val="bottom"/>
          </w:tcPr>
          <w:p>
            <w:pPr>
              <w:pStyle w:val="TableContents"/>
              <w:spacing w:before="0" w:after="0"/>
              <w:rPr/>
            </w:pPr>
            <w:r>
              <w:rPr/>
              <w:t>%</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0"/>
              <w:jc w:val="right"/>
              <w:rPr/>
            </w:pPr>
            <w:r>
              <w:rPr/>
              <w:t>339,104</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0"/>
              <w:jc w:val="right"/>
              <w:rPr/>
            </w:pPr>
            <w:r>
              <w:rPr/>
              <w:t>979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534" w:type="dxa"/>
            <w:tcBorders/>
            <w:shd w:fill="auto" w:val="clear"/>
            <w:vAlign w:val="bottom"/>
          </w:tcPr>
          <w:p>
            <w:pPr>
              <w:pStyle w:val="TableContents"/>
              <w:spacing w:before="0" w:after="0"/>
              <w:jc w:val="right"/>
              <w:rPr/>
            </w:pPr>
            <w:r>
              <w:rPr/>
              <w:t>1.17</w:t>
            </w:r>
          </w:p>
        </w:tc>
        <w:tc>
          <w:tcPr>
            <w:tcW w:w="217" w:type="dxa"/>
            <w:tcBorders/>
            <w:shd w:fill="auto" w:val="clear"/>
            <w:vAlign w:val="bottom"/>
          </w:tcPr>
          <w:p>
            <w:pPr>
              <w:pStyle w:val="TableContents"/>
              <w:spacing w:before="0" w:after="0"/>
              <w:rPr/>
            </w:pPr>
            <w:r>
              <w:rPr/>
              <w:t>%</w:t>
            </w:r>
          </w:p>
        </w:tc>
      </w:tr>
      <w:tr>
        <w:trPr/>
        <w:tc>
          <w:tcPr>
            <w:tcW w:w="4081" w:type="dxa"/>
            <w:tcBorders/>
            <w:shd w:fill="CCEEFF" w:val="clear"/>
            <w:vAlign w:val="bottom"/>
          </w:tcPr>
          <w:p>
            <w:pPr>
              <w:pStyle w:val="TableContents"/>
              <w:spacing w:before="0" w:after="0"/>
              <w:ind w:left="324" w:right="0" w:hanging="144"/>
              <w:rPr>
                <w:color w:val="000000"/>
              </w:rPr>
            </w:pPr>
            <w:r>
              <w:rPr>
                <w:color w:val="000000"/>
              </w:rPr>
              <w:t>Short-term borrowings</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pPr>
            <w:r>
              <w:rPr/>
              <w:t>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534" w:type="dxa"/>
            <w:tcBorders/>
            <w:shd w:fill="CCEEFF" w:val="clear"/>
            <w:vAlign w:val="bottom"/>
          </w:tcPr>
          <w:p>
            <w:pPr>
              <w:pStyle w:val="TableContents"/>
              <w:spacing w:before="0" w:after="0"/>
              <w:jc w:val="right"/>
              <w:rPr/>
            </w:pPr>
            <w:r>
              <w:rPr/>
              <w:t>0.00</w:t>
            </w:r>
          </w:p>
        </w:tc>
        <w:tc>
          <w:tcPr>
            <w:tcW w:w="21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pPr>
            <w:r>
              <w:rPr/>
              <w:t>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534" w:type="dxa"/>
            <w:tcBorders/>
            <w:shd w:fill="CCEEFF" w:val="clear"/>
            <w:vAlign w:val="bottom"/>
          </w:tcPr>
          <w:p>
            <w:pPr>
              <w:pStyle w:val="TableContents"/>
              <w:spacing w:before="0" w:after="0"/>
              <w:jc w:val="right"/>
              <w:rPr/>
            </w:pPr>
            <w:r>
              <w:rPr/>
              <w:t>0.00</w:t>
            </w:r>
          </w:p>
        </w:tc>
        <w:tc>
          <w:tcPr>
            <w:tcW w:w="217" w:type="dxa"/>
            <w:tcBorders/>
            <w:shd w:fill="CCEEFF" w:val="clear"/>
            <w:vAlign w:val="bottom"/>
          </w:tcPr>
          <w:p>
            <w:pPr>
              <w:pStyle w:val="TableContents"/>
              <w:spacing w:before="0" w:after="0"/>
              <w:rPr/>
            </w:pPr>
            <w:r>
              <w:rPr/>
              <w:t>%</w:t>
            </w:r>
          </w:p>
        </w:tc>
      </w:tr>
      <w:tr>
        <w:trPr/>
        <w:tc>
          <w:tcPr>
            <w:tcW w:w="4081" w:type="dxa"/>
            <w:tcBorders/>
            <w:shd w:fill="auto" w:val="clear"/>
            <w:vAlign w:val="bottom"/>
          </w:tcPr>
          <w:p>
            <w:pPr>
              <w:pStyle w:val="TableContents"/>
              <w:spacing w:before="0" w:after="0"/>
              <w:ind w:left="324" w:right="0" w:hanging="144"/>
              <w:rPr>
                <w:color w:val="000000"/>
              </w:rPr>
            </w:pPr>
            <w:r>
              <w:rPr>
                <w:color w:val="000000"/>
              </w:rPr>
              <w:t>Notes payable &amp; other longer-term borrowings</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0"/>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0"/>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534" w:type="dxa"/>
            <w:tcBorders/>
            <w:shd w:fill="auto" w:val="clear"/>
            <w:vAlign w:val="bottom"/>
          </w:tcPr>
          <w:p>
            <w:pPr>
              <w:pStyle w:val="TableContents"/>
              <w:spacing w:before="0" w:after="0"/>
              <w:jc w:val="right"/>
              <w:rPr/>
            </w:pPr>
            <w:r>
              <w:rPr/>
              <w:t>0.00</w:t>
            </w:r>
          </w:p>
        </w:tc>
        <w:tc>
          <w:tcPr>
            <w:tcW w:w="215" w:type="dxa"/>
            <w:tcBorders/>
            <w:shd w:fill="auto" w:val="clear"/>
            <w:vAlign w:val="bottom"/>
          </w:tcPr>
          <w:p>
            <w:pPr>
              <w:pStyle w:val="TableContents"/>
              <w:spacing w:before="0" w:after="0"/>
              <w:rPr/>
            </w:pPr>
            <w:r>
              <w:rPr/>
              <w:t>%</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0"/>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0"/>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534" w:type="dxa"/>
            <w:tcBorders/>
            <w:shd w:fill="auto" w:val="clear"/>
            <w:vAlign w:val="bottom"/>
          </w:tcPr>
          <w:p>
            <w:pPr>
              <w:pStyle w:val="TableContents"/>
              <w:spacing w:before="0" w:after="0"/>
              <w:jc w:val="right"/>
              <w:rPr/>
            </w:pPr>
            <w:r>
              <w:rPr/>
              <w:t>0.00</w:t>
            </w:r>
          </w:p>
        </w:tc>
        <w:tc>
          <w:tcPr>
            <w:tcW w:w="217" w:type="dxa"/>
            <w:tcBorders/>
            <w:shd w:fill="auto" w:val="clear"/>
            <w:vAlign w:val="bottom"/>
          </w:tcPr>
          <w:p>
            <w:pPr>
              <w:pStyle w:val="TableContents"/>
              <w:spacing w:before="0" w:after="0"/>
              <w:rPr/>
            </w:pPr>
            <w:r>
              <w:rPr/>
              <w:t>%</w:t>
            </w:r>
          </w:p>
        </w:tc>
      </w:tr>
      <w:tr>
        <w:trPr/>
        <w:tc>
          <w:tcPr>
            <w:tcW w:w="4081" w:type="dxa"/>
            <w:tcBorders/>
            <w:shd w:fill="CCEEFF" w:val="clear"/>
            <w:vAlign w:val="bottom"/>
          </w:tcPr>
          <w:p>
            <w:pPr>
              <w:pStyle w:val="TableContents"/>
              <w:spacing w:before="0" w:after="0"/>
              <w:ind w:left="324" w:right="0" w:hanging="144"/>
              <w:rPr>
                <w:color w:val="000000"/>
              </w:rPr>
            </w:pPr>
            <w:r>
              <w:rPr>
                <w:color w:val="000000"/>
              </w:rPr>
              <w:t>Subordinated debt securities</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pPr>
            <w:r>
              <w:rPr/>
              <w:t>75,984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pPr>
            <w:r>
              <w:rPr/>
              <w:t>1,012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534" w:type="dxa"/>
            <w:tcBorders/>
            <w:shd w:fill="CCEEFF" w:val="clear"/>
            <w:vAlign w:val="bottom"/>
          </w:tcPr>
          <w:p>
            <w:pPr>
              <w:pStyle w:val="TableContents"/>
              <w:spacing w:before="0" w:after="0"/>
              <w:jc w:val="right"/>
              <w:rPr/>
            </w:pPr>
            <w:r>
              <w:rPr/>
              <w:t>5.40</w:t>
            </w:r>
          </w:p>
        </w:tc>
        <w:tc>
          <w:tcPr>
            <w:tcW w:w="21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pPr>
            <w:r>
              <w:rPr/>
              <w:t>75,798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pPr>
            <w:r>
              <w:rPr/>
              <w:t>1,012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534" w:type="dxa"/>
            <w:tcBorders/>
            <w:shd w:fill="CCEEFF" w:val="clear"/>
            <w:vAlign w:val="bottom"/>
          </w:tcPr>
          <w:p>
            <w:pPr>
              <w:pStyle w:val="TableContents"/>
              <w:spacing w:before="0" w:after="0"/>
              <w:jc w:val="right"/>
              <w:rPr/>
            </w:pPr>
            <w:r>
              <w:rPr/>
              <w:t>5.41</w:t>
            </w:r>
          </w:p>
        </w:tc>
        <w:tc>
          <w:tcPr>
            <w:tcW w:w="217" w:type="dxa"/>
            <w:tcBorders/>
            <w:shd w:fill="CCEEFF" w:val="clear"/>
            <w:vAlign w:val="bottom"/>
          </w:tcPr>
          <w:p>
            <w:pPr>
              <w:pStyle w:val="TableContents"/>
              <w:spacing w:before="0" w:after="0"/>
              <w:rPr/>
            </w:pPr>
            <w:r>
              <w:rPr/>
              <w:t>%</w:t>
            </w:r>
          </w:p>
        </w:tc>
      </w:tr>
      <w:tr>
        <w:trPr/>
        <w:tc>
          <w:tcPr>
            <w:tcW w:w="4081" w:type="dxa"/>
            <w:tcBorders/>
            <w:shd w:fill="auto" w:val="clear"/>
            <w:vAlign w:val="bottom"/>
          </w:tcPr>
          <w:p>
            <w:pPr>
              <w:pStyle w:val="TableContents"/>
              <w:spacing w:before="0" w:after="0"/>
              <w:ind w:left="324" w:right="0" w:hanging="144"/>
              <w:rPr>
                <w:color w:val="000000"/>
              </w:rPr>
            </w:pPr>
            <w:r>
              <w:rPr>
                <w:color w:val="000000"/>
              </w:rPr>
              <w:t>Junior subordinated deferrable interest debentures</w:t>
            </w:r>
          </w:p>
        </w:tc>
        <w:tc>
          <w:tcPr>
            <w:tcW w:w="60" w:type="dxa"/>
            <w:tcBorders/>
            <w:shd w:fill="auto" w:val="clear"/>
            <w:vAlign w:val="bottom"/>
          </w:tcPr>
          <w:p>
            <w:pPr>
              <w:pStyle w:val="TableContents"/>
              <w:spacing w:before="0" w:after="283"/>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rPr/>
            </w:pPr>
            <w:r>
              <w:rPr/>
              <w:t> </w:t>
            </w:r>
          </w:p>
        </w:tc>
        <w:tc>
          <w:tcPr>
            <w:tcW w:w="980" w:type="dxa"/>
            <w:tcBorders>
              <w:bottom w:val="single" w:sz="12" w:space="0" w:color="000000"/>
            </w:tcBorders>
            <w:shd w:fill="auto" w:val="clear"/>
            <w:tcMar>
              <w:bottom w:w="28" w:type="dxa"/>
            </w:tcMar>
            <w:vAlign w:val="bottom"/>
          </w:tcPr>
          <w:p>
            <w:pPr>
              <w:pStyle w:val="TableContents"/>
              <w:spacing w:before="0" w:after="0"/>
              <w:jc w:val="right"/>
              <w:rPr/>
            </w:pPr>
            <w:r>
              <w:rPr/>
              <w:t>46,393</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rPr/>
            </w:pPr>
            <w:r>
              <w:rPr/>
              <w:t> </w:t>
            </w:r>
          </w:p>
        </w:tc>
        <w:tc>
          <w:tcPr>
            <w:tcW w:w="680" w:type="dxa"/>
            <w:tcBorders>
              <w:bottom w:val="single" w:sz="12" w:space="0" w:color="000000"/>
            </w:tcBorders>
            <w:shd w:fill="auto" w:val="clear"/>
            <w:tcMar>
              <w:bottom w:w="28" w:type="dxa"/>
            </w:tcMar>
            <w:vAlign w:val="bottom"/>
          </w:tcPr>
          <w:p>
            <w:pPr>
              <w:pStyle w:val="TableContents"/>
              <w:spacing w:before="0" w:after="0"/>
              <w:jc w:val="right"/>
              <w:rPr/>
            </w:pPr>
            <w:r>
              <w:rPr/>
              <w:t>751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2" w:type="dxa"/>
            <w:tcBorders>
              <w:bottom w:val="single" w:sz="12" w:space="0" w:color="000000"/>
            </w:tcBorders>
            <w:shd w:fill="auto" w:val="clear"/>
            <w:tcMar>
              <w:bottom w:w="28" w:type="dxa"/>
            </w:tcMar>
            <w:vAlign w:val="bottom"/>
          </w:tcPr>
          <w:p>
            <w:pPr>
              <w:pStyle w:val="TableContents"/>
              <w:spacing w:before="0" w:after="283"/>
              <w:rPr/>
            </w:pPr>
            <w:r>
              <w:rPr/>
              <w:t> </w:t>
            </w:r>
          </w:p>
        </w:tc>
        <w:tc>
          <w:tcPr>
            <w:tcW w:w="534" w:type="dxa"/>
            <w:tcBorders>
              <w:bottom w:val="single" w:sz="12" w:space="0" w:color="000000"/>
            </w:tcBorders>
            <w:shd w:fill="auto" w:val="clear"/>
            <w:tcMar>
              <w:bottom w:w="28" w:type="dxa"/>
            </w:tcMar>
            <w:vAlign w:val="bottom"/>
          </w:tcPr>
          <w:p>
            <w:pPr>
              <w:pStyle w:val="TableContents"/>
              <w:spacing w:before="0" w:after="0"/>
              <w:jc w:val="right"/>
              <w:rPr/>
            </w:pPr>
            <w:r>
              <w:rPr/>
              <w:t>6.57</w:t>
            </w:r>
          </w:p>
        </w:tc>
        <w:tc>
          <w:tcPr>
            <w:tcW w:w="215" w:type="dxa"/>
            <w:tcBorders/>
            <w:shd w:fill="auto" w:val="clear"/>
            <w:vAlign w:val="bottom"/>
          </w:tcPr>
          <w:p>
            <w:pPr>
              <w:pStyle w:val="TableContents"/>
              <w:spacing w:before="0" w:after="0"/>
              <w:rPr/>
            </w:pPr>
            <w:r>
              <w:rPr/>
              <w:t>%</w:t>
            </w:r>
          </w:p>
        </w:tc>
        <w:tc>
          <w:tcPr>
            <w:tcW w:w="60" w:type="dxa"/>
            <w:tcBorders/>
            <w:shd w:fill="auto" w:val="clear"/>
            <w:vAlign w:val="bottom"/>
          </w:tcPr>
          <w:p>
            <w:pPr>
              <w:pStyle w:val="TableContents"/>
              <w:spacing w:before="0" w:after="283"/>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rPr/>
            </w:pPr>
            <w:r>
              <w:rPr/>
              <w:t> </w:t>
            </w:r>
          </w:p>
        </w:tc>
        <w:tc>
          <w:tcPr>
            <w:tcW w:w="980" w:type="dxa"/>
            <w:tcBorders>
              <w:bottom w:val="single" w:sz="12" w:space="0" w:color="000000"/>
            </w:tcBorders>
            <w:shd w:fill="auto" w:val="clear"/>
            <w:tcMar>
              <w:bottom w:w="28" w:type="dxa"/>
            </w:tcMar>
            <w:vAlign w:val="bottom"/>
          </w:tcPr>
          <w:p>
            <w:pPr>
              <w:pStyle w:val="TableContents"/>
              <w:spacing w:before="0" w:after="0"/>
              <w:jc w:val="right"/>
              <w:rPr/>
            </w:pPr>
            <w:r>
              <w:rPr/>
              <w:t>46,393</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rPr/>
            </w:pPr>
            <w:r>
              <w:rPr/>
              <w:t> </w:t>
            </w:r>
          </w:p>
        </w:tc>
        <w:tc>
          <w:tcPr>
            <w:tcW w:w="680" w:type="dxa"/>
            <w:tcBorders>
              <w:bottom w:val="single" w:sz="12" w:space="0" w:color="000000"/>
            </w:tcBorders>
            <w:shd w:fill="auto" w:val="clear"/>
            <w:tcMar>
              <w:bottom w:w="28" w:type="dxa"/>
            </w:tcMar>
            <w:vAlign w:val="bottom"/>
          </w:tcPr>
          <w:p>
            <w:pPr>
              <w:pStyle w:val="TableContents"/>
              <w:spacing w:before="0" w:after="0"/>
              <w:jc w:val="right"/>
              <w:rPr/>
            </w:pPr>
            <w:r>
              <w:rPr/>
              <w:t>231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2" w:type="dxa"/>
            <w:tcBorders>
              <w:bottom w:val="single" w:sz="12" w:space="0" w:color="000000"/>
            </w:tcBorders>
            <w:shd w:fill="auto" w:val="clear"/>
            <w:tcMar>
              <w:bottom w:w="28" w:type="dxa"/>
            </w:tcMar>
            <w:vAlign w:val="bottom"/>
          </w:tcPr>
          <w:p>
            <w:pPr>
              <w:pStyle w:val="TableContents"/>
              <w:spacing w:before="0" w:after="283"/>
              <w:rPr/>
            </w:pPr>
            <w:r>
              <w:rPr/>
              <w:t> </w:t>
            </w:r>
          </w:p>
        </w:tc>
        <w:tc>
          <w:tcPr>
            <w:tcW w:w="534" w:type="dxa"/>
            <w:tcBorders>
              <w:bottom w:val="single" w:sz="12" w:space="0" w:color="000000"/>
            </w:tcBorders>
            <w:shd w:fill="auto" w:val="clear"/>
            <w:tcMar>
              <w:bottom w:w="28" w:type="dxa"/>
            </w:tcMar>
            <w:vAlign w:val="bottom"/>
          </w:tcPr>
          <w:p>
            <w:pPr>
              <w:pStyle w:val="TableContents"/>
              <w:spacing w:before="0" w:after="0"/>
              <w:jc w:val="right"/>
              <w:rPr/>
            </w:pPr>
            <w:r>
              <w:rPr/>
              <w:t>2.02</w:t>
            </w:r>
          </w:p>
        </w:tc>
        <w:tc>
          <w:tcPr>
            <w:tcW w:w="217" w:type="dxa"/>
            <w:tcBorders/>
            <w:shd w:fill="auto" w:val="clear"/>
            <w:vAlign w:val="bottom"/>
          </w:tcPr>
          <w:p>
            <w:pPr>
              <w:pStyle w:val="TableContents"/>
              <w:spacing w:before="0" w:after="0"/>
              <w:rPr/>
            </w:pPr>
            <w:r>
              <w:rPr/>
              <w:t>%</w:t>
            </w:r>
          </w:p>
        </w:tc>
      </w:tr>
      <w:tr>
        <w:trPr/>
        <w:tc>
          <w:tcPr>
            <w:tcW w:w="4081" w:type="dxa"/>
            <w:tcBorders/>
            <w:shd w:fill="CCEEFF" w:val="clear"/>
            <w:vAlign w:val="bottom"/>
          </w:tcPr>
          <w:p>
            <w:pPr>
              <w:pStyle w:val="TableContents"/>
              <w:spacing w:before="0" w:after="0"/>
              <w:ind w:left="504" w:right="0" w:hanging="144"/>
              <w:rPr>
                <w:color w:val="000000"/>
              </w:rPr>
            </w:pPr>
            <w:r>
              <w:rPr>
                <w:color w:val="000000"/>
              </w:rPr>
              <w:t>Total interest-bearing liabilities</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0"/>
              <w:rPr/>
            </w:pPr>
            <w:r>
              <w:rPr/>
              <w:t>$</w:t>
            </w:r>
          </w:p>
        </w:tc>
        <w:tc>
          <w:tcPr>
            <w:tcW w:w="980" w:type="dxa"/>
            <w:tcBorders>
              <w:bottom w:val="single" w:sz="12" w:space="0" w:color="000000"/>
            </w:tcBorders>
            <w:shd w:fill="CCEEFF" w:val="clear"/>
            <w:tcMar>
              <w:bottom w:w="28" w:type="dxa"/>
            </w:tcMar>
            <w:vAlign w:val="bottom"/>
          </w:tcPr>
          <w:p>
            <w:pPr>
              <w:pStyle w:val="TableContents"/>
              <w:spacing w:before="0" w:after="0"/>
              <w:jc w:val="right"/>
              <w:rPr/>
            </w:pPr>
            <w:r>
              <w:rPr/>
              <w:t>2,394,933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0"/>
              <w:rPr/>
            </w:pPr>
            <w:r>
              <w:rPr/>
              <w:t>$</w:t>
            </w:r>
          </w:p>
        </w:tc>
        <w:tc>
          <w:tcPr>
            <w:tcW w:w="680" w:type="dxa"/>
            <w:tcBorders>
              <w:bottom w:val="single" w:sz="12" w:space="0" w:color="000000"/>
            </w:tcBorders>
            <w:shd w:fill="CCEEFF" w:val="clear"/>
            <w:tcMar>
              <w:bottom w:w="28" w:type="dxa"/>
            </w:tcMar>
            <w:vAlign w:val="bottom"/>
          </w:tcPr>
          <w:p>
            <w:pPr>
              <w:pStyle w:val="TableContents"/>
              <w:spacing w:before="0" w:after="0"/>
              <w:jc w:val="right"/>
              <w:rPr/>
            </w:pPr>
            <w:r>
              <w:rPr/>
              <w:t>13,133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2" w:type="dxa"/>
            <w:tcBorders>
              <w:bottom w:val="single" w:sz="12" w:space="0" w:color="000000"/>
            </w:tcBorders>
            <w:shd w:fill="CCEEFF" w:val="clear"/>
            <w:tcMar>
              <w:bottom w:w="28" w:type="dxa"/>
            </w:tcMar>
            <w:vAlign w:val="bottom"/>
          </w:tcPr>
          <w:p>
            <w:pPr>
              <w:pStyle w:val="TableContents"/>
              <w:spacing w:before="0" w:after="283"/>
              <w:rPr/>
            </w:pPr>
            <w:r>
              <w:rPr/>
              <w:t> </w:t>
            </w:r>
          </w:p>
        </w:tc>
        <w:tc>
          <w:tcPr>
            <w:tcW w:w="534" w:type="dxa"/>
            <w:tcBorders>
              <w:bottom w:val="single" w:sz="12" w:space="0" w:color="000000"/>
            </w:tcBorders>
            <w:shd w:fill="CCEEFF" w:val="clear"/>
            <w:tcMar>
              <w:bottom w:w="28" w:type="dxa"/>
            </w:tcMar>
            <w:vAlign w:val="bottom"/>
          </w:tcPr>
          <w:p>
            <w:pPr>
              <w:pStyle w:val="TableContents"/>
              <w:spacing w:before="0" w:after="0"/>
              <w:jc w:val="right"/>
              <w:rPr/>
            </w:pPr>
            <w:r>
              <w:rPr/>
              <w:t>2.22</w:t>
            </w:r>
          </w:p>
        </w:tc>
        <w:tc>
          <w:tcPr>
            <w:tcW w:w="21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0"/>
              <w:rPr/>
            </w:pPr>
            <w:r>
              <w:rPr/>
              <w:t>$</w:t>
            </w:r>
          </w:p>
        </w:tc>
        <w:tc>
          <w:tcPr>
            <w:tcW w:w="980" w:type="dxa"/>
            <w:tcBorders>
              <w:bottom w:val="single" w:sz="12" w:space="0" w:color="000000"/>
            </w:tcBorders>
            <w:shd w:fill="CCEEFF" w:val="clear"/>
            <w:tcMar>
              <w:bottom w:w="28" w:type="dxa"/>
            </w:tcMar>
            <w:vAlign w:val="bottom"/>
          </w:tcPr>
          <w:p>
            <w:pPr>
              <w:pStyle w:val="TableContents"/>
              <w:spacing w:before="0" w:after="0"/>
              <w:jc w:val="right"/>
              <w:rPr/>
            </w:pPr>
            <w:r>
              <w:rPr/>
              <w:t>2,399,063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0"/>
              <w:rPr/>
            </w:pPr>
            <w:r>
              <w:rPr/>
              <w:t>$</w:t>
            </w:r>
          </w:p>
        </w:tc>
        <w:tc>
          <w:tcPr>
            <w:tcW w:w="680" w:type="dxa"/>
            <w:tcBorders>
              <w:bottom w:val="single" w:sz="12" w:space="0" w:color="000000"/>
            </w:tcBorders>
            <w:shd w:fill="CCEEFF" w:val="clear"/>
            <w:tcMar>
              <w:bottom w:w="28" w:type="dxa"/>
            </w:tcMar>
            <w:vAlign w:val="bottom"/>
          </w:tcPr>
          <w:p>
            <w:pPr>
              <w:pStyle w:val="TableContents"/>
              <w:spacing w:before="0" w:after="0"/>
              <w:jc w:val="right"/>
              <w:rPr/>
            </w:pPr>
            <w:r>
              <w:rPr/>
              <w:t>3,133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2" w:type="dxa"/>
            <w:tcBorders>
              <w:bottom w:val="single" w:sz="12" w:space="0" w:color="000000"/>
            </w:tcBorders>
            <w:shd w:fill="CCEEFF" w:val="clear"/>
            <w:tcMar>
              <w:bottom w:w="28" w:type="dxa"/>
            </w:tcMar>
            <w:vAlign w:val="bottom"/>
          </w:tcPr>
          <w:p>
            <w:pPr>
              <w:pStyle w:val="TableContents"/>
              <w:spacing w:before="0" w:after="283"/>
              <w:rPr/>
            </w:pPr>
            <w:r>
              <w:rPr/>
              <w:t> </w:t>
            </w:r>
          </w:p>
        </w:tc>
        <w:tc>
          <w:tcPr>
            <w:tcW w:w="534" w:type="dxa"/>
            <w:tcBorders>
              <w:bottom w:val="single" w:sz="12" w:space="0" w:color="000000"/>
            </w:tcBorders>
            <w:shd w:fill="CCEEFF" w:val="clear"/>
            <w:tcMar>
              <w:bottom w:w="28" w:type="dxa"/>
            </w:tcMar>
            <w:vAlign w:val="bottom"/>
          </w:tcPr>
          <w:p>
            <w:pPr>
              <w:pStyle w:val="TableContents"/>
              <w:spacing w:before="0" w:after="0"/>
              <w:jc w:val="right"/>
              <w:rPr/>
            </w:pPr>
            <w:r>
              <w:rPr/>
              <w:t>0.53</w:t>
            </w:r>
          </w:p>
        </w:tc>
        <w:tc>
          <w:tcPr>
            <w:tcW w:w="217" w:type="dxa"/>
            <w:tcBorders/>
            <w:shd w:fill="CCEEFF" w:val="clear"/>
            <w:vAlign w:val="bottom"/>
          </w:tcPr>
          <w:p>
            <w:pPr>
              <w:pStyle w:val="TableContents"/>
              <w:spacing w:before="0" w:after="0"/>
              <w:rPr/>
            </w:pPr>
            <w:r>
              <w:rPr/>
              <w:t>%</w:t>
            </w:r>
          </w:p>
        </w:tc>
      </w:tr>
      <w:tr>
        <w:trPr/>
        <w:tc>
          <w:tcPr>
            <w:tcW w:w="408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534" w:type="dxa"/>
            <w:tcBorders/>
            <w:shd w:fill="auto" w:val="clear"/>
            <w:vAlign w:val="bottom"/>
          </w:tcPr>
          <w:p>
            <w:pPr>
              <w:pStyle w:val="TableContents"/>
              <w:spacing w:before="0" w:after="283"/>
              <w:jc w:val="right"/>
              <w:rPr/>
            </w:pPr>
            <w:r>
              <w:rPr/>
              <w:t> </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534" w:type="dxa"/>
            <w:tcBorders/>
            <w:shd w:fill="auto" w:val="clear"/>
            <w:vAlign w:val="bottom"/>
          </w:tcPr>
          <w:p>
            <w:pPr>
              <w:pStyle w:val="TableContents"/>
              <w:spacing w:before="0" w:after="283"/>
              <w:jc w:val="right"/>
              <w:rPr/>
            </w:pPr>
            <w:r>
              <w:rPr/>
              <w:t> </w:t>
            </w:r>
          </w:p>
        </w:tc>
        <w:tc>
          <w:tcPr>
            <w:tcW w:w="217" w:type="dxa"/>
            <w:tcBorders/>
            <w:shd w:fill="auto" w:val="clear"/>
            <w:vAlign w:val="bottom"/>
          </w:tcPr>
          <w:p>
            <w:pPr>
              <w:pStyle w:val="TableContents"/>
              <w:spacing w:before="0" w:after="283"/>
              <w:rPr/>
            </w:pPr>
            <w:r>
              <w:rPr/>
              <w:t> </w:t>
            </w:r>
          </w:p>
        </w:tc>
      </w:tr>
      <w:tr>
        <w:trPr/>
        <w:tc>
          <w:tcPr>
            <w:tcW w:w="4081" w:type="dxa"/>
            <w:tcBorders/>
            <w:shd w:fill="CCEEFF" w:val="clear"/>
            <w:vAlign w:val="bottom"/>
          </w:tcPr>
          <w:p>
            <w:pPr>
              <w:pStyle w:val="TableContents"/>
              <w:spacing w:before="0" w:after="0"/>
              <w:ind w:left="144" w:right="0" w:hanging="144"/>
              <w:rPr>
                <w:color w:val="000000"/>
              </w:rPr>
            </w:pPr>
            <w:r>
              <w:rPr>
                <w:color w:val="000000"/>
              </w:rPr>
              <w:t>Noninterest-bearing liabilities:</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534" w:type="dxa"/>
            <w:tcBorders/>
            <w:shd w:fill="CCEEFF" w:val="clear"/>
            <w:vAlign w:val="bottom"/>
          </w:tcPr>
          <w:p>
            <w:pPr>
              <w:pStyle w:val="TableContents"/>
              <w:spacing w:before="0" w:after="283"/>
              <w:jc w:val="right"/>
              <w:rPr/>
            </w:pPr>
            <w:r>
              <w:rPr/>
              <w:t> </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534" w:type="dxa"/>
            <w:tcBorders/>
            <w:shd w:fill="CCEEFF" w:val="clear"/>
            <w:vAlign w:val="bottom"/>
          </w:tcPr>
          <w:p>
            <w:pPr>
              <w:pStyle w:val="TableContents"/>
              <w:spacing w:before="0" w:after="283"/>
              <w:jc w:val="right"/>
              <w:rPr/>
            </w:pPr>
            <w:r>
              <w:rPr/>
              <w:t> </w:t>
            </w:r>
          </w:p>
        </w:tc>
        <w:tc>
          <w:tcPr>
            <w:tcW w:w="217" w:type="dxa"/>
            <w:tcBorders/>
            <w:shd w:fill="CCEEFF" w:val="clear"/>
            <w:vAlign w:val="bottom"/>
          </w:tcPr>
          <w:p>
            <w:pPr>
              <w:pStyle w:val="TableContents"/>
              <w:spacing w:before="0" w:after="283"/>
              <w:rPr/>
            </w:pPr>
            <w:r>
              <w:rPr/>
              <w:t> </w:t>
            </w:r>
          </w:p>
        </w:tc>
      </w:tr>
      <w:tr>
        <w:trPr/>
        <w:tc>
          <w:tcPr>
            <w:tcW w:w="4081" w:type="dxa"/>
            <w:tcBorders/>
            <w:shd w:fill="auto" w:val="clear"/>
            <w:vAlign w:val="bottom"/>
          </w:tcPr>
          <w:p>
            <w:pPr>
              <w:pStyle w:val="TableContents"/>
              <w:spacing w:before="0" w:after="0"/>
              <w:ind w:left="324" w:right="0" w:hanging="144"/>
              <w:rPr>
                <w:color w:val="000000"/>
              </w:rPr>
            </w:pPr>
            <w:r>
              <w:rPr>
                <w:color w:val="000000"/>
              </w:rPr>
              <w:t>Noninterest-bearing deposits</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0"/>
              <w:rPr/>
            </w:pPr>
            <w:r>
              <w:rPr/>
              <w:t>$</w:t>
            </w:r>
          </w:p>
        </w:tc>
        <w:tc>
          <w:tcPr>
            <w:tcW w:w="980" w:type="dxa"/>
            <w:tcBorders/>
            <w:shd w:fill="auto" w:val="clear"/>
            <w:vAlign w:val="bottom"/>
          </w:tcPr>
          <w:p>
            <w:pPr>
              <w:pStyle w:val="TableContents"/>
              <w:spacing w:before="0" w:after="0"/>
              <w:jc w:val="right"/>
              <w:rPr/>
            </w:pPr>
            <w:r>
              <w:rPr/>
              <w:t>1,109,344</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534" w:type="dxa"/>
            <w:tcBorders/>
            <w:shd w:fill="auto" w:val="clear"/>
            <w:vAlign w:val="bottom"/>
          </w:tcPr>
          <w:p>
            <w:pPr>
              <w:pStyle w:val="TableContents"/>
              <w:spacing w:before="0" w:after="283"/>
              <w:jc w:val="right"/>
              <w:rPr/>
            </w:pPr>
            <w:r>
              <w:rPr/>
              <w:t> </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0"/>
              <w:rPr/>
            </w:pPr>
            <w:r>
              <w:rPr/>
              <w:t>$</w:t>
            </w:r>
          </w:p>
        </w:tc>
        <w:tc>
          <w:tcPr>
            <w:tcW w:w="980" w:type="dxa"/>
            <w:tcBorders/>
            <w:shd w:fill="auto" w:val="clear"/>
            <w:vAlign w:val="bottom"/>
          </w:tcPr>
          <w:p>
            <w:pPr>
              <w:pStyle w:val="TableContents"/>
              <w:spacing w:before="0" w:after="0"/>
              <w:jc w:val="right"/>
              <w:rPr/>
            </w:pPr>
            <w:r>
              <w:rPr/>
              <w:t>1,104,091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534" w:type="dxa"/>
            <w:tcBorders/>
            <w:shd w:fill="auto" w:val="clear"/>
            <w:vAlign w:val="bottom"/>
          </w:tcPr>
          <w:p>
            <w:pPr>
              <w:pStyle w:val="TableContents"/>
              <w:spacing w:before="0" w:after="283"/>
              <w:jc w:val="right"/>
              <w:rPr/>
            </w:pPr>
            <w:r>
              <w:rPr/>
              <w:t> </w:t>
            </w:r>
          </w:p>
        </w:tc>
        <w:tc>
          <w:tcPr>
            <w:tcW w:w="217" w:type="dxa"/>
            <w:tcBorders/>
            <w:shd w:fill="auto" w:val="clear"/>
            <w:vAlign w:val="bottom"/>
          </w:tcPr>
          <w:p>
            <w:pPr>
              <w:pStyle w:val="TableContents"/>
              <w:spacing w:before="0" w:after="283"/>
              <w:rPr/>
            </w:pPr>
            <w:r>
              <w:rPr/>
              <w:t> </w:t>
            </w:r>
          </w:p>
        </w:tc>
      </w:tr>
      <w:tr>
        <w:trPr/>
        <w:tc>
          <w:tcPr>
            <w:tcW w:w="4081" w:type="dxa"/>
            <w:tcBorders/>
            <w:shd w:fill="CCEEFF" w:val="clear"/>
            <w:vAlign w:val="bottom"/>
          </w:tcPr>
          <w:p>
            <w:pPr>
              <w:pStyle w:val="TableContents"/>
              <w:spacing w:before="0" w:after="0"/>
              <w:ind w:left="324" w:right="0" w:hanging="144"/>
              <w:rPr>
                <w:color w:val="000000"/>
              </w:rPr>
            </w:pPr>
            <w:r>
              <w:rPr>
                <w:color w:val="000000"/>
              </w:rPr>
              <w:t>Other liabilities</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980" w:type="dxa"/>
            <w:tcBorders>
              <w:bottom w:val="single" w:sz="12" w:space="0" w:color="000000"/>
            </w:tcBorders>
            <w:shd w:fill="CCEEFF" w:val="clear"/>
            <w:tcMar>
              <w:bottom w:w="28" w:type="dxa"/>
            </w:tcMar>
            <w:vAlign w:val="bottom"/>
          </w:tcPr>
          <w:p>
            <w:pPr>
              <w:pStyle w:val="TableContents"/>
              <w:spacing w:before="0" w:after="0"/>
              <w:jc w:val="right"/>
              <w:rPr/>
            </w:pPr>
            <w:r>
              <w:rPr/>
              <w:t>62,160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534" w:type="dxa"/>
            <w:tcBorders/>
            <w:shd w:fill="CCEEFF" w:val="clear"/>
            <w:vAlign w:val="bottom"/>
          </w:tcPr>
          <w:p>
            <w:pPr>
              <w:pStyle w:val="TableContents"/>
              <w:spacing w:before="0" w:after="283"/>
              <w:jc w:val="right"/>
              <w:rPr/>
            </w:pPr>
            <w:r>
              <w:rPr/>
              <w:t> </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980" w:type="dxa"/>
            <w:tcBorders>
              <w:bottom w:val="single" w:sz="12" w:space="0" w:color="000000"/>
            </w:tcBorders>
            <w:shd w:fill="CCEEFF" w:val="clear"/>
            <w:tcMar>
              <w:bottom w:w="28" w:type="dxa"/>
            </w:tcMar>
            <w:vAlign w:val="bottom"/>
          </w:tcPr>
          <w:p>
            <w:pPr>
              <w:pStyle w:val="TableContents"/>
              <w:spacing w:before="0" w:after="0"/>
              <w:jc w:val="right"/>
              <w:rPr/>
            </w:pPr>
            <w:r>
              <w:rPr/>
              <w:t>50,843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534" w:type="dxa"/>
            <w:tcBorders/>
            <w:shd w:fill="CCEEFF" w:val="clear"/>
            <w:vAlign w:val="bottom"/>
          </w:tcPr>
          <w:p>
            <w:pPr>
              <w:pStyle w:val="TableContents"/>
              <w:spacing w:before="0" w:after="283"/>
              <w:jc w:val="right"/>
              <w:rPr/>
            </w:pPr>
            <w:r>
              <w:rPr/>
              <w:t> </w:t>
            </w:r>
          </w:p>
        </w:tc>
        <w:tc>
          <w:tcPr>
            <w:tcW w:w="217" w:type="dxa"/>
            <w:tcBorders/>
            <w:shd w:fill="CCEEFF" w:val="clear"/>
            <w:vAlign w:val="bottom"/>
          </w:tcPr>
          <w:p>
            <w:pPr>
              <w:pStyle w:val="TableContents"/>
              <w:spacing w:before="0" w:after="283"/>
              <w:rPr/>
            </w:pPr>
            <w:r>
              <w:rPr/>
              <w:t> </w:t>
            </w:r>
          </w:p>
        </w:tc>
      </w:tr>
      <w:tr>
        <w:trPr/>
        <w:tc>
          <w:tcPr>
            <w:tcW w:w="4081" w:type="dxa"/>
            <w:tcBorders/>
            <w:shd w:fill="auto" w:val="clear"/>
            <w:vAlign w:val="bottom"/>
          </w:tcPr>
          <w:p>
            <w:pPr>
              <w:pStyle w:val="TableContents"/>
              <w:spacing w:before="0" w:after="0"/>
              <w:ind w:left="504" w:right="0" w:hanging="144"/>
              <w:rPr>
                <w:color w:val="000000"/>
              </w:rPr>
            </w:pPr>
            <w:r>
              <w:rPr>
                <w:color w:val="000000"/>
              </w:rPr>
              <w:t>Total noninterest-bearing liabilities</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0"/>
              <w:jc w:val="right"/>
              <w:rPr/>
            </w:pPr>
            <w:r>
              <w:rPr/>
              <w:t>1,171,504</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534" w:type="dxa"/>
            <w:tcBorders/>
            <w:shd w:fill="auto" w:val="clear"/>
            <w:vAlign w:val="bottom"/>
          </w:tcPr>
          <w:p>
            <w:pPr>
              <w:pStyle w:val="TableContents"/>
              <w:spacing w:before="0" w:after="283"/>
              <w:jc w:val="right"/>
              <w:rPr/>
            </w:pPr>
            <w:r>
              <w:rPr/>
              <w:t> </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0"/>
              <w:jc w:val="right"/>
              <w:rPr/>
            </w:pPr>
            <w:r>
              <w:rPr/>
              <w:t>1,154,934</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534" w:type="dxa"/>
            <w:tcBorders/>
            <w:shd w:fill="auto" w:val="clear"/>
            <w:vAlign w:val="bottom"/>
          </w:tcPr>
          <w:p>
            <w:pPr>
              <w:pStyle w:val="TableContents"/>
              <w:spacing w:before="0" w:after="283"/>
              <w:jc w:val="right"/>
              <w:rPr/>
            </w:pPr>
            <w:r>
              <w:rPr/>
              <w:t> </w:t>
            </w:r>
          </w:p>
        </w:tc>
        <w:tc>
          <w:tcPr>
            <w:tcW w:w="217" w:type="dxa"/>
            <w:tcBorders/>
            <w:shd w:fill="auto" w:val="clear"/>
            <w:vAlign w:val="bottom"/>
          </w:tcPr>
          <w:p>
            <w:pPr>
              <w:pStyle w:val="TableContents"/>
              <w:spacing w:before="0" w:after="283"/>
              <w:rPr/>
            </w:pPr>
            <w:r>
              <w:rPr/>
              <w:t> </w:t>
            </w:r>
          </w:p>
        </w:tc>
      </w:tr>
      <w:tr>
        <w:trPr/>
        <w:tc>
          <w:tcPr>
            <w:tcW w:w="4081" w:type="dxa"/>
            <w:tcBorders/>
            <w:shd w:fill="CCEEFF" w:val="clear"/>
            <w:vAlign w:val="bottom"/>
          </w:tcPr>
          <w:p>
            <w:pPr>
              <w:pStyle w:val="TableContents"/>
              <w:spacing w:before="0" w:after="0"/>
              <w:ind w:left="504" w:right="0" w:hanging="144"/>
              <w:rPr>
                <w:color w:val="000000"/>
              </w:rPr>
            </w:pPr>
            <w:r>
              <w:rPr>
                <w:color w:val="000000"/>
              </w:rPr>
              <w:t>Stockholders’ equity</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980" w:type="dxa"/>
            <w:tcBorders>
              <w:bottom w:val="single" w:sz="12" w:space="0" w:color="000000"/>
            </w:tcBorders>
            <w:shd w:fill="CCEEFF" w:val="clear"/>
            <w:tcMar>
              <w:bottom w:w="28" w:type="dxa"/>
            </w:tcMar>
            <w:vAlign w:val="bottom"/>
          </w:tcPr>
          <w:p>
            <w:pPr>
              <w:pStyle w:val="TableContents"/>
              <w:spacing w:before="0" w:after="0"/>
              <w:jc w:val="right"/>
              <w:rPr/>
            </w:pPr>
            <w:r>
              <w:rPr/>
              <w:t>362,489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534" w:type="dxa"/>
            <w:tcBorders/>
            <w:shd w:fill="CCEEFF" w:val="clear"/>
            <w:vAlign w:val="bottom"/>
          </w:tcPr>
          <w:p>
            <w:pPr>
              <w:pStyle w:val="TableContents"/>
              <w:spacing w:before="0" w:after="283"/>
              <w:jc w:val="right"/>
              <w:rPr/>
            </w:pPr>
            <w:r>
              <w:rPr/>
              <w:t> </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980" w:type="dxa"/>
            <w:tcBorders>
              <w:bottom w:val="single" w:sz="12" w:space="0" w:color="000000"/>
            </w:tcBorders>
            <w:shd w:fill="CCEEFF" w:val="clear"/>
            <w:tcMar>
              <w:bottom w:w="28" w:type="dxa"/>
            </w:tcMar>
            <w:vAlign w:val="bottom"/>
          </w:tcPr>
          <w:p>
            <w:pPr>
              <w:pStyle w:val="TableContents"/>
              <w:spacing w:before="0" w:after="0"/>
              <w:jc w:val="right"/>
              <w:rPr/>
            </w:pPr>
            <w:r>
              <w:rPr/>
              <w:t>397,248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534" w:type="dxa"/>
            <w:tcBorders/>
            <w:shd w:fill="CCEEFF" w:val="clear"/>
            <w:vAlign w:val="bottom"/>
          </w:tcPr>
          <w:p>
            <w:pPr>
              <w:pStyle w:val="TableContents"/>
              <w:spacing w:before="0" w:after="283"/>
              <w:jc w:val="right"/>
              <w:rPr/>
            </w:pPr>
            <w:r>
              <w:rPr/>
              <w:t> </w:t>
            </w:r>
          </w:p>
        </w:tc>
        <w:tc>
          <w:tcPr>
            <w:tcW w:w="217" w:type="dxa"/>
            <w:tcBorders/>
            <w:shd w:fill="CCEEFF" w:val="clear"/>
            <w:vAlign w:val="bottom"/>
          </w:tcPr>
          <w:p>
            <w:pPr>
              <w:pStyle w:val="TableContents"/>
              <w:spacing w:before="0" w:after="283"/>
              <w:rPr/>
            </w:pPr>
            <w:r>
              <w:rPr/>
              <w:t> </w:t>
            </w:r>
          </w:p>
        </w:tc>
      </w:tr>
      <w:tr>
        <w:trPr/>
        <w:tc>
          <w:tcPr>
            <w:tcW w:w="4081" w:type="dxa"/>
            <w:tcBorders/>
            <w:shd w:fill="auto" w:val="clear"/>
            <w:vAlign w:val="bottom"/>
          </w:tcPr>
          <w:p>
            <w:pPr>
              <w:pStyle w:val="TableContents"/>
              <w:spacing w:before="0" w:after="0"/>
              <w:ind w:left="684" w:right="0" w:hanging="144"/>
              <w:rPr>
                <w:color w:val="000000"/>
              </w:rPr>
            </w:pPr>
            <w:r>
              <w:rPr>
                <w:color w:val="000000"/>
              </w:rPr>
              <w:t>Total liabilities and stockholders’ equity</w:t>
            </w:r>
          </w:p>
        </w:tc>
        <w:tc>
          <w:tcPr>
            <w:tcW w:w="60" w:type="dxa"/>
            <w:tcBorders/>
            <w:shd w:fill="auto" w:val="clear"/>
            <w:vAlign w:val="bottom"/>
          </w:tcPr>
          <w:p>
            <w:pPr>
              <w:pStyle w:val="TableContents"/>
              <w:spacing w:before="0" w:after="283"/>
              <w:rPr/>
            </w:pPr>
            <w:r>
              <w:rPr/>
              <w:t> </w:t>
            </w:r>
          </w:p>
        </w:tc>
        <w:tc>
          <w:tcPr>
            <w:tcW w:w="140" w:type="dxa"/>
            <w:tcBorders>
              <w:bottom w:val="double" w:sz="8" w:space="0" w:color="000000"/>
            </w:tcBorders>
            <w:shd w:fill="auto" w:val="clear"/>
            <w:tcMar>
              <w:bottom w:w="28" w:type="dxa"/>
            </w:tcMar>
            <w:vAlign w:val="bottom"/>
          </w:tcPr>
          <w:p>
            <w:pPr>
              <w:pStyle w:val="TableContents"/>
              <w:spacing w:before="0" w:after="0"/>
              <w:rPr/>
            </w:pPr>
            <w:r>
              <w:rPr/>
              <w:t>$</w:t>
            </w:r>
          </w:p>
        </w:tc>
        <w:tc>
          <w:tcPr>
            <w:tcW w:w="980" w:type="dxa"/>
            <w:tcBorders>
              <w:bottom w:val="double" w:sz="8" w:space="0" w:color="000000"/>
            </w:tcBorders>
            <w:shd w:fill="auto" w:val="clear"/>
            <w:tcMar>
              <w:bottom w:w="28" w:type="dxa"/>
            </w:tcMar>
            <w:vAlign w:val="bottom"/>
          </w:tcPr>
          <w:p>
            <w:pPr>
              <w:pStyle w:val="TableContents"/>
              <w:spacing w:before="0" w:after="0"/>
              <w:jc w:val="right"/>
              <w:rPr/>
            </w:pPr>
            <w:r>
              <w:rPr/>
              <w:t>3,928,926</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534" w:type="dxa"/>
            <w:tcBorders/>
            <w:shd w:fill="auto" w:val="clear"/>
            <w:vAlign w:val="bottom"/>
          </w:tcPr>
          <w:p>
            <w:pPr>
              <w:pStyle w:val="TableContents"/>
              <w:spacing w:before="0" w:after="283"/>
              <w:jc w:val="right"/>
              <w:rPr/>
            </w:pPr>
            <w:r>
              <w:rPr/>
              <w:t> </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bottom w:val="double" w:sz="8" w:space="0" w:color="000000"/>
            </w:tcBorders>
            <w:shd w:fill="auto" w:val="clear"/>
            <w:tcMar>
              <w:bottom w:w="28" w:type="dxa"/>
            </w:tcMar>
            <w:vAlign w:val="bottom"/>
          </w:tcPr>
          <w:p>
            <w:pPr>
              <w:pStyle w:val="TableContents"/>
              <w:spacing w:before="0" w:after="0"/>
              <w:rPr/>
            </w:pPr>
            <w:r>
              <w:rPr/>
              <w:t>$</w:t>
            </w:r>
          </w:p>
        </w:tc>
        <w:tc>
          <w:tcPr>
            <w:tcW w:w="980" w:type="dxa"/>
            <w:tcBorders>
              <w:bottom w:val="double" w:sz="8" w:space="0" w:color="000000"/>
            </w:tcBorders>
            <w:shd w:fill="auto" w:val="clear"/>
            <w:tcMar>
              <w:bottom w:w="28" w:type="dxa"/>
            </w:tcMar>
            <w:vAlign w:val="bottom"/>
          </w:tcPr>
          <w:p>
            <w:pPr>
              <w:pStyle w:val="TableContents"/>
              <w:spacing w:before="0" w:after="0"/>
              <w:jc w:val="right"/>
              <w:rPr/>
            </w:pPr>
            <w:r>
              <w:rPr/>
              <w:t>3,951,245</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534" w:type="dxa"/>
            <w:tcBorders/>
            <w:shd w:fill="auto" w:val="clear"/>
            <w:vAlign w:val="bottom"/>
          </w:tcPr>
          <w:p>
            <w:pPr>
              <w:pStyle w:val="TableContents"/>
              <w:spacing w:before="0" w:after="283"/>
              <w:jc w:val="right"/>
              <w:rPr/>
            </w:pPr>
            <w:r>
              <w:rPr/>
              <w:t> </w:t>
            </w:r>
          </w:p>
        </w:tc>
        <w:tc>
          <w:tcPr>
            <w:tcW w:w="217" w:type="dxa"/>
            <w:tcBorders/>
            <w:shd w:fill="auto" w:val="clear"/>
            <w:vAlign w:val="bottom"/>
          </w:tcPr>
          <w:p>
            <w:pPr>
              <w:pStyle w:val="TableContents"/>
              <w:spacing w:before="0" w:after="283"/>
              <w:rPr/>
            </w:pPr>
            <w:r>
              <w:rPr/>
              <w:t> </w:t>
            </w:r>
          </w:p>
        </w:tc>
      </w:tr>
      <w:tr>
        <w:trPr/>
        <w:tc>
          <w:tcPr>
            <w:tcW w:w="408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534" w:type="dxa"/>
            <w:tcBorders/>
            <w:shd w:fill="CCEEFF" w:val="clear"/>
            <w:vAlign w:val="bottom"/>
          </w:tcPr>
          <w:p>
            <w:pPr>
              <w:pStyle w:val="TableContents"/>
              <w:spacing w:before="0" w:after="283"/>
              <w:jc w:val="right"/>
              <w:rPr/>
            </w:pPr>
            <w:r>
              <w:rPr/>
              <w:t> </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2" w:type="dxa"/>
            <w:tcBorders/>
            <w:shd w:fill="CCEEFF" w:val="clear"/>
            <w:vAlign w:val="bottom"/>
          </w:tcPr>
          <w:p>
            <w:pPr>
              <w:pStyle w:val="TableContents"/>
              <w:spacing w:before="0" w:after="283"/>
              <w:rPr/>
            </w:pPr>
            <w:r>
              <w:rPr/>
              <w:t> </w:t>
            </w:r>
          </w:p>
        </w:tc>
        <w:tc>
          <w:tcPr>
            <w:tcW w:w="534" w:type="dxa"/>
            <w:tcBorders/>
            <w:shd w:fill="CCEEFF" w:val="clear"/>
            <w:vAlign w:val="bottom"/>
          </w:tcPr>
          <w:p>
            <w:pPr>
              <w:pStyle w:val="TableContents"/>
              <w:spacing w:before="0" w:after="283"/>
              <w:jc w:val="right"/>
              <w:rPr/>
            </w:pPr>
            <w:r>
              <w:rPr/>
              <w:t> </w:t>
            </w:r>
          </w:p>
        </w:tc>
        <w:tc>
          <w:tcPr>
            <w:tcW w:w="217" w:type="dxa"/>
            <w:tcBorders/>
            <w:shd w:fill="CCEEFF" w:val="clear"/>
            <w:vAlign w:val="bottom"/>
          </w:tcPr>
          <w:p>
            <w:pPr>
              <w:pStyle w:val="TableContents"/>
              <w:spacing w:before="0" w:after="283"/>
              <w:rPr/>
            </w:pPr>
            <w:r>
              <w:rPr/>
              <w:t> </w:t>
            </w:r>
          </w:p>
        </w:tc>
      </w:tr>
      <w:tr>
        <w:trPr/>
        <w:tc>
          <w:tcPr>
            <w:tcW w:w="4081" w:type="dxa"/>
            <w:tcBorders/>
            <w:shd w:fill="auto" w:val="clear"/>
            <w:vAlign w:val="bottom"/>
          </w:tcPr>
          <w:p>
            <w:pPr>
              <w:pStyle w:val="TableContents"/>
              <w:spacing w:before="0" w:after="0"/>
              <w:ind w:left="144" w:right="0" w:hanging="144"/>
              <w:rPr>
                <w:color w:val="000000"/>
              </w:rPr>
            </w:pPr>
            <w:r>
              <w:rPr>
                <w:color w:val="000000"/>
              </w:rPr>
              <w:t>Net interest income</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bottom w:val="double" w:sz="8" w:space="0" w:color="000000"/>
            </w:tcBorders>
            <w:shd w:fill="auto" w:val="clear"/>
            <w:tcMar>
              <w:bottom w:w="28" w:type="dxa"/>
            </w:tcMar>
            <w:vAlign w:val="bottom"/>
          </w:tcPr>
          <w:p>
            <w:pPr>
              <w:pStyle w:val="TableContents"/>
              <w:spacing w:before="0" w:after="0"/>
              <w:rPr/>
            </w:pPr>
            <w:r>
              <w:rPr/>
              <w:t>$</w:t>
            </w:r>
          </w:p>
        </w:tc>
        <w:tc>
          <w:tcPr>
            <w:tcW w:w="680" w:type="dxa"/>
            <w:tcBorders>
              <w:bottom w:val="double" w:sz="8" w:space="0" w:color="000000"/>
            </w:tcBorders>
            <w:shd w:fill="auto" w:val="clear"/>
            <w:tcMar>
              <w:bottom w:w="28" w:type="dxa"/>
            </w:tcMar>
            <w:vAlign w:val="bottom"/>
          </w:tcPr>
          <w:p>
            <w:pPr>
              <w:pStyle w:val="TableContents"/>
              <w:spacing w:before="0" w:after="0"/>
              <w:jc w:val="right"/>
              <w:rPr/>
            </w:pPr>
            <w:r>
              <w:rPr/>
              <w:t>34,617</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534" w:type="dxa"/>
            <w:tcBorders/>
            <w:shd w:fill="auto" w:val="clear"/>
            <w:vAlign w:val="bottom"/>
          </w:tcPr>
          <w:p>
            <w:pPr>
              <w:pStyle w:val="TableContents"/>
              <w:spacing w:before="0" w:after="283"/>
              <w:jc w:val="right"/>
              <w:rPr/>
            </w:pPr>
            <w:r>
              <w:rPr/>
              <w:t> </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bottom w:val="double" w:sz="8" w:space="0" w:color="000000"/>
            </w:tcBorders>
            <w:shd w:fill="auto" w:val="clear"/>
            <w:tcMar>
              <w:bottom w:w="28" w:type="dxa"/>
            </w:tcMar>
            <w:vAlign w:val="bottom"/>
          </w:tcPr>
          <w:p>
            <w:pPr>
              <w:pStyle w:val="TableContents"/>
              <w:spacing w:before="0" w:after="0"/>
              <w:rPr/>
            </w:pPr>
            <w:r>
              <w:rPr/>
              <w:t>$</w:t>
            </w:r>
          </w:p>
        </w:tc>
        <w:tc>
          <w:tcPr>
            <w:tcW w:w="680" w:type="dxa"/>
            <w:tcBorders>
              <w:bottom w:val="double" w:sz="8" w:space="0" w:color="000000"/>
            </w:tcBorders>
            <w:shd w:fill="auto" w:val="clear"/>
            <w:tcMar>
              <w:bottom w:w="28" w:type="dxa"/>
            </w:tcMar>
            <w:vAlign w:val="bottom"/>
          </w:tcPr>
          <w:p>
            <w:pPr>
              <w:pStyle w:val="TableContents"/>
              <w:spacing w:before="0" w:after="0"/>
              <w:jc w:val="right"/>
              <w:rPr/>
            </w:pPr>
            <w:r>
              <w:rPr/>
              <w:t>30,252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2" w:type="dxa"/>
            <w:tcBorders/>
            <w:shd w:fill="auto" w:val="clear"/>
            <w:vAlign w:val="bottom"/>
          </w:tcPr>
          <w:p>
            <w:pPr>
              <w:pStyle w:val="TableContents"/>
              <w:spacing w:before="0" w:after="283"/>
              <w:rPr/>
            </w:pPr>
            <w:r>
              <w:rPr/>
              <w:t> </w:t>
            </w:r>
          </w:p>
        </w:tc>
        <w:tc>
          <w:tcPr>
            <w:tcW w:w="534" w:type="dxa"/>
            <w:tcBorders/>
            <w:shd w:fill="auto" w:val="clear"/>
            <w:vAlign w:val="bottom"/>
          </w:tcPr>
          <w:p>
            <w:pPr>
              <w:pStyle w:val="TableContents"/>
              <w:spacing w:before="0" w:after="283"/>
              <w:jc w:val="right"/>
              <w:rPr/>
            </w:pPr>
            <w:r>
              <w:rPr/>
              <w:t> </w:t>
            </w:r>
          </w:p>
        </w:tc>
        <w:tc>
          <w:tcPr>
            <w:tcW w:w="217" w:type="dxa"/>
            <w:tcBorders/>
            <w:shd w:fill="auto" w:val="clear"/>
            <w:vAlign w:val="bottom"/>
          </w:tcPr>
          <w:p>
            <w:pPr>
              <w:pStyle w:val="TableContents"/>
              <w:spacing w:before="0" w:after="283"/>
              <w:rPr/>
            </w:pPr>
            <w:r>
              <w:rPr/>
              <w:t> </w:t>
            </w:r>
          </w:p>
        </w:tc>
      </w:tr>
      <w:tr>
        <w:trPr/>
        <w:tc>
          <w:tcPr>
            <w:tcW w:w="4081" w:type="dxa"/>
            <w:tcBorders/>
            <w:shd w:fill="CCEEFF" w:val="clear"/>
            <w:vAlign w:val="bottom"/>
          </w:tcPr>
          <w:p>
            <w:pPr>
              <w:pStyle w:val="TableContents"/>
              <w:spacing w:before="0" w:after="0"/>
              <w:ind w:left="144" w:right="0" w:hanging="144"/>
              <w:rPr>
                <w:color w:val="000000"/>
              </w:rPr>
            </w:pPr>
            <w:r>
              <w:rPr>
                <w:color w:val="000000"/>
              </w:rPr>
              <w:t>Net interest spread</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2" w:type="dxa"/>
            <w:tcBorders>
              <w:bottom w:val="double" w:sz="8" w:space="0" w:color="000000"/>
            </w:tcBorders>
            <w:shd w:fill="CCEEFF" w:val="clear"/>
            <w:tcMar>
              <w:bottom w:w="28" w:type="dxa"/>
            </w:tcMar>
            <w:vAlign w:val="bottom"/>
          </w:tcPr>
          <w:p>
            <w:pPr>
              <w:pStyle w:val="TableContents"/>
              <w:spacing w:before="0" w:after="283"/>
              <w:rPr/>
            </w:pPr>
            <w:r>
              <w:rPr/>
              <w:t> </w:t>
            </w:r>
          </w:p>
        </w:tc>
        <w:tc>
          <w:tcPr>
            <w:tcW w:w="534" w:type="dxa"/>
            <w:tcBorders>
              <w:bottom w:val="double" w:sz="8" w:space="0" w:color="000000"/>
            </w:tcBorders>
            <w:shd w:fill="CCEEFF" w:val="clear"/>
            <w:tcMar>
              <w:bottom w:w="28" w:type="dxa"/>
            </w:tcMar>
            <w:vAlign w:val="bottom"/>
          </w:tcPr>
          <w:p>
            <w:pPr>
              <w:pStyle w:val="TableContents"/>
              <w:spacing w:before="0" w:after="0"/>
              <w:jc w:val="right"/>
              <w:rPr/>
            </w:pPr>
            <w:r>
              <w:rPr/>
              <w:t>2.95</w:t>
            </w:r>
          </w:p>
        </w:tc>
        <w:tc>
          <w:tcPr>
            <w:tcW w:w="21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2" w:type="dxa"/>
            <w:tcBorders>
              <w:bottom w:val="double" w:sz="8" w:space="0" w:color="000000"/>
            </w:tcBorders>
            <w:shd w:fill="CCEEFF" w:val="clear"/>
            <w:tcMar>
              <w:bottom w:w="28" w:type="dxa"/>
            </w:tcMar>
            <w:vAlign w:val="bottom"/>
          </w:tcPr>
          <w:p>
            <w:pPr>
              <w:pStyle w:val="TableContents"/>
              <w:spacing w:before="0" w:after="283"/>
              <w:rPr/>
            </w:pPr>
            <w:r>
              <w:rPr/>
              <w:t> </w:t>
            </w:r>
          </w:p>
        </w:tc>
        <w:tc>
          <w:tcPr>
            <w:tcW w:w="534" w:type="dxa"/>
            <w:tcBorders>
              <w:bottom w:val="double" w:sz="8" w:space="0" w:color="000000"/>
            </w:tcBorders>
            <w:shd w:fill="CCEEFF" w:val="clear"/>
            <w:tcMar>
              <w:bottom w:w="28" w:type="dxa"/>
            </w:tcMar>
            <w:vAlign w:val="bottom"/>
          </w:tcPr>
          <w:p>
            <w:pPr>
              <w:pStyle w:val="TableContents"/>
              <w:spacing w:before="0" w:after="0"/>
              <w:jc w:val="right"/>
              <w:rPr/>
            </w:pPr>
            <w:r>
              <w:rPr/>
              <w:t>3.14</w:t>
            </w:r>
          </w:p>
        </w:tc>
        <w:tc>
          <w:tcPr>
            <w:tcW w:w="217" w:type="dxa"/>
            <w:tcBorders/>
            <w:shd w:fill="CCEEFF" w:val="clear"/>
            <w:vAlign w:val="bottom"/>
          </w:tcPr>
          <w:p>
            <w:pPr>
              <w:pStyle w:val="TableContents"/>
              <w:spacing w:before="0" w:after="0"/>
              <w:rPr/>
            </w:pPr>
            <w:r>
              <w:rPr/>
              <w:t>%</w:t>
            </w:r>
          </w:p>
        </w:tc>
      </w:tr>
      <w:tr>
        <w:trPr/>
        <w:tc>
          <w:tcPr>
            <w:tcW w:w="4081" w:type="dxa"/>
            <w:tcBorders/>
            <w:shd w:fill="auto" w:val="clear"/>
            <w:vAlign w:val="bottom"/>
          </w:tcPr>
          <w:p>
            <w:pPr>
              <w:pStyle w:val="TableContents"/>
              <w:spacing w:lineRule="auto" w:line="240" w:before="0" w:after="0"/>
              <w:ind w:left="144" w:right="0" w:hanging="144"/>
              <w:rPr>
                <w:color w:val="000000"/>
              </w:rPr>
            </w:pPr>
            <w:r>
              <w:rPr>
                <w:color w:val="000000"/>
              </w:rPr>
              <w:t>Net interest margin(3)</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2" w:type="dxa"/>
            <w:tcBorders>
              <w:bottom w:val="single" w:sz="12" w:space="0" w:color="000000"/>
            </w:tcBorders>
            <w:shd w:fill="auto" w:val="clear"/>
            <w:tcMar>
              <w:bottom w:w="28" w:type="dxa"/>
            </w:tcMar>
            <w:vAlign w:val="bottom"/>
          </w:tcPr>
          <w:p>
            <w:pPr>
              <w:pStyle w:val="TableContents"/>
              <w:spacing w:before="0" w:after="283"/>
              <w:rPr/>
            </w:pPr>
            <w:r>
              <w:rPr/>
              <w:t> </w:t>
            </w:r>
          </w:p>
        </w:tc>
        <w:tc>
          <w:tcPr>
            <w:tcW w:w="534" w:type="dxa"/>
            <w:tcBorders>
              <w:bottom w:val="single" w:sz="12" w:space="0" w:color="000000"/>
            </w:tcBorders>
            <w:shd w:fill="auto" w:val="clear"/>
            <w:tcMar>
              <w:bottom w:w="28" w:type="dxa"/>
            </w:tcMar>
            <w:vAlign w:val="bottom"/>
          </w:tcPr>
          <w:p>
            <w:pPr>
              <w:pStyle w:val="TableContents"/>
              <w:spacing w:before="0" w:after="0"/>
              <w:jc w:val="right"/>
              <w:rPr/>
            </w:pPr>
            <w:r>
              <w:rPr/>
              <w:t>3.75</w:t>
            </w:r>
          </w:p>
        </w:tc>
        <w:tc>
          <w:tcPr>
            <w:tcW w:w="215" w:type="dxa"/>
            <w:tcBorders/>
            <w:shd w:fill="auto" w:val="clear"/>
            <w:vAlign w:val="bottom"/>
          </w:tcPr>
          <w:p>
            <w:pPr>
              <w:pStyle w:val="TableContents"/>
              <w:spacing w:before="0" w:after="0"/>
              <w:rPr/>
            </w:pPr>
            <w:r>
              <w:rPr/>
              <w:t>%</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2" w:type="dxa"/>
            <w:tcBorders>
              <w:bottom w:val="single" w:sz="12" w:space="0" w:color="000000"/>
            </w:tcBorders>
            <w:shd w:fill="auto" w:val="clear"/>
            <w:tcMar>
              <w:bottom w:w="28" w:type="dxa"/>
            </w:tcMar>
            <w:vAlign w:val="bottom"/>
          </w:tcPr>
          <w:p>
            <w:pPr>
              <w:pStyle w:val="TableContents"/>
              <w:spacing w:before="0" w:after="283"/>
              <w:rPr/>
            </w:pPr>
            <w:r>
              <w:rPr/>
              <w:t> </w:t>
            </w:r>
          </w:p>
        </w:tc>
        <w:tc>
          <w:tcPr>
            <w:tcW w:w="534" w:type="dxa"/>
            <w:tcBorders>
              <w:bottom w:val="single" w:sz="12" w:space="0" w:color="000000"/>
            </w:tcBorders>
            <w:shd w:fill="auto" w:val="clear"/>
            <w:tcMar>
              <w:bottom w:w="28" w:type="dxa"/>
            </w:tcMar>
            <w:vAlign w:val="bottom"/>
          </w:tcPr>
          <w:p>
            <w:pPr>
              <w:pStyle w:val="TableContents"/>
              <w:spacing w:before="0" w:after="0"/>
              <w:jc w:val="right"/>
              <w:rPr/>
            </w:pPr>
            <w:r>
              <w:rPr/>
              <w:t>3.33</w:t>
            </w:r>
          </w:p>
        </w:tc>
        <w:tc>
          <w:tcPr>
            <w:tcW w:w="217" w:type="dxa"/>
            <w:tcBorders/>
            <w:shd w:fill="auto" w:val="clear"/>
            <w:vAlign w:val="bottom"/>
          </w:tcPr>
          <w:p>
            <w:pPr>
              <w:pStyle w:val="TableContents"/>
              <w:spacing w:before="0" w:after="0"/>
              <w:rPr/>
            </w:pPr>
            <w:r>
              <w:rPr/>
              <w:t>%</w:t>
            </w:r>
          </w:p>
        </w:tc>
      </w:tr>
    </w:tbl>
    <w:p>
      <w:pPr>
        <w:pStyle w:val="TextBody"/>
        <w:spacing w:before="0" w:after="0"/>
        <w:rPr/>
      </w:pPr>
      <w:r>
        <w:rPr/>
      </w:r>
    </w:p>
    <w:tbl>
      <w:tblPr>
        <w:tblW w:w="7120" w:type="dxa"/>
        <w:jc w:val="left"/>
        <w:tblInd w:w="0" w:type="dxa"/>
        <w:tblCellMar>
          <w:top w:w="0" w:type="dxa"/>
          <w:left w:w="0" w:type="dxa"/>
          <w:bottom w:w="0" w:type="dxa"/>
          <w:right w:w="0" w:type="dxa"/>
        </w:tblCellMar>
      </w:tblPr>
      <w:tblGrid>
        <w:gridCol w:w="305"/>
        <w:gridCol w:w="6815"/>
      </w:tblGrid>
      <w:tr>
        <w:trPr/>
        <w:tc>
          <w:tcPr>
            <w:tcW w:w="305" w:type="dxa"/>
            <w:tcBorders/>
            <w:shd w:fill="auto" w:val="clear"/>
            <w:vAlign w:val="center"/>
          </w:tcPr>
          <w:p>
            <w:pPr>
              <w:pStyle w:val="TableContents"/>
              <w:spacing w:before="0" w:after="283"/>
              <w:rPr>
                <w:color w:val="000000"/>
              </w:rPr>
            </w:pPr>
            <w:r>
              <w:rPr>
                <w:color w:val="000000"/>
              </w:rPr>
              <w:t>(1)</w:t>
            </w:r>
          </w:p>
        </w:tc>
        <w:tc>
          <w:tcPr>
            <w:tcW w:w="6815" w:type="dxa"/>
            <w:tcBorders/>
            <w:shd w:fill="auto" w:val="clear"/>
            <w:vAlign w:val="center"/>
          </w:tcPr>
          <w:p>
            <w:pPr>
              <w:pStyle w:val="TableContents"/>
              <w:spacing w:before="0" w:after="0"/>
              <w:jc w:val="both"/>
              <w:rPr>
                <w:color w:val="000000"/>
              </w:rPr>
            </w:pPr>
            <w:r>
              <w:rPr>
                <w:color w:val="000000"/>
              </w:rPr>
              <w:t>Average loan balances include nonaccrual loans and loans held for sale.</w:t>
            </w:r>
          </w:p>
        </w:tc>
      </w:tr>
    </w:tbl>
    <w:tbl>
      <w:tblPr>
        <w:tblW w:w="10205" w:type="dxa"/>
        <w:jc w:val="left"/>
        <w:tblInd w:w="0" w:type="dxa"/>
        <w:tblCellMar>
          <w:top w:w="0" w:type="dxa"/>
          <w:left w:w="0" w:type="dxa"/>
          <w:bottom w:w="0" w:type="dxa"/>
          <w:right w:w="0" w:type="dxa"/>
        </w:tblCellMar>
      </w:tblPr>
      <w:tblGrid>
        <w:gridCol w:w="280"/>
        <w:gridCol w:w="9925"/>
      </w:tblGrid>
      <w:tr>
        <w:trPr/>
        <w:tc>
          <w:tcPr>
            <w:tcW w:w="280" w:type="dxa"/>
            <w:tcBorders/>
            <w:shd w:fill="auto" w:val="clear"/>
            <w:vAlign w:val="center"/>
          </w:tcPr>
          <w:p>
            <w:pPr>
              <w:pStyle w:val="TableContents"/>
              <w:spacing w:before="0" w:after="283"/>
              <w:rPr>
                <w:color w:val="000000"/>
              </w:rPr>
            </w:pPr>
            <w:r>
              <w:rPr>
                <w:color w:val="000000"/>
              </w:rPr>
              <w:t>(2)</w:t>
            </w:r>
          </w:p>
        </w:tc>
        <w:tc>
          <w:tcPr>
            <w:tcW w:w="9925" w:type="dxa"/>
            <w:tcBorders/>
            <w:shd w:fill="auto" w:val="clear"/>
            <w:vAlign w:val="center"/>
          </w:tcPr>
          <w:p>
            <w:pPr>
              <w:pStyle w:val="TableContents"/>
              <w:spacing w:before="0" w:after="0"/>
              <w:jc w:val="both"/>
              <w:rPr>
                <w:color w:val="000000"/>
              </w:rPr>
            </w:pPr>
            <w:r>
              <w:rPr>
                <w:color w:val="000000"/>
              </w:rPr>
              <w:t>Includes income and average balances for interest-earning deposits at other banks, federal funds sold and other miscellaneous interest-earning assets.</w:t>
            </w:r>
          </w:p>
        </w:tc>
      </w:tr>
    </w:tbl>
    <w:tbl>
      <w:tblPr>
        <w:tblW w:w="10205" w:type="dxa"/>
        <w:jc w:val="left"/>
        <w:tblInd w:w="0" w:type="dxa"/>
        <w:tblCellMar>
          <w:top w:w="0" w:type="dxa"/>
          <w:left w:w="0" w:type="dxa"/>
          <w:bottom w:w="0" w:type="dxa"/>
          <w:right w:w="0" w:type="dxa"/>
        </w:tblCellMar>
      </w:tblPr>
      <w:tblGrid>
        <w:gridCol w:w="282"/>
        <w:gridCol w:w="9923"/>
      </w:tblGrid>
      <w:tr>
        <w:trPr/>
        <w:tc>
          <w:tcPr>
            <w:tcW w:w="282" w:type="dxa"/>
            <w:tcBorders/>
            <w:shd w:fill="auto" w:val="clear"/>
            <w:vAlign w:val="center"/>
          </w:tcPr>
          <w:p>
            <w:pPr>
              <w:pStyle w:val="TableContents"/>
              <w:spacing w:before="0" w:after="283"/>
              <w:rPr>
                <w:color w:val="000000"/>
              </w:rPr>
            </w:pPr>
            <w:r>
              <w:rPr>
                <w:color w:val="000000"/>
              </w:rPr>
              <w:t>(3)</w:t>
            </w:r>
          </w:p>
        </w:tc>
        <w:tc>
          <w:tcPr>
            <w:tcW w:w="9923" w:type="dxa"/>
            <w:tcBorders/>
            <w:shd w:fill="auto" w:val="clear"/>
            <w:vAlign w:val="center"/>
          </w:tcPr>
          <w:p>
            <w:pPr>
              <w:pStyle w:val="TableContents"/>
              <w:spacing w:before="0" w:after="0"/>
              <w:jc w:val="both"/>
              <w:rPr>
                <w:color w:val="000000"/>
              </w:rPr>
            </w:pPr>
            <w:r>
              <w:rPr>
                <w:color w:val="000000"/>
              </w:rPr>
              <w:t>Net interest margin is calculated as the annualized net interest income, on a fully tax-equivalent basis, divided by average interest-earning assets.</w:t>
            </w:r>
          </w:p>
        </w:tc>
      </w:tr>
    </w:tbl>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33</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b w:val="false"/>
            <w:i/>
            <w:color w:val="000000"/>
            <w:sz w:val="16"/>
          </w:rPr>
          <w:t>Table of Contents</w:t>
        </w:r>
      </w:hyperlink>
    </w:p>
    <w:p>
      <w:pPr>
        <w:pStyle w:val="TextBody"/>
        <w:spacing w:before="0" w:after="0"/>
        <w:jc w:val="both"/>
        <w:rPr>
          <w:rFonts w:ascii="Times New Roman" w:hAnsi="Times New Roman"/>
          <w:color w:val="000000"/>
          <w:sz w:val="20"/>
        </w:rPr>
      </w:pPr>
      <w:r>
        <w:rPr>
          <w:rFonts w:ascii="Times New Roman" w:hAnsi="Times New Roman"/>
          <w:color w:val="000000"/>
          <w:sz w:val="20"/>
        </w:rPr>
        <w:t>Increases and decreases in interest income and interest expense result from changes in average balances (volume) of interest-earning assets and interest-bearing liabilities, as well as changes in average interest rates. The following table sets forth the effects of changing rates and volumes on our net interest income during the period shown. Information is provided with respect to (i) effects on interest income attributable to changes in volume (change in volume multiplied by prior rate) and (ii) effects on interest income attributable to changes in rate (changes in rate multiplied by prior volume). Change applicable to both volume and rate have been allocated to volume.</w:t>
      </w:r>
    </w:p>
    <w:p>
      <w:pPr>
        <w:pStyle w:val="TextBody"/>
        <w:spacing w:before="0" w:after="0"/>
        <w:jc w:val="left"/>
        <w:rPr/>
      </w:pPr>
      <w:r>
        <w:rPr/>
      </w:r>
    </w:p>
    <w:tbl>
      <w:tblPr>
        <w:tblW w:w="8171" w:type="dxa"/>
        <w:jc w:val="left"/>
        <w:tblInd w:w="0" w:type="dxa"/>
        <w:tblCellMar>
          <w:top w:w="0" w:type="dxa"/>
          <w:left w:w="0" w:type="dxa"/>
          <w:bottom w:w="0" w:type="dxa"/>
          <w:right w:w="0" w:type="dxa"/>
        </w:tblCellMar>
      </w:tblPr>
      <w:tblGrid>
        <w:gridCol w:w="4700"/>
        <w:gridCol w:w="60"/>
        <w:gridCol w:w="175"/>
        <w:gridCol w:w="701"/>
        <w:gridCol w:w="119"/>
        <w:gridCol w:w="75"/>
        <w:gridCol w:w="175"/>
        <w:gridCol w:w="851"/>
        <w:gridCol w:w="119"/>
        <w:gridCol w:w="75"/>
        <w:gridCol w:w="175"/>
        <w:gridCol w:w="851"/>
        <w:gridCol w:w="95"/>
      </w:tblGrid>
      <w:tr>
        <w:trPr/>
        <w:tc>
          <w:tcPr>
            <w:tcW w:w="47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316" w:type="dxa"/>
            <w:gridSpan w:val="10"/>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Three Months Ended March 31,</w:t>
            </w:r>
          </w:p>
        </w:tc>
        <w:tc>
          <w:tcPr>
            <w:tcW w:w="95" w:type="dxa"/>
            <w:tcBorders/>
            <w:shd w:fill="auto" w:val="clear"/>
            <w:vAlign w:val="bottom"/>
          </w:tcPr>
          <w:p>
            <w:pPr>
              <w:pStyle w:val="TableContents"/>
              <w:spacing w:before="0" w:after="283"/>
              <w:rPr/>
            </w:pPr>
            <w:r>
              <w:rPr/>
              <w:t> </w:t>
            </w:r>
          </w:p>
        </w:tc>
      </w:tr>
      <w:tr>
        <w:trPr/>
        <w:tc>
          <w:tcPr>
            <w:tcW w:w="47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316" w:type="dxa"/>
            <w:gridSpan w:val="10"/>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2023 over 2022</w:t>
            </w:r>
          </w:p>
        </w:tc>
        <w:tc>
          <w:tcPr>
            <w:tcW w:w="95" w:type="dxa"/>
            <w:tcBorders/>
            <w:shd w:fill="auto" w:val="clear"/>
            <w:vAlign w:val="bottom"/>
          </w:tcPr>
          <w:p>
            <w:pPr>
              <w:pStyle w:val="TableContents"/>
              <w:spacing w:before="0" w:after="283"/>
              <w:rPr/>
            </w:pPr>
            <w:r>
              <w:rPr/>
              <w:t> </w:t>
            </w:r>
          </w:p>
        </w:tc>
      </w:tr>
      <w:tr>
        <w:trPr/>
        <w:tc>
          <w:tcPr>
            <w:tcW w:w="47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96" w:type="dxa"/>
            <w:gridSpan w:val="6"/>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Change due to:</w:t>
            </w:r>
          </w:p>
        </w:tc>
        <w:tc>
          <w:tcPr>
            <w:tcW w:w="119"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1026" w:type="dxa"/>
            <w:gridSpan w:val="2"/>
            <w:tcBorders/>
            <w:shd w:fill="auto" w:val="clear"/>
            <w:vAlign w:val="bottom"/>
          </w:tcPr>
          <w:p>
            <w:pPr>
              <w:pStyle w:val="TableContents"/>
              <w:spacing w:before="0" w:after="0"/>
              <w:jc w:val="center"/>
              <w:rPr>
                <w:b/>
                <w:color w:val="000000"/>
              </w:rPr>
            </w:pPr>
            <w:r>
              <w:rPr>
                <w:b/>
                <w:color w:val="000000"/>
              </w:rPr>
              <w:t>Total</w:t>
            </w:r>
          </w:p>
        </w:tc>
        <w:tc>
          <w:tcPr>
            <w:tcW w:w="95" w:type="dxa"/>
            <w:tcBorders/>
            <w:shd w:fill="auto" w:val="clear"/>
            <w:vAlign w:val="bottom"/>
          </w:tcPr>
          <w:p>
            <w:pPr>
              <w:pStyle w:val="TableContents"/>
              <w:spacing w:before="0" w:after="283"/>
              <w:rPr/>
            </w:pPr>
            <w:r>
              <w:rPr/>
              <w:t> </w:t>
            </w:r>
          </w:p>
        </w:tc>
      </w:tr>
      <w:tr>
        <w:trPr/>
        <w:tc>
          <w:tcPr>
            <w:tcW w:w="47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76"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Volume</w:t>
            </w:r>
          </w:p>
        </w:tc>
        <w:tc>
          <w:tcPr>
            <w:tcW w:w="119"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1026"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Rate</w:t>
            </w:r>
          </w:p>
        </w:tc>
        <w:tc>
          <w:tcPr>
            <w:tcW w:w="119"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1026"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Variance</w:t>
            </w:r>
          </w:p>
        </w:tc>
        <w:tc>
          <w:tcPr>
            <w:tcW w:w="95" w:type="dxa"/>
            <w:tcBorders/>
            <w:shd w:fill="auto" w:val="clear"/>
            <w:vAlign w:val="bottom"/>
          </w:tcPr>
          <w:p>
            <w:pPr>
              <w:pStyle w:val="TableContents"/>
              <w:spacing w:before="0" w:after="283"/>
              <w:rPr/>
            </w:pPr>
            <w:r>
              <w:rPr/>
              <w:t> </w:t>
            </w:r>
          </w:p>
        </w:tc>
      </w:tr>
      <w:tr>
        <w:trPr/>
        <w:tc>
          <w:tcPr>
            <w:tcW w:w="47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316" w:type="dxa"/>
            <w:gridSpan w:val="10"/>
            <w:tcBorders/>
            <w:shd w:fill="auto" w:val="clear"/>
            <w:vAlign w:val="bottom"/>
          </w:tcPr>
          <w:p>
            <w:pPr>
              <w:pStyle w:val="TableContents"/>
              <w:spacing w:before="0" w:after="0"/>
              <w:jc w:val="center"/>
              <w:rPr>
                <w:b/>
                <w:color w:val="000000"/>
              </w:rPr>
            </w:pPr>
            <w:r>
              <w:rPr>
                <w:b/>
                <w:color w:val="000000"/>
              </w:rPr>
              <w:t>(Dollars in thousands)</w:t>
            </w:r>
          </w:p>
        </w:tc>
        <w:tc>
          <w:tcPr>
            <w:tcW w:w="95" w:type="dxa"/>
            <w:tcBorders/>
            <w:shd w:fill="auto" w:val="clear"/>
            <w:vAlign w:val="bottom"/>
          </w:tcPr>
          <w:p>
            <w:pPr>
              <w:pStyle w:val="TableContents"/>
              <w:spacing w:before="0" w:after="283"/>
              <w:rPr/>
            </w:pPr>
            <w:r>
              <w:rPr/>
              <w:t> </w:t>
            </w:r>
          </w:p>
        </w:tc>
      </w:tr>
      <w:tr>
        <w:trPr/>
        <w:tc>
          <w:tcPr>
            <w:tcW w:w="4700" w:type="dxa"/>
            <w:tcBorders/>
            <w:shd w:fill="auto" w:val="clear"/>
            <w:vAlign w:val="bottom"/>
          </w:tcPr>
          <w:p>
            <w:pPr>
              <w:pStyle w:val="TableContents"/>
              <w:spacing w:before="0" w:after="0"/>
              <w:ind w:left="144" w:right="0" w:hanging="144"/>
              <w:rPr>
                <w:b/>
                <w:color w:val="000000"/>
              </w:rPr>
            </w:pPr>
            <w:r>
              <w:rPr>
                <w:b/>
                <w:color w:val="000000"/>
              </w:rPr>
              <w:t>Interest-earning assets:</w:t>
            </w:r>
          </w:p>
        </w:tc>
        <w:tc>
          <w:tcPr>
            <w:tcW w:w="60" w:type="dxa"/>
            <w:tcBorders/>
            <w:shd w:fill="auto" w:val="clear"/>
            <w:vAlign w:val="bottom"/>
          </w:tcPr>
          <w:p>
            <w:pPr>
              <w:pStyle w:val="TableContents"/>
              <w:spacing w:before="0" w:after="283"/>
              <w:rPr/>
            </w:pPr>
            <w:r>
              <w:rPr/>
              <w:t> </w:t>
            </w:r>
          </w:p>
        </w:tc>
        <w:tc>
          <w:tcPr>
            <w:tcW w:w="876" w:type="dxa"/>
            <w:gridSpan w:val="2"/>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1026" w:type="dxa"/>
            <w:gridSpan w:val="2"/>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1026" w:type="dxa"/>
            <w:gridSpan w:val="2"/>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r>
      <w:tr>
        <w:trPr/>
        <w:tc>
          <w:tcPr>
            <w:tcW w:w="4700" w:type="dxa"/>
            <w:tcBorders/>
            <w:shd w:fill="CCEEFF" w:val="clear"/>
            <w:vAlign w:val="bottom"/>
          </w:tcPr>
          <w:p>
            <w:pPr>
              <w:pStyle w:val="TableContents"/>
              <w:spacing w:before="0" w:after="0"/>
              <w:ind w:left="324" w:right="0" w:hanging="144"/>
              <w:rPr>
                <w:color w:val="000000"/>
              </w:rPr>
            </w:pPr>
            <w:r>
              <w:rPr>
                <w:color w:val="000000"/>
              </w:rPr>
              <w:t>Loans</w:t>
            </w:r>
          </w:p>
        </w:tc>
        <w:tc>
          <w:tcPr>
            <w:tcW w:w="6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0"/>
              <w:rPr/>
            </w:pPr>
            <w:r>
              <w:rPr/>
              <w:t>$</w:t>
            </w:r>
          </w:p>
        </w:tc>
        <w:tc>
          <w:tcPr>
            <w:tcW w:w="701" w:type="dxa"/>
            <w:tcBorders/>
            <w:shd w:fill="CCEEFF" w:val="clear"/>
            <w:vAlign w:val="bottom"/>
          </w:tcPr>
          <w:p>
            <w:pPr>
              <w:pStyle w:val="TableContents"/>
              <w:spacing w:before="0" w:after="0"/>
              <w:jc w:val="right"/>
              <w:rPr/>
            </w:pPr>
            <w:r>
              <w:rPr/>
              <w:t>3,506</w:t>
            </w:r>
          </w:p>
        </w:tc>
        <w:tc>
          <w:tcPr>
            <w:tcW w:w="119"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0"/>
              <w:rPr/>
            </w:pPr>
            <w:r>
              <w:rPr/>
              <w:t>$</w:t>
            </w:r>
          </w:p>
        </w:tc>
        <w:tc>
          <w:tcPr>
            <w:tcW w:w="851" w:type="dxa"/>
            <w:tcBorders/>
            <w:shd w:fill="CCEEFF" w:val="clear"/>
            <w:vAlign w:val="bottom"/>
          </w:tcPr>
          <w:p>
            <w:pPr>
              <w:pStyle w:val="TableContents"/>
              <w:spacing w:before="0" w:after="0"/>
              <w:jc w:val="right"/>
              <w:rPr/>
            </w:pPr>
            <w:r>
              <w:rPr/>
              <w:t>6,717</w:t>
            </w:r>
          </w:p>
        </w:tc>
        <w:tc>
          <w:tcPr>
            <w:tcW w:w="119"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0"/>
              <w:rPr/>
            </w:pPr>
            <w:r>
              <w:rPr/>
              <w:t>$</w:t>
            </w:r>
          </w:p>
        </w:tc>
        <w:tc>
          <w:tcPr>
            <w:tcW w:w="851" w:type="dxa"/>
            <w:tcBorders/>
            <w:shd w:fill="CCEEFF" w:val="clear"/>
            <w:vAlign w:val="bottom"/>
          </w:tcPr>
          <w:p>
            <w:pPr>
              <w:pStyle w:val="TableContents"/>
              <w:spacing w:before="0" w:after="0"/>
              <w:jc w:val="right"/>
              <w:rPr/>
            </w:pPr>
            <w:r>
              <w:rPr/>
              <w:t>10,223</w:t>
            </w:r>
          </w:p>
        </w:tc>
        <w:tc>
          <w:tcPr>
            <w:tcW w:w="95" w:type="dxa"/>
            <w:tcBorders/>
            <w:shd w:fill="CCEEFF" w:val="clear"/>
            <w:vAlign w:val="bottom"/>
          </w:tcPr>
          <w:p>
            <w:pPr>
              <w:pStyle w:val="TableContents"/>
              <w:spacing w:before="0" w:after="283"/>
              <w:rPr/>
            </w:pPr>
            <w:r>
              <w:rPr/>
              <w:t> </w:t>
            </w:r>
          </w:p>
        </w:tc>
      </w:tr>
      <w:tr>
        <w:trPr/>
        <w:tc>
          <w:tcPr>
            <w:tcW w:w="4700" w:type="dxa"/>
            <w:tcBorders/>
            <w:shd w:fill="auto" w:val="clear"/>
            <w:vAlign w:val="bottom"/>
          </w:tcPr>
          <w:p>
            <w:pPr>
              <w:pStyle w:val="TableContents"/>
              <w:spacing w:before="0" w:after="0"/>
              <w:ind w:left="324" w:right="0" w:hanging="144"/>
              <w:rPr>
                <w:color w:val="000000"/>
              </w:rPr>
            </w:pPr>
            <w:r>
              <w:rPr>
                <w:color w:val="000000"/>
              </w:rPr>
              <w:t>Investment securities – taxable</w:t>
            </w:r>
          </w:p>
        </w:tc>
        <w:tc>
          <w:tcPr>
            <w:tcW w:w="6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701" w:type="dxa"/>
            <w:tcBorders/>
            <w:shd w:fill="auto" w:val="clear"/>
            <w:vAlign w:val="bottom"/>
          </w:tcPr>
          <w:p>
            <w:pPr>
              <w:pStyle w:val="TableContents"/>
              <w:spacing w:before="0" w:after="0"/>
              <w:jc w:val="right"/>
              <w:rPr/>
            </w:pPr>
            <w:r>
              <w:rPr/>
              <w:t>293</w:t>
            </w:r>
          </w:p>
        </w:tc>
        <w:tc>
          <w:tcPr>
            <w:tcW w:w="119"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51" w:type="dxa"/>
            <w:tcBorders/>
            <w:shd w:fill="auto" w:val="clear"/>
            <w:vAlign w:val="bottom"/>
          </w:tcPr>
          <w:p>
            <w:pPr>
              <w:pStyle w:val="TableContents"/>
              <w:spacing w:before="0" w:after="0"/>
              <w:jc w:val="right"/>
              <w:rPr/>
            </w:pPr>
            <w:r>
              <w:rPr/>
              <w:t>2,593</w:t>
            </w:r>
          </w:p>
        </w:tc>
        <w:tc>
          <w:tcPr>
            <w:tcW w:w="119"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51" w:type="dxa"/>
            <w:tcBorders/>
            <w:shd w:fill="auto" w:val="clear"/>
            <w:vAlign w:val="bottom"/>
          </w:tcPr>
          <w:p>
            <w:pPr>
              <w:pStyle w:val="TableContents"/>
              <w:spacing w:before="0" w:after="0"/>
              <w:jc w:val="right"/>
              <w:rPr/>
            </w:pPr>
            <w:r>
              <w:rPr/>
              <w:t>2,886</w:t>
            </w:r>
          </w:p>
        </w:tc>
        <w:tc>
          <w:tcPr>
            <w:tcW w:w="95" w:type="dxa"/>
            <w:tcBorders/>
            <w:shd w:fill="auto" w:val="clear"/>
            <w:vAlign w:val="bottom"/>
          </w:tcPr>
          <w:p>
            <w:pPr>
              <w:pStyle w:val="TableContents"/>
              <w:spacing w:before="0" w:after="283"/>
              <w:rPr/>
            </w:pPr>
            <w:r>
              <w:rPr/>
              <w:t> </w:t>
            </w:r>
          </w:p>
        </w:tc>
      </w:tr>
      <w:tr>
        <w:trPr/>
        <w:tc>
          <w:tcPr>
            <w:tcW w:w="4700" w:type="dxa"/>
            <w:tcBorders/>
            <w:shd w:fill="CCEEFF" w:val="clear"/>
            <w:vAlign w:val="bottom"/>
          </w:tcPr>
          <w:p>
            <w:pPr>
              <w:pStyle w:val="TableContents"/>
              <w:spacing w:before="0" w:after="0"/>
              <w:ind w:left="324" w:right="0" w:hanging="144"/>
              <w:rPr>
                <w:color w:val="000000"/>
              </w:rPr>
            </w:pPr>
            <w:r>
              <w:rPr>
                <w:color w:val="000000"/>
              </w:rPr>
              <w:t>Investment securities – non-taxable</w:t>
            </w:r>
          </w:p>
        </w:tc>
        <w:tc>
          <w:tcPr>
            <w:tcW w:w="6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701" w:type="dxa"/>
            <w:tcBorders/>
            <w:shd w:fill="CCEEFF" w:val="clear"/>
            <w:vAlign w:val="bottom"/>
          </w:tcPr>
          <w:p>
            <w:pPr>
              <w:pStyle w:val="TableContents"/>
              <w:spacing w:before="0" w:after="0"/>
              <w:jc w:val="right"/>
              <w:rPr/>
            </w:pPr>
            <w:r>
              <w:rPr/>
              <w:t>(34</w:t>
            </w:r>
          </w:p>
        </w:tc>
        <w:tc>
          <w:tcPr>
            <w:tcW w:w="119" w:type="dxa"/>
            <w:tcBorders/>
            <w:shd w:fill="CCEEFF" w:val="clear"/>
            <w:vAlign w:val="bottom"/>
          </w:tcPr>
          <w:p>
            <w:pPr>
              <w:pStyle w:val="TableContents"/>
              <w:spacing w:before="0" w:after="0"/>
              <w:rPr/>
            </w:pPr>
            <w:r>
              <w:rPr/>
              <w:t>)</w:t>
            </w:r>
          </w:p>
        </w:tc>
        <w:tc>
          <w:tcPr>
            <w:tcW w:w="75"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851" w:type="dxa"/>
            <w:tcBorders/>
            <w:shd w:fill="CCEEFF" w:val="clear"/>
            <w:vAlign w:val="bottom"/>
          </w:tcPr>
          <w:p>
            <w:pPr>
              <w:pStyle w:val="TableContents"/>
              <w:spacing w:before="0" w:after="0"/>
              <w:jc w:val="right"/>
              <w:rPr/>
            </w:pPr>
            <w:r>
              <w:rPr/>
              <w:t>(1</w:t>
            </w:r>
          </w:p>
        </w:tc>
        <w:tc>
          <w:tcPr>
            <w:tcW w:w="119" w:type="dxa"/>
            <w:tcBorders/>
            <w:shd w:fill="CCEEFF" w:val="clear"/>
            <w:vAlign w:val="bottom"/>
          </w:tcPr>
          <w:p>
            <w:pPr>
              <w:pStyle w:val="TableContents"/>
              <w:spacing w:before="0" w:after="0"/>
              <w:rPr/>
            </w:pPr>
            <w:r>
              <w:rPr/>
              <w:t>)</w:t>
            </w:r>
          </w:p>
        </w:tc>
        <w:tc>
          <w:tcPr>
            <w:tcW w:w="75"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851" w:type="dxa"/>
            <w:tcBorders/>
            <w:shd w:fill="CCEEFF" w:val="clear"/>
            <w:vAlign w:val="bottom"/>
          </w:tcPr>
          <w:p>
            <w:pPr>
              <w:pStyle w:val="TableContents"/>
              <w:spacing w:before="0" w:after="0"/>
              <w:jc w:val="right"/>
              <w:rPr/>
            </w:pPr>
            <w:r>
              <w:rPr/>
              <w:t>(35</w:t>
            </w:r>
          </w:p>
        </w:tc>
        <w:tc>
          <w:tcPr>
            <w:tcW w:w="95" w:type="dxa"/>
            <w:tcBorders/>
            <w:shd w:fill="CCEEFF" w:val="clear"/>
            <w:vAlign w:val="bottom"/>
          </w:tcPr>
          <w:p>
            <w:pPr>
              <w:pStyle w:val="TableContents"/>
              <w:spacing w:before="0" w:after="0"/>
              <w:rPr/>
            </w:pPr>
            <w:r>
              <w:rPr/>
              <w:t>)</w:t>
            </w:r>
          </w:p>
        </w:tc>
      </w:tr>
      <w:tr>
        <w:trPr/>
        <w:tc>
          <w:tcPr>
            <w:tcW w:w="4700" w:type="dxa"/>
            <w:tcBorders/>
            <w:shd w:fill="auto" w:val="clear"/>
            <w:vAlign w:val="bottom"/>
          </w:tcPr>
          <w:p>
            <w:pPr>
              <w:pStyle w:val="TableContents"/>
              <w:spacing w:before="0" w:after="0"/>
              <w:ind w:left="324" w:right="0" w:hanging="144"/>
              <w:rPr>
                <w:color w:val="000000"/>
              </w:rPr>
            </w:pPr>
            <w:r>
              <w:rPr>
                <w:color w:val="000000"/>
              </w:rPr>
              <w:t>Other interest-earning assets</w:t>
            </w:r>
          </w:p>
        </w:tc>
        <w:tc>
          <w:tcPr>
            <w:tcW w:w="60" w:type="dxa"/>
            <w:tcBorders/>
            <w:shd w:fill="auto" w:val="clear"/>
            <w:vAlign w:val="bottom"/>
          </w:tcPr>
          <w:p>
            <w:pPr>
              <w:pStyle w:val="TableContents"/>
              <w:spacing w:before="0" w:after="283"/>
              <w:rPr/>
            </w:pPr>
            <w:r>
              <w:rPr/>
              <w:t> </w:t>
            </w:r>
          </w:p>
        </w:tc>
        <w:tc>
          <w:tcPr>
            <w:tcW w:w="175" w:type="dxa"/>
            <w:tcBorders>
              <w:bottom w:val="single" w:sz="12" w:space="0" w:color="000000"/>
            </w:tcBorders>
            <w:shd w:fill="auto" w:val="clear"/>
            <w:tcMar>
              <w:bottom w:w="28" w:type="dxa"/>
            </w:tcMar>
            <w:vAlign w:val="bottom"/>
          </w:tcPr>
          <w:p>
            <w:pPr>
              <w:pStyle w:val="TableContents"/>
              <w:spacing w:before="0" w:after="283"/>
              <w:rPr/>
            </w:pPr>
            <w:r>
              <w:rPr/>
              <w:t> </w:t>
            </w:r>
          </w:p>
        </w:tc>
        <w:tc>
          <w:tcPr>
            <w:tcW w:w="701" w:type="dxa"/>
            <w:tcBorders>
              <w:bottom w:val="single" w:sz="12" w:space="0" w:color="000000"/>
            </w:tcBorders>
            <w:shd w:fill="auto" w:val="clear"/>
            <w:tcMar>
              <w:bottom w:w="28" w:type="dxa"/>
            </w:tcMar>
            <w:vAlign w:val="bottom"/>
          </w:tcPr>
          <w:p>
            <w:pPr>
              <w:pStyle w:val="TableContents"/>
              <w:spacing w:before="0" w:after="0"/>
              <w:jc w:val="right"/>
              <w:rPr/>
            </w:pPr>
            <w:r>
              <w:rPr/>
              <w:t>(133</w:t>
            </w:r>
          </w:p>
        </w:tc>
        <w:tc>
          <w:tcPr>
            <w:tcW w:w="119" w:type="dxa"/>
            <w:tcBorders/>
            <w:shd w:fill="auto" w:val="clear"/>
            <w:vAlign w:val="bottom"/>
          </w:tcPr>
          <w:p>
            <w:pPr>
              <w:pStyle w:val="TableContents"/>
              <w:spacing w:before="0" w:after="0"/>
              <w:rPr/>
            </w:pPr>
            <w:r>
              <w:rPr/>
              <w:t>)</w:t>
            </w:r>
          </w:p>
        </w:tc>
        <w:tc>
          <w:tcPr>
            <w:tcW w:w="75" w:type="dxa"/>
            <w:tcBorders/>
            <w:shd w:fill="auto" w:val="clear"/>
            <w:vAlign w:val="bottom"/>
          </w:tcPr>
          <w:p>
            <w:pPr>
              <w:pStyle w:val="TableContents"/>
              <w:spacing w:before="0" w:after="283"/>
              <w:rPr/>
            </w:pPr>
            <w:r>
              <w:rPr/>
              <w:t> </w:t>
            </w:r>
          </w:p>
        </w:tc>
        <w:tc>
          <w:tcPr>
            <w:tcW w:w="175" w:type="dxa"/>
            <w:tcBorders>
              <w:bottom w:val="single" w:sz="12" w:space="0" w:color="000000"/>
            </w:tcBorders>
            <w:shd w:fill="auto" w:val="clear"/>
            <w:tcMar>
              <w:bottom w:w="28" w:type="dxa"/>
            </w:tcMar>
            <w:vAlign w:val="bottom"/>
          </w:tcPr>
          <w:p>
            <w:pPr>
              <w:pStyle w:val="TableContents"/>
              <w:spacing w:before="0" w:after="283"/>
              <w:rPr/>
            </w:pPr>
            <w:r>
              <w:rPr/>
              <w:t> </w:t>
            </w:r>
          </w:p>
        </w:tc>
        <w:tc>
          <w:tcPr>
            <w:tcW w:w="851" w:type="dxa"/>
            <w:tcBorders>
              <w:bottom w:val="single" w:sz="12" w:space="0" w:color="000000"/>
            </w:tcBorders>
            <w:shd w:fill="auto" w:val="clear"/>
            <w:tcMar>
              <w:bottom w:w="28" w:type="dxa"/>
            </w:tcMar>
            <w:vAlign w:val="bottom"/>
          </w:tcPr>
          <w:p>
            <w:pPr>
              <w:pStyle w:val="TableContents"/>
              <w:spacing w:before="0" w:after="0"/>
              <w:jc w:val="right"/>
              <w:rPr/>
            </w:pPr>
            <w:r>
              <w:rPr/>
              <w:t>1,424</w:t>
            </w:r>
          </w:p>
        </w:tc>
        <w:tc>
          <w:tcPr>
            <w:tcW w:w="119"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175" w:type="dxa"/>
            <w:tcBorders>
              <w:bottom w:val="single" w:sz="12" w:space="0" w:color="000000"/>
            </w:tcBorders>
            <w:shd w:fill="auto" w:val="clear"/>
            <w:tcMar>
              <w:bottom w:w="28" w:type="dxa"/>
            </w:tcMar>
            <w:vAlign w:val="bottom"/>
          </w:tcPr>
          <w:p>
            <w:pPr>
              <w:pStyle w:val="TableContents"/>
              <w:spacing w:before="0" w:after="283"/>
              <w:rPr/>
            </w:pPr>
            <w:r>
              <w:rPr/>
              <w:t> </w:t>
            </w:r>
          </w:p>
        </w:tc>
        <w:tc>
          <w:tcPr>
            <w:tcW w:w="851" w:type="dxa"/>
            <w:tcBorders>
              <w:bottom w:val="single" w:sz="12" w:space="0" w:color="000000"/>
            </w:tcBorders>
            <w:shd w:fill="auto" w:val="clear"/>
            <w:tcMar>
              <w:bottom w:w="28" w:type="dxa"/>
            </w:tcMar>
            <w:vAlign w:val="bottom"/>
          </w:tcPr>
          <w:p>
            <w:pPr>
              <w:pStyle w:val="TableContents"/>
              <w:spacing w:before="0" w:after="0"/>
              <w:jc w:val="right"/>
              <w:rPr/>
            </w:pPr>
            <w:r>
              <w:rPr/>
              <w:t>1,291</w:t>
            </w:r>
          </w:p>
        </w:tc>
        <w:tc>
          <w:tcPr>
            <w:tcW w:w="95" w:type="dxa"/>
            <w:tcBorders/>
            <w:shd w:fill="auto" w:val="clear"/>
            <w:vAlign w:val="bottom"/>
          </w:tcPr>
          <w:p>
            <w:pPr>
              <w:pStyle w:val="TableContents"/>
              <w:spacing w:before="0" w:after="283"/>
              <w:rPr/>
            </w:pPr>
            <w:r>
              <w:rPr/>
              <w:t> </w:t>
            </w:r>
          </w:p>
        </w:tc>
      </w:tr>
      <w:tr>
        <w:trPr/>
        <w:tc>
          <w:tcPr>
            <w:tcW w:w="4700" w:type="dxa"/>
            <w:tcBorders/>
            <w:shd w:fill="CCEEFF" w:val="clear"/>
            <w:vAlign w:val="bottom"/>
          </w:tcPr>
          <w:p>
            <w:pPr>
              <w:pStyle w:val="TableContents"/>
              <w:spacing w:before="0" w:after="0"/>
              <w:ind w:left="504" w:right="0" w:hanging="144"/>
              <w:rPr>
                <w:color w:val="000000"/>
              </w:rPr>
            </w:pPr>
            <w:r>
              <w:rPr>
                <w:color w:val="000000"/>
              </w:rPr>
              <w:t>Total increase (decrease) in interest income</w:t>
            </w:r>
          </w:p>
        </w:tc>
        <w:tc>
          <w:tcPr>
            <w:tcW w:w="60" w:type="dxa"/>
            <w:tcBorders/>
            <w:shd w:fill="CCEEFF" w:val="clear"/>
            <w:vAlign w:val="bottom"/>
          </w:tcPr>
          <w:p>
            <w:pPr>
              <w:pStyle w:val="TableContents"/>
              <w:spacing w:before="0" w:after="283"/>
              <w:rPr/>
            </w:pPr>
            <w:r>
              <w:rPr/>
              <w:t> </w:t>
            </w:r>
          </w:p>
        </w:tc>
        <w:tc>
          <w:tcPr>
            <w:tcW w:w="175" w:type="dxa"/>
            <w:tcBorders>
              <w:bottom w:val="single" w:sz="12" w:space="0" w:color="000000"/>
            </w:tcBorders>
            <w:shd w:fill="CCEEFF" w:val="clear"/>
            <w:tcMar>
              <w:bottom w:w="28" w:type="dxa"/>
            </w:tcMar>
            <w:vAlign w:val="bottom"/>
          </w:tcPr>
          <w:p>
            <w:pPr>
              <w:pStyle w:val="TableContents"/>
              <w:spacing w:before="0" w:after="283"/>
              <w:rPr/>
            </w:pPr>
            <w:r>
              <w:rPr/>
              <w:t> </w:t>
            </w:r>
          </w:p>
        </w:tc>
        <w:tc>
          <w:tcPr>
            <w:tcW w:w="701" w:type="dxa"/>
            <w:tcBorders>
              <w:bottom w:val="single" w:sz="12" w:space="0" w:color="000000"/>
            </w:tcBorders>
            <w:shd w:fill="CCEEFF" w:val="clear"/>
            <w:tcMar>
              <w:bottom w:w="28" w:type="dxa"/>
            </w:tcMar>
            <w:vAlign w:val="bottom"/>
          </w:tcPr>
          <w:p>
            <w:pPr>
              <w:pStyle w:val="TableContents"/>
              <w:spacing w:before="0" w:after="0"/>
              <w:jc w:val="right"/>
              <w:rPr/>
            </w:pPr>
            <w:r>
              <w:rPr/>
              <w:t>3,632</w:t>
            </w:r>
          </w:p>
        </w:tc>
        <w:tc>
          <w:tcPr>
            <w:tcW w:w="119"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175" w:type="dxa"/>
            <w:tcBorders>
              <w:bottom w:val="single" w:sz="12" w:space="0" w:color="000000"/>
            </w:tcBorders>
            <w:shd w:fill="CCEEFF" w:val="clear"/>
            <w:tcMar>
              <w:bottom w:w="28" w:type="dxa"/>
            </w:tcMar>
            <w:vAlign w:val="bottom"/>
          </w:tcPr>
          <w:p>
            <w:pPr>
              <w:pStyle w:val="TableContents"/>
              <w:spacing w:before="0" w:after="283"/>
              <w:rPr/>
            </w:pPr>
            <w:r>
              <w:rPr/>
              <w:t> </w:t>
            </w:r>
          </w:p>
        </w:tc>
        <w:tc>
          <w:tcPr>
            <w:tcW w:w="851" w:type="dxa"/>
            <w:tcBorders>
              <w:bottom w:val="single" w:sz="12" w:space="0" w:color="000000"/>
            </w:tcBorders>
            <w:shd w:fill="CCEEFF" w:val="clear"/>
            <w:tcMar>
              <w:bottom w:w="28" w:type="dxa"/>
            </w:tcMar>
            <w:vAlign w:val="bottom"/>
          </w:tcPr>
          <w:p>
            <w:pPr>
              <w:pStyle w:val="TableContents"/>
              <w:spacing w:before="0" w:after="0"/>
              <w:jc w:val="right"/>
              <w:rPr/>
            </w:pPr>
            <w:r>
              <w:rPr/>
              <w:t>10,733</w:t>
            </w:r>
          </w:p>
        </w:tc>
        <w:tc>
          <w:tcPr>
            <w:tcW w:w="119"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175" w:type="dxa"/>
            <w:tcBorders>
              <w:bottom w:val="single" w:sz="12" w:space="0" w:color="000000"/>
            </w:tcBorders>
            <w:shd w:fill="CCEEFF" w:val="clear"/>
            <w:tcMar>
              <w:bottom w:w="28" w:type="dxa"/>
            </w:tcMar>
            <w:vAlign w:val="bottom"/>
          </w:tcPr>
          <w:p>
            <w:pPr>
              <w:pStyle w:val="TableContents"/>
              <w:spacing w:before="0" w:after="283"/>
              <w:rPr/>
            </w:pPr>
            <w:r>
              <w:rPr/>
              <w:t> </w:t>
            </w:r>
          </w:p>
        </w:tc>
        <w:tc>
          <w:tcPr>
            <w:tcW w:w="851" w:type="dxa"/>
            <w:tcBorders>
              <w:bottom w:val="single" w:sz="12" w:space="0" w:color="000000"/>
            </w:tcBorders>
            <w:shd w:fill="CCEEFF" w:val="clear"/>
            <w:tcMar>
              <w:bottom w:w="28" w:type="dxa"/>
            </w:tcMar>
            <w:vAlign w:val="bottom"/>
          </w:tcPr>
          <w:p>
            <w:pPr>
              <w:pStyle w:val="TableContents"/>
              <w:spacing w:before="0" w:after="0"/>
              <w:jc w:val="right"/>
              <w:rPr/>
            </w:pPr>
            <w:r>
              <w:rPr/>
              <w:t>14,365</w:t>
            </w:r>
          </w:p>
        </w:tc>
        <w:tc>
          <w:tcPr>
            <w:tcW w:w="95" w:type="dxa"/>
            <w:tcBorders/>
            <w:shd w:fill="CCEEFF" w:val="clear"/>
            <w:vAlign w:val="bottom"/>
          </w:tcPr>
          <w:p>
            <w:pPr>
              <w:pStyle w:val="TableContents"/>
              <w:spacing w:before="0" w:after="283"/>
              <w:rPr/>
            </w:pPr>
            <w:r>
              <w:rPr/>
              <w:t> </w:t>
            </w:r>
          </w:p>
        </w:tc>
      </w:tr>
      <w:tr>
        <w:trPr/>
        <w:tc>
          <w:tcPr>
            <w:tcW w:w="47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701" w:type="dxa"/>
            <w:tcBorders/>
            <w:shd w:fill="auto" w:val="clear"/>
            <w:vAlign w:val="bottom"/>
          </w:tcPr>
          <w:p>
            <w:pPr>
              <w:pStyle w:val="TableContents"/>
              <w:spacing w:before="0" w:after="283"/>
              <w:jc w:val="right"/>
              <w:rPr/>
            </w:pPr>
            <w:r>
              <w:rPr/>
              <w:t> </w:t>
            </w:r>
          </w:p>
        </w:tc>
        <w:tc>
          <w:tcPr>
            <w:tcW w:w="119"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51" w:type="dxa"/>
            <w:tcBorders/>
            <w:shd w:fill="auto" w:val="clear"/>
            <w:vAlign w:val="bottom"/>
          </w:tcPr>
          <w:p>
            <w:pPr>
              <w:pStyle w:val="TableContents"/>
              <w:spacing w:before="0" w:after="283"/>
              <w:jc w:val="right"/>
              <w:rPr/>
            </w:pPr>
            <w:r>
              <w:rPr/>
              <w:t> </w:t>
            </w:r>
          </w:p>
        </w:tc>
        <w:tc>
          <w:tcPr>
            <w:tcW w:w="119"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51" w:type="dxa"/>
            <w:tcBorders/>
            <w:shd w:fill="auto" w:val="clear"/>
            <w:vAlign w:val="bottom"/>
          </w:tcPr>
          <w:p>
            <w:pPr>
              <w:pStyle w:val="TableContents"/>
              <w:spacing w:before="0" w:after="283"/>
              <w:jc w:val="right"/>
              <w:rPr/>
            </w:pPr>
            <w:r>
              <w:rPr/>
              <w:t> </w:t>
            </w:r>
          </w:p>
        </w:tc>
        <w:tc>
          <w:tcPr>
            <w:tcW w:w="95" w:type="dxa"/>
            <w:tcBorders/>
            <w:shd w:fill="auto" w:val="clear"/>
            <w:vAlign w:val="bottom"/>
          </w:tcPr>
          <w:p>
            <w:pPr>
              <w:pStyle w:val="TableContents"/>
              <w:spacing w:before="0" w:after="283"/>
              <w:rPr/>
            </w:pPr>
            <w:r>
              <w:rPr/>
              <w:t> </w:t>
            </w:r>
          </w:p>
        </w:tc>
      </w:tr>
      <w:tr>
        <w:trPr/>
        <w:tc>
          <w:tcPr>
            <w:tcW w:w="4700" w:type="dxa"/>
            <w:tcBorders/>
            <w:shd w:fill="CCEEFF" w:val="clear"/>
            <w:vAlign w:val="bottom"/>
          </w:tcPr>
          <w:p>
            <w:pPr>
              <w:pStyle w:val="TableContents"/>
              <w:spacing w:before="0" w:after="0"/>
              <w:ind w:left="144" w:right="0" w:hanging="144"/>
              <w:rPr>
                <w:b/>
                <w:color w:val="000000"/>
              </w:rPr>
            </w:pPr>
            <w:r>
              <w:rPr>
                <w:b/>
                <w:color w:val="000000"/>
              </w:rPr>
              <w:t>Interest-bearing liabilities:</w:t>
            </w:r>
          </w:p>
        </w:tc>
        <w:tc>
          <w:tcPr>
            <w:tcW w:w="6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701" w:type="dxa"/>
            <w:tcBorders/>
            <w:shd w:fill="CCEEFF" w:val="clear"/>
            <w:vAlign w:val="bottom"/>
          </w:tcPr>
          <w:p>
            <w:pPr>
              <w:pStyle w:val="TableContents"/>
              <w:spacing w:before="0" w:after="283"/>
              <w:jc w:val="right"/>
              <w:rPr/>
            </w:pPr>
            <w:r>
              <w:rPr/>
              <w:t> </w:t>
            </w:r>
          </w:p>
        </w:tc>
        <w:tc>
          <w:tcPr>
            <w:tcW w:w="119"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851" w:type="dxa"/>
            <w:tcBorders/>
            <w:shd w:fill="CCEEFF" w:val="clear"/>
            <w:vAlign w:val="bottom"/>
          </w:tcPr>
          <w:p>
            <w:pPr>
              <w:pStyle w:val="TableContents"/>
              <w:spacing w:before="0" w:after="283"/>
              <w:jc w:val="right"/>
              <w:rPr/>
            </w:pPr>
            <w:r>
              <w:rPr/>
              <w:t> </w:t>
            </w:r>
          </w:p>
        </w:tc>
        <w:tc>
          <w:tcPr>
            <w:tcW w:w="119"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851"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rPr/>
            </w:pPr>
            <w:r>
              <w:rPr/>
              <w:t> </w:t>
            </w:r>
          </w:p>
        </w:tc>
      </w:tr>
      <w:tr>
        <w:trPr/>
        <w:tc>
          <w:tcPr>
            <w:tcW w:w="4700" w:type="dxa"/>
            <w:tcBorders/>
            <w:shd w:fill="auto" w:val="clear"/>
            <w:vAlign w:val="bottom"/>
          </w:tcPr>
          <w:p>
            <w:pPr>
              <w:pStyle w:val="TableContents"/>
              <w:spacing w:before="0" w:after="0"/>
              <w:ind w:left="324" w:right="0" w:hanging="144"/>
              <w:rPr>
                <w:color w:val="000000"/>
              </w:rPr>
            </w:pPr>
            <w:r>
              <w:rPr>
                <w:color w:val="000000"/>
              </w:rPr>
              <w:t>NOW, Savings, MMDAs</w:t>
            </w:r>
          </w:p>
        </w:tc>
        <w:tc>
          <w:tcPr>
            <w:tcW w:w="6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701" w:type="dxa"/>
            <w:tcBorders/>
            <w:shd w:fill="auto" w:val="clear"/>
            <w:vAlign w:val="bottom"/>
          </w:tcPr>
          <w:p>
            <w:pPr>
              <w:pStyle w:val="TableContents"/>
              <w:spacing w:before="0" w:after="0"/>
              <w:jc w:val="right"/>
              <w:rPr/>
            </w:pPr>
            <w:r>
              <w:rPr/>
              <w:t>24</w:t>
            </w:r>
          </w:p>
        </w:tc>
        <w:tc>
          <w:tcPr>
            <w:tcW w:w="119"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51" w:type="dxa"/>
            <w:tcBorders/>
            <w:shd w:fill="auto" w:val="clear"/>
            <w:vAlign w:val="bottom"/>
          </w:tcPr>
          <w:p>
            <w:pPr>
              <w:pStyle w:val="TableContents"/>
              <w:spacing w:before="0" w:after="0"/>
              <w:jc w:val="right"/>
              <w:rPr/>
            </w:pPr>
            <w:r>
              <w:rPr/>
              <w:t>9,049</w:t>
            </w:r>
          </w:p>
        </w:tc>
        <w:tc>
          <w:tcPr>
            <w:tcW w:w="119"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51" w:type="dxa"/>
            <w:tcBorders/>
            <w:shd w:fill="auto" w:val="clear"/>
            <w:vAlign w:val="bottom"/>
          </w:tcPr>
          <w:p>
            <w:pPr>
              <w:pStyle w:val="TableContents"/>
              <w:spacing w:before="0" w:after="0"/>
              <w:jc w:val="right"/>
              <w:rPr/>
            </w:pPr>
            <w:r>
              <w:rPr/>
              <w:t>9,073</w:t>
            </w:r>
          </w:p>
        </w:tc>
        <w:tc>
          <w:tcPr>
            <w:tcW w:w="95" w:type="dxa"/>
            <w:tcBorders/>
            <w:shd w:fill="auto" w:val="clear"/>
            <w:vAlign w:val="bottom"/>
          </w:tcPr>
          <w:p>
            <w:pPr>
              <w:pStyle w:val="TableContents"/>
              <w:spacing w:before="0" w:after="283"/>
              <w:rPr/>
            </w:pPr>
            <w:r>
              <w:rPr/>
              <w:t> </w:t>
            </w:r>
          </w:p>
        </w:tc>
      </w:tr>
      <w:tr>
        <w:trPr/>
        <w:tc>
          <w:tcPr>
            <w:tcW w:w="4700" w:type="dxa"/>
            <w:tcBorders/>
            <w:shd w:fill="CCEEFF" w:val="clear"/>
            <w:vAlign w:val="bottom"/>
          </w:tcPr>
          <w:p>
            <w:pPr>
              <w:pStyle w:val="TableContents"/>
              <w:spacing w:before="0" w:after="0"/>
              <w:ind w:left="324" w:right="0" w:hanging="144"/>
              <w:rPr>
                <w:color w:val="000000"/>
              </w:rPr>
            </w:pPr>
            <w:r>
              <w:rPr>
                <w:color w:val="000000"/>
              </w:rPr>
              <w:t>Time deposits</w:t>
            </w:r>
          </w:p>
        </w:tc>
        <w:tc>
          <w:tcPr>
            <w:tcW w:w="6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701" w:type="dxa"/>
            <w:tcBorders/>
            <w:shd w:fill="CCEEFF" w:val="clear"/>
            <w:vAlign w:val="bottom"/>
          </w:tcPr>
          <w:p>
            <w:pPr>
              <w:pStyle w:val="TableContents"/>
              <w:spacing w:before="0" w:after="0"/>
              <w:jc w:val="right"/>
              <w:rPr/>
            </w:pPr>
            <w:r>
              <w:rPr/>
              <w:t>(159</w:t>
            </w:r>
          </w:p>
        </w:tc>
        <w:tc>
          <w:tcPr>
            <w:tcW w:w="119" w:type="dxa"/>
            <w:tcBorders/>
            <w:shd w:fill="CCEEFF" w:val="clear"/>
            <w:vAlign w:val="bottom"/>
          </w:tcPr>
          <w:p>
            <w:pPr>
              <w:pStyle w:val="TableContents"/>
              <w:spacing w:before="0" w:after="0"/>
              <w:rPr/>
            </w:pPr>
            <w:r>
              <w:rPr/>
              <w:t>)</w:t>
            </w:r>
          </w:p>
        </w:tc>
        <w:tc>
          <w:tcPr>
            <w:tcW w:w="75"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851" w:type="dxa"/>
            <w:tcBorders/>
            <w:shd w:fill="CCEEFF" w:val="clear"/>
            <w:vAlign w:val="bottom"/>
          </w:tcPr>
          <w:p>
            <w:pPr>
              <w:pStyle w:val="TableContents"/>
              <w:spacing w:before="0" w:after="0"/>
              <w:jc w:val="right"/>
              <w:rPr/>
            </w:pPr>
            <w:r>
              <w:rPr/>
              <w:t>566</w:t>
            </w:r>
          </w:p>
        </w:tc>
        <w:tc>
          <w:tcPr>
            <w:tcW w:w="119"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851" w:type="dxa"/>
            <w:tcBorders/>
            <w:shd w:fill="CCEEFF" w:val="clear"/>
            <w:vAlign w:val="bottom"/>
          </w:tcPr>
          <w:p>
            <w:pPr>
              <w:pStyle w:val="TableContents"/>
              <w:spacing w:before="0" w:after="0"/>
              <w:jc w:val="right"/>
              <w:rPr/>
            </w:pPr>
            <w:r>
              <w:rPr/>
              <w:t>407</w:t>
            </w:r>
          </w:p>
        </w:tc>
        <w:tc>
          <w:tcPr>
            <w:tcW w:w="95" w:type="dxa"/>
            <w:tcBorders/>
            <w:shd w:fill="CCEEFF" w:val="clear"/>
            <w:vAlign w:val="bottom"/>
          </w:tcPr>
          <w:p>
            <w:pPr>
              <w:pStyle w:val="TableContents"/>
              <w:spacing w:before="0" w:after="283"/>
              <w:rPr/>
            </w:pPr>
            <w:r>
              <w:rPr/>
              <w:t> </w:t>
            </w:r>
          </w:p>
        </w:tc>
      </w:tr>
      <w:tr>
        <w:trPr/>
        <w:tc>
          <w:tcPr>
            <w:tcW w:w="4700" w:type="dxa"/>
            <w:tcBorders/>
            <w:shd w:fill="auto" w:val="clear"/>
            <w:vAlign w:val="bottom"/>
          </w:tcPr>
          <w:p>
            <w:pPr>
              <w:pStyle w:val="TableContents"/>
              <w:spacing w:before="0" w:after="0"/>
              <w:ind w:left="324" w:right="0" w:hanging="144"/>
              <w:rPr>
                <w:color w:val="000000"/>
              </w:rPr>
            </w:pPr>
            <w:r>
              <w:rPr>
                <w:color w:val="000000"/>
              </w:rPr>
              <w:t>Short-term borrowings</w:t>
            </w:r>
          </w:p>
        </w:tc>
        <w:tc>
          <w:tcPr>
            <w:tcW w:w="6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701" w:type="dxa"/>
            <w:tcBorders/>
            <w:shd w:fill="auto" w:val="clear"/>
            <w:vAlign w:val="bottom"/>
          </w:tcPr>
          <w:p>
            <w:pPr>
              <w:pStyle w:val="TableContents"/>
              <w:spacing w:before="0" w:after="0"/>
              <w:jc w:val="right"/>
              <w:rPr/>
            </w:pPr>
            <w:r>
              <w:rPr/>
              <w:t>—</w:t>
            </w:r>
          </w:p>
        </w:tc>
        <w:tc>
          <w:tcPr>
            <w:tcW w:w="119"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51" w:type="dxa"/>
            <w:tcBorders/>
            <w:shd w:fill="auto" w:val="clear"/>
            <w:vAlign w:val="bottom"/>
          </w:tcPr>
          <w:p>
            <w:pPr>
              <w:pStyle w:val="TableContents"/>
              <w:spacing w:before="0" w:after="0"/>
              <w:jc w:val="right"/>
              <w:rPr/>
            </w:pPr>
            <w:r>
              <w:rPr/>
              <w:t>—</w:t>
            </w:r>
          </w:p>
        </w:tc>
        <w:tc>
          <w:tcPr>
            <w:tcW w:w="119"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51" w:type="dxa"/>
            <w:tcBorders/>
            <w:shd w:fill="auto" w:val="clear"/>
            <w:vAlign w:val="bottom"/>
          </w:tcPr>
          <w:p>
            <w:pPr>
              <w:pStyle w:val="TableContents"/>
              <w:spacing w:before="0" w:after="0"/>
              <w:jc w:val="right"/>
              <w:rPr/>
            </w:pPr>
            <w:r>
              <w:rPr/>
              <w:t>—</w:t>
            </w:r>
          </w:p>
        </w:tc>
        <w:tc>
          <w:tcPr>
            <w:tcW w:w="95" w:type="dxa"/>
            <w:tcBorders/>
            <w:shd w:fill="auto" w:val="clear"/>
            <w:vAlign w:val="bottom"/>
          </w:tcPr>
          <w:p>
            <w:pPr>
              <w:pStyle w:val="TableContents"/>
              <w:spacing w:before="0" w:after="283"/>
              <w:rPr/>
            </w:pPr>
            <w:r>
              <w:rPr/>
              <w:t> </w:t>
            </w:r>
          </w:p>
        </w:tc>
      </w:tr>
      <w:tr>
        <w:trPr/>
        <w:tc>
          <w:tcPr>
            <w:tcW w:w="4700" w:type="dxa"/>
            <w:tcBorders/>
            <w:shd w:fill="CCEEFF" w:val="clear"/>
            <w:vAlign w:val="bottom"/>
          </w:tcPr>
          <w:p>
            <w:pPr>
              <w:pStyle w:val="TableContents"/>
              <w:spacing w:before="0" w:after="0"/>
              <w:ind w:left="324" w:right="0" w:hanging="144"/>
              <w:rPr>
                <w:color w:val="000000"/>
              </w:rPr>
            </w:pPr>
            <w:r>
              <w:rPr>
                <w:color w:val="000000"/>
              </w:rPr>
              <w:t>Notes payable &amp; other borrowings</w:t>
            </w:r>
          </w:p>
        </w:tc>
        <w:tc>
          <w:tcPr>
            <w:tcW w:w="6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701" w:type="dxa"/>
            <w:tcBorders/>
            <w:shd w:fill="CCEEFF" w:val="clear"/>
            <w:vAlign w:val="bottom"/>
          </w:tcPr>
          <w:p>
            <w:pPr>
              <w:pStyle w:val="TableContents"/>
              <w:spacing w:before="0" w:after="0"/>
              <w:jc w:val="right"/>
              <w:rPr/>
            </w:pPr>
            <w:r>
              <w:rPr/>
              <w:t>—</w:t>
            </w:r>
          </w:p>
        </w:tc>
        <w:tc>
          <w:tcPr>
            <w:tcW w:w="119"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851" w:type="dxa"/>
            <w:tcBorders/>
            <w:shd w:fill="CCEEFF" w:val="clear"/>
            <w:vAlign w:val="bottom"/>
          </w:tcPr>
          <w:p>
            <w:pPr>
              <w:pStyle w:val="TableContents"/>
              <w:spacing w:before="0" w:after="0"/>
              <w:jc w:val="right"/>
              <w:rPr/>
            </w:pPr>
            <w:r>
              <w:rPr/>
              <w:t>—</w:t>
            </w:r>
          </w:p>
        </w:tc>
        <w:tc>
          <w:tcPr>
            <w:tcW w:w="119"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851" w:type="dxa"/>
            <w:tcBorders/>
            <w:shd w:fill="CCEEFF" w:val="clear"/>
            <w:vAlign w:val="bottom"/>
          </w:tcPr>
          <w:p>
            <w:pPr>
              <w:pStyle w:val="TableContents"/>
              <w:spacing w:before="0" w:after="0"/>
              <w:jc w:val="right"/>
              <w:rPr/>
            </w:pPr>
            <w:r>
              <w:rPr/>
              <w:t>—</w:t>
            </w:r>
          </w:p>
        </w:tc>
        <w:tc>
          <w:tcPr>
            <w:tcW w:w="95" w:type="dxa"/>
            <w:tcBorders/>
            <w:shd w:fill="CCEEFF" w:val="clear"/>
            <w:vAlign w:val="bottom"/>
          </w:tcPr>
          <w:p>
            <w:pPr>
              <w:pStyle w:val="TableContents"/>
              <w:spacing w:before="0" w:after="283"/>
              <w:rPr/>
            </w:pPr>
            <w:r>
              <w:rPr/>
              <w:t> </w:t>
            </w:r>
          </w:p>
        </w:tc>
      </w:tr>
      <w:tr>
        <w:trPr/>
        <w:tc>
          <w:tcPr>
            <w:tcW w:w="4700" w:type="dxa"/>
            <w:tcBorders/>
            <w:shd w:fill="auto" w:val="clear"/>
            <w:vAlign w:val="bottom"/>
          </w:tcPr>
          <w:p>
            <w:pPr>
              <w:pStyle w:val="TableContents"/>
              <w:spacing w:before="0" w:after="0"/>
              <w:ind w:left="324" w:right="0" w:hanging="144"/>
              <w:rPr>
                <w:color w:val="000000"/>
              </w:rPr>
            </w:pPr>
            <w:r>
              <w:rPr>
                <w:color w:val="000000"/>
              </w:rPr>
              <w:t>Subordinated debt securities</w:t>
            </w:r>
          </w:p>
        </w:tc>
        <w:tc>
          <w:tcPr>
            <w:tcW w:w="6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701" w:type="dxa"/>
            <w:tcBorders/>
            <w:shd w:fill="auto" w:val="clear"/>
            <w:vAlign w:val="bottom"/>
          </w:tcPr>
          <w:p>
            <w:pPr>
              <w:pStyle w:val="TableContents"/>
              <w:spacing w:before="0" w:after="0"/>
              <w:jc w:val="right"/>
              <w:rPr/>
            </w:pPr>
            <w:r>
              <w:rPr/>
              <w:t>2</w:t>
            </w:r>
          </w:p>
        </w:tc>
        <w:tc>
          <w:tcPr>
            <w:tcW w:w="119"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51" w:type="dxa"/>
            <w:tcBorders/>
            <w:shd w:fill="auto" w:val="clear"/>
            <w:vAlign w:val="bottom"/>
          </w:tcPr>
          <w:p>
            <w:pPr>
              <w:pStyle w:val="TableContents"/>
              <w:spacing w:before="0" w:after="0"/>
              <w:jc w:val="right"/>
              <w:rPr/>
            </w:pPr>
            <w:r>
              <w:rPr/>
              <w:t>(2</w:t>
            </w:r>
          </w:p>
        </w:tc>
        <w:tc>
          <w:tcPr>
            <w:tcW w:w="119" w:type="dxa"/>
            <w:tcBorders/>
            <w:shd w:fill="auto" w:val="clear"/>
            <w:vAlign w:val="bottom"/>
          </w:tcPr>
          <w:p>
            <w:pPr>
              <w:pStyle w:val="TableContents"/>
              <w:spacing w:before="0" w:after="0"/>
              <w:rPr/>
            </w:pPr>
            <w:r>
              <w:rPr/>
              <w:t>)</w:t>
            </w:r>
          </w:p>
        </w:tc>
        <w:tc>
          <w:tcPr>
            <w:tcW w:w="75"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51" w:type="dxa"/>
            <w:tcBorders/>
            <w:shd w:fill="auto" w:val="clear"/>
            <w:vAlign w:val="bottom"/>
          </w:tcPr>
          <w:p>
            <w:pPr>
              <w:pStyle w:val="TableContents"/>
              <w:spacing w:before="0" w:after="0"/>
              <w:jc w:val="right"/>
              <w:rPr/>
            </w:pPr>
            <w:r>
              <w:rPr/>
              <w:t>—</w:t>
            </w:r>
          </w:p>
        </w:tc>
        <w:tc>
          <w:tcPr>
            <w:tcW w:w="95" w:type="dxa"/>
            <w:tcBorders/>
            <w:shd w:fill="auto" w:val="clear"/>
            <w:vAlign w:val="bottom"/>
          </w:tcPr>
          <w:p>
            <w:pPr>
              <w:pStyle w:val="TableContents"/>
              <w:spacing w:before="0" w:after="283"/>
              <w:rPr/>
            </w:pPr>
            <w:r>
              <w:rPr/>
              <w:t> </w:t>
            </w:r>
          </w:p>
        </w:tc>
      </w:tr>
      <w:tr>
        <w:trPr/>
        <w:tc>
          <w:tcPr>
            <w:tcW w:w="4700" w:type="dxa"/>
            <w:tcBorders/>
            <w:shd w:fill="CCEEFF" w:val="clear"/>
            <w:vAlign w:val="bottom"/>
          </w:tcPr>
          <w:p>
            <w:pPr>
              <w:pStyle w:val="TableContents"/>
              <w:spacing w:before="0" w:after="0"/>
              <w:ind w:left="324" w:right="0" w:hanging="144"/>
              <w:rPr>
                <w:color w:val="000000"/>
              </w:rPr>
            </w:pPr>
            <w:r>
              <w:rPr>
                <w:color w:val="000000"/>
              </w:rPr>
              <w:t>Junior subordinated deferrable interest debentures</w:t>
            </w:r>
          </w:p>
        </w:tc>
        <w:tc>
          <w:tcPr>
            <w:tcW w:w="60" w:type="dxa"/>
            <w:tcBorders/>
            <w:shd w:fill="CCEEFF" w:val="clear"/>
            <w:vAlign w:val="bottom"/>
          </w:tcPr>
          <w:p>
            <w:pPr>
              <w:pStyle w:val="TableContents"/>
              <w:spacing w:before="0" w:after="283"/>
              <w:rPr/>
            </w:pPr>
            <w:r>
              <w:rPr/>
              <w:t> </w:t>
            </w:r>
          </w:p>
        </w:tc>
        <w:tc>
          <w:tcPr>
            <w:tcW w:w="175" w:type="dxa"/>
            <w:tcBorders>
              <w:bottom w:val="single" w:sz="12" w:space="0" w:color="000000"/>
            </w:tcBorders>
            <w:shd w:fill="CCEEFF" w:val="clear"/>
            <w:tcMar>
              <w:bottom w:w="28" w:type="dxa"/>
            </w:tcMar>
            <w:vAlign w:val="bottom"/>
          </w:tcPr>
          <w:p>
            <w:pPr>
              <w:pStyle w:val="TableContents"/>
              <w:spacing w:before="0" w:after="283"/>
              <w:rPr/>
            </w:pPr>
            <w:r>
              <w:rPr/>
              <w:t> </w:t>
            </w:r>
          </w:p>
        </w:tc>
        <w:tc>
          <w:tcPr>
            <w:tcW w:w="701" w:type="dxa"/>
            <w:tcBorders>
              <w:bottom w:val="single" w:sz="12" w:space="0" w:color="000000"/>
            </w:tcBorders>
            <w:shd w:fill="CCEEFF" w:val="clear"/>
            <w:tcMar>
              <w:bottom w:w="28" w:type="dxa"/>
            </w:tcMar>
            <w:vAlign w:val="bottom"/>
          </w:tcPr>
          <w:p>
            <w:pPr>
              <w:pStyle w:val="TableContents"/>
              <w:spacing w:before="0" w:after="0"/>
              <w:jc w:val="right"/>
              <w:rPr/>
            </w:pPr>
            <w:r>
              <w:rPr/>
              <w:t>—</w:t>
            </w:r>
          </w:p>
        </w:tc>
        <w:tc>
          <w:tcPr>
            <w:tcW w:w="119"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175" w:type="dxa"/>
            <w:tcBorders>
              <w:bottom w:val="single" w:sz="12" w:space="0" w:color="000000"/>
            </w:tcBorders>
            <w:shd w:fill="CCEEFF" w:val="clear"/>
            <w:tcMar>
              <w:bottom w:w="28" w:type="dxa"/>
            </w:tcMar>
            <w:vAlign w:val="bottom"/>
          </w:tcPr>
          <w:p>
            <w:pPr>
              <w:pStyle w:val="TableContents"/>
              <w:spacing w:before="0" w:after="283"/>
              <w:rPr/>
            </w:pPr>
            <w:r>
              <w:rPr/>
              <w:t> </w:t>
            </w:r>
          </w:p>
        </w:tc>
        <w:tc>
          <w:tcPr>
            <w:tcW w:w="851" w:type="dxa"/>
            <w:tcBorders>
              <w:bottom w:val="single" w:sz="12" w:space="0" w:color="000000"/>
            </w:tcBorders>
            <w:shd w:fill="CCEEFF" w:val="clear"/>
            <w:tcMar>
              <w:bottom w:w="28" w:type="dxa"/>
            </w:tcMar>
            <w:vAlign w:val="bottom"/>
          </w:tcPr>
          <w:p>
            <w:pPr>
              <w:pStyle w:val="TableContents"/>
              <w:spacing w:before="0" w:after="0"/>
              <w:jc w:val="right"/>
              <w:rPr/>
            </w:pPr>
            <w:r>
              <w:rPr/>
              <w:t>520</w:t>
            </w:r>
          </w:p>
        </w:tc>
        <w:tc>
          <w:tcPr>
            <w:tcW w:w="119"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175" w:type="dxa"/>
            <w:tcBorders>
              <w:bottom w:val="single" w:sz="12" w:space="0" w:color="000000"/>
            </w:tcBorders>
            <w:shd w:fill="CCEEFF" w:val="clear"/>
            <w:tcMar>
              <w:bottom w:w="28" w:type="dxa"/>
            </w:tcMar>
            <w:vAlign w:val="bottom"/>
          </w:tcPr>
          <w:p>
            <w:pPr>
              <w:pStyle w:val="TableContents"/>
              <w:spacing w:before="0" w:after="283"/>
              <w:rPr/>
            </w:pPr>
            <w:r>
              <w:rPr/>
              <w:t> </w:t>
            </w:r>
          </w:p>
        </w:tc>
        <w:tc>
          <w:tcPr>
            <w:tcW w:w="851" w:type="dxa"/>
            <w:tcBorders>
              <w:bottom w:val="single" w:sz="12" w:space="0" w:color="000000"/>
            </w:tcBorders>
            <w:shd w:fill="CCEEFF" w:val="clear"/>
            <w:tcMar>
              <w:bottom w:w="28" w:type="dxa"/>
            </w:tcMar>
            <w:vAlign w:val="bottom"/>
          </w:tcPr>
          <w:p>
            <w:pPr>
              <w:pStyle w:val="TableContents"/>
              <w:spacing w:before="0" w:after="0"/>
              <w:jc w:val="right"/>
              <w:rPr/>
            </w:pPr>
            <w:r>
              <w:rPr/>
              <w:t>520</w:t>
            </w:r>
          </w:p>
        </w:tc>
        <w:tc>
          <w:tcPr>
            <w:tcW w:w="95" w:type="dxa"/>
            <w:tcBorders/>
            <w:shd w:fill="CCEEFF" w:val="clear"/>
            <w:vAlign w:val="bottom"/>
          </w:tcPr>
          <w:p>
            <w:pPr>
              <w:pStyle w:val="TableContents"/>
              <w:spacing w:before="0" w:after="283"/>
              <w:rPr/>
            </w:pPr>
            <w:r>
              <w:rPr/>
              <w:t> </w:t>
            </w:r>
          </w:p>
        </w:tc>
      </w:tr>
      <w:tr>
        <w:trPr/>
        <w:tc>
          <w:tcPr>
            <w:tcW w:w="4700" w:type="dxa"/>
            <w:tcBorders/>
            <w:shd w:fill="auto" w:val="clear"/>
            <w:vAlign w:val="bottom"/>
          </w:tcPr>
          <w:p>
            <w:pPr>
              <w:pStyle w:val="TableContents"/>
              <w:spacing w:before="0" w:after="0"/>
              <w:ind w:left="504" w:right="0" w:hanging="144"/>
              <w:rPr>
                <w:color w:val="000000"/>
              </w:rPr>
            </w:pPr>
            <w:r>
              <w:rPr>
                <w:color w:val="000000"/>
              </w:rPr>
              <w:t>Total increase (decrease) interest expense:</w:t>
            </w:r>
          </w:p>
        </w:tc>
        <w:tc>
          <w:tcPr>
            <w:tcW w:w="60" w:type="dxa"/>
            <w:tcBorders/>
            <w:shd w:fill="auto" w:val="clear"/>
            <w:vAlign w:val="bottom"/>
          </w:tcPr>
          <w:p>
            <w:pPr>
              <w:pStyle w:val="TableContents"/>
              <w:spacing w:before="0" w:after="283"/>
              <w:rPr/>
            </w:pPr>
            <w:r>
              <w:rPr/>
              <w:t> </w:t>
            </w:r>
          </w:p>
        </w:tc>
        <w:tc>
          <w:tcPr>
            <w:tcW w:w="175" w:type="dxa"/>
            <w:tcBorders>
              <w:bottom w:val="single" w:sz="12" w:space="0" w:color="000000"/>
            </w:tcBorders>
            <w:shd w:fill="auto" w:val="clear"/>
            <w:tcMar>
              <w:bottom w:w="28" w:type="dxa"/>
            </w:tcMar>
            <w:vAlign w:val="bottom"/>
          </w:tcPr>
          <w:p>
            <w:pPr>
              <w:pStyle w:val="TableContents"/>
              <w:spacing w:before="0" w:after="283"/>
              <w:rPr/>
            </w:pPr>
            <w:r>
              <w:rPr/>
              <w:t> </w:t>
            </w:r>
          </w:p>
        </w:tc>
        <w:tc>
          <w:tcPr>
            <w:tcW w:w="701" w:type="dxa"/>
            <w:tcBorders>
              <w:bottom w:val="single" w:sz="12" w:space="0" w:color="000000"/>
            </w:tcBorders>
            <w:shd w:fill="auto" w:val="clear"/>
            <w:tcMar>
              <w:bottom w:w="28" w:type="dxa"/>
            </w:tcMar>
            <w:vAlign w:val="bottom"/>
          </w:tcPr>
          <w:p>
            <w:pPr>
              <w:pStyle w:val="TableContents"/>
              <w:spacing w:before="0" w:after="0"/>
              <w:jc w:val="right"/>
              <w:rPr/>
            </w:pPr>
            <w:r>
              <w:rPr/>
              <w:t>(133</w:t>
            </w:r>
          </w:p>
        </w:tc>
        <w:tc>
          <w:tcPr>
            <w:tcW w:w="119" w:type="dxa"/>
            <w:tcBorders/>
            <w:shd w:fill="auto" w:val="clear"/>
            <w:vAlign w:val="bottom"/>
          </w:tcPr>
          <w:p>
            <w:pPr>
              <w:pStyle w:val="TableContents"/>
              <w:spacing w:before="0" w:after="0"/>
              <w:rPr/>
            </w:pPr>
            <w:r>
              <w:rPr/>
              <w:t>)</w:t>
            </w:r>
          </w:p>
        </w:tc>
        <w:tc>
          <w:tcPr>
            <w:tcW w:w="75" w:type="dxa"/>
            <w:tcBorders/>
            <w:shd w:fill="auto" w:val="clear"/>
            <w:vAlign w:val="bottom"/>
          </w:tcPr>
          <w:p>
            <w:pPr>
              <w:pStyle w:val="TableContents"/>
              <w:spacing w:before="0" w:after="283"/>
              <w:rPr/>
            </w:pPr>
            <w:r>
              <w:rPr/>
              <w:t> </w:t>
            </w:r>
          </w:p>
        </w:tc>
        <w:tc>
          <w:tcPr>
            <w:tcW w:w="175" w:type="dxa"/>
            <w:tcBorders>
              <w:bottom w:val="single" w:sz="12" w:space="0" w:color="000000"/>
            </w:tcBorders>
            <w:shd w:fill="auto" w:val="clear"/>
            <w:tcMar>
              <w:bottom w:w="28" w:type="dxa"/>
            </w:tcMar>
            <w:vAlign w:val="bottom"/>
          </w:tcPr>
          <w:p>
            <w:pPr>
              <w:pStyle w:val="TableContents"/>
              <w:spacing w:before="0" w:after="283"/>
              <w:rPr/>
            </w:pPr>
            <w:r>
              <w:rPr/>
              <w:t> </w:t>
            </w:r>
          </w:p>
        </w:tc>
        <w:tc>
          <w:tcPr>
            <w:tcW w:w="851" w:type="dxa"/>
            <w:tcBorders>
              <w:bottom w:val="single" w:sz="12" w:space="0" w:color="000000"/>
            </w:tcBorders>
            <w:shd w:fill="auto" w:val="clear"/>
            <w:tcMar>
              <w:bottom w:w="28" w:type="dxa"/>
            </w:tcMar>
            <w:vAlign w:val="bottom"/>
          </w:tcPr>
          <w:p>
            <w:pPr>
              <w:pStyle w:val="TableContents"/>
              <w:spacing w:before="0" w:after="0"/>
              <w:jc w:val="right"/>
              <w:rPr/>
            </w:pPr>
            <w:r>
              <w:rPr/>
              <w:t>10,133</w:t>
            </w:r>
          </w:p>
        </w:tc>
        <w:tc>
          <w:tcPr>
            <w:tcW w:w="119"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175" w:type="dxa"/>
            <w:tcBorders>
              <w:bottom w:val="single" w:sz="12" w:space="0" w:color="000000"/>
            </w:tcBorders>
            <w:shd w:fill="auto" w:val="clear"/>
            <w:tcMar>
              <w:bottom w:w="28" w:type="dxa"/>
            </w:tcMar>
            <w:vAlign w:val="bottom"/>
          </w:tcPr>
          <w:p>
            <w:pPr>
              <w:pStyle w:val="TableContents"/>
              <w:spacing w:before="0" w:after="283"/>
              <w:rPr/>
            </w:pPr>
            <w:r>
              <w:rPr/>
              <w:t> </w:t>
            </w:r>
          </w:p>
        </w:tc>
        <w:tc>
          <w:tcPr>
            <w:tcW w:w="851" w:type="dxa"/>
            <w:tcBorders>
              <w:bottom w:val="single" w:sz="12" w:space="0" w:color="000000"/>
            </w:tcBorders>
            <w:shd w:fill="auto" w:val="clear"/>
            <w:tcMar>
              <w:bottom w:w="28" w:type="dxa"/>
            </w:tcMar>
            <w:vAlign w:val="bottom"/>
          </w:tcPr>
          <w:p>
            <w:pPr>
              <w:pStyle w:val="TableContents"/>
              <w:spacing w:before="0" w:after="0"/>
              <w:jc w:val="right"/>
              <w:rPr/>
            </w:pPr>
            <w:r>
              <w:rPr/>
              <w:t>10,000</w:t>
            </w:r>
          </w:p>
        </w:tc>
        <w:tc>
          <w:tcPr>
            <w:tcW w:w="95" w:type="dxa"/>
            <w:tcBorders/>
            <w:shd w:fill="auto" w:val="clear"/>
            <w:vAlign w:val="bottom"/>
          </w:tcPr>
          <w:p>
            <w:pPr>
              <w:pStyle w:val="TableContents"/>
              <w:spacing w:before="0" w:after="283"/>
              <w:rPr/>
            </w:pPr>
            <w:r>
              <w:rPr/>
              <w:t> </w:t>
            </w:r>
          </w:p>
        </w:tc>
      </w:tr>
      <w:tr>
        <w:trPr/>
        <w:tc>
          <w:tcPr>
            <w:tcW w:w="470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701" w:type="dxa"/>
            <w:tcBorders/>
            <w:shd w:fill="CCEEFF" w:val="clear"/>
            <w:vAlign w:val="bottom"/>
          </w:tcPr>
          <w:p>
            <w:pPr>
              <w:pStyle w:val="TableContents"/>
              <w:spacing w:before="0" w:after="283"/>
              <w:jc w:val="right"/>
              <w:rPr/>
            </w:pPr>
            <w:r>
              <w:rPr/>
              <w:t> </w:t>
            </w:r>
          </w:p>
        </w:tc>
        <w:tc>
          <w:tcPr>
            <w:tcW w:w="119"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851" w:type="dxa"/>
            <w:tcBorders/>
            <w:shd w:fill="CCEEFF" w:val="clear"/>
            <w:vAlign w:val="bottom"/>
          </w:tcPr>
          <w:p>
            <w:pPr>
              <w:pStyle w:val="TableContents"/>
              <w:spacing w:before="0" w:after="283"/>
              <w:jc w:val="right"/>
              <w:rPr/>
            </w:pPr>
            <w:r>
              <w:rPr/>
              <w:t> </w:t>
            </w:r>
          </w:p>
        </w:tc>
        <w:tc>
          <w:tcPr>
            <w:tcW w:w="119"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851" w:type="dxa"/>
            <w:tcBorders/>
            <w:shd w:fill="CCEEFF" w:val="clear"/>
            <w:vAlign w:val="bottom"/>
          </w:tcPr>
          <w:p>
            <w:pPr>
              <w:pStyle w:val="TableContents"/>
              <w:spacing w:before="0" w:after="283"/>
              <w:jc w:val="right"/>
              <w:rPr/>
            </w:pPr>
            <w:r>
              <w:rPr/>
              <w:t> </w:t>
            </w:r>
          </w:p>
        </w:tc>
        <w:tc>
          <w:tcPr>
            <w:tcW w:w="95" w:type="dxa"/>
            <w:tcBorders/>
            <w:shd w:fill="CCEEFF" w:val="clear"/>
            <w:vAlign w:val="bottom"/>
          </w:tcPr>
          <w:p>
            <w:pPr>
              <w:pStyle w:val="TableContents"/>
              <w:spacing w:before="0" w:after="283"/>
              <w:rPr/>
            </w:pPr>
            <w:r>
              <w:rPr/>
              <w:t> </w:t>
            </w:r>
          </w:p>
        </w:tc>
      </w:tr>
      <w:tr>
        <w:trPr/>
        <w:tc>
          <w:tcPr>
            <w:tcW w:w="4700" w:type="dxa"/>
            <w:tcBorders/>
            <w:shd w:fill="auto" w:val="clear"/>
            <w:vAlign w:val="bottom"/>
          </w:tcPr>
          <w:p>
            <w:pPr>
              <w:pStyle w:val="TableContents"/>
              <w:spacing w:before="0" w:after="0"/>
              <w:ind w:left="144" w:right="0" w:hanging="144"/>
              <w:rPr>
                <w:color w:val="000000"/>
              </w:rPr>
            </w:pPr>
            <w:r>
              <w:rPr>
                <w:color w:val="000000"/>
              </w:rPr>
              <w:t>Increase (decrease) in net interest income</w:t>
            </w:r>
          </w:p>
        </w:tc>
        <w:tc>
          <w:tcPr>
            <w:tcW w:w="60" w:type="dxa"/>
            <w:tcBorders/>
            <w:shd w:fill="auto" w:val="clear"/>
            <w:vAlign w:val="bottom"/>
          </w:tcPr>
          <w:p>
            <w:pPr>
              <w:pStyle w:val="TableContents"/>
              <w:spacing w:before="0" w:after="283"/>
              <w:rPr/>
            </w:pPr>
            <w:r>
              <w:rPr/>
              <w:t> </w:t>
            </w:r>
          </w:p>
        </w:tc>
        <w:tc>
          <w:tcPr>
            <w:tcW w:w="175" w:type="dxa"/>
            <w:tcBorders>
              <w:bottom w:val="double" w:sz="8" w:space="0" w:color="000000"/>
            </w:tcBorders>
            <w:shd w:fill="auto" w:val="clear"/>
            <w:tcMar>
              <w:bottom w:w="28" w:type="dxa"/>
            </w:tcMar>
            <w:vAlign w:val="bottom"/>
          </w:tcPr>
          <w:p>
            <w:pPr>
              <w:pStyle w:val="TableContents"/>
              <w:spacing w:before="0" w:after="0"/>
              <w:rPr/>
            </w:pPr>
            <w:r>
              <w:rPr/>
              <w:t>$</w:t>
            </w:r>
          </w:p>
        </w:tc>
        <w:tc>
          <w:tcPr>
            <w:tcW w:w="701" w:type="dxa"/>
            <w:tcBorders>
              <w:bottom w:val="double" w:sz="8" w:space="0" w:color="000000"/>
            </w:tcBorders>
            <w:shd w:fill="auto" w:val="clear"/>
            <w:tcMar>
              <w:bottom w:w="28" w:type="dxa"/>
            </w:tcMar>
            <w:vAlign w:val="bottom"/>
          </w:tcPr>
          <w:p>
            <w:pPr>
              <w:pStyle w:val="TableContents"/>
              <w:spacing w:before="0" w:after="0"/>
              <w:jc w:val="right"/>
              <w:rPr/>
            </w:pPr>
            <w:r>
              <w:rPr/>
              <w:t>3,765</w:t>
            </w:r>
          </w:p>
        </w:tc>
        <w:tc>
          <w:tcPr>
            <w:tcW w:w="119"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175" w:type="dxa"/>
            <w:tcBorders>
              <w:bottom w:val="double" w:sz="8" w:space="0" w:color="000000"/>
            </w:tcBorders>
            <w:shd w:fill="auto" w:val="clear"/>
            <w:tcMar>
              <w:bottom w:w="28" w:type="dxa"/>
            </w:tcMar>
            <w:vAlign w:val="bottom"/>
          </w:tcPr>
          <w:p>
            <w:pPr>
              <w:pStyle w:val="TableContents"/>
              <w:spacing w:before="0" w:after="0"/>
              <w:rPr/>
            </w:pPr>
            <w:r>
              <w:rPr/>
              <w:t>$</w:t>
            </w:r>
          </w:p>
        </w:tc>
        <w:tc>
          <w:tcPr>
            <w:tcW w:w="851" w:type="dxa"/>
            <w:tcBorders>
              <w:bottom w:val="double" w:sz="8" w:space="0" w:color="000000"/>
            </w:tcBorders>
            <w:shd w:fill="auto" w:val="clear"/>
            <w:tcMar>
              <w:bottom w:w="28" w:type="dxa"/>
            </w:tcMar>
            <w:vAlign w:val="bottom"/>
          </w:tcPr>
          <w:p>
            <w:pPr>
              <w:pStyle w:val="TableContents"/>
              <w:spacing w:before="0" w:after="0"/>
              <w:jc w:val="right"/>
              <w:rPr/>
            </w:pPr>
            <w:r>
              <w:rPr/>
              <w:t>600</w:t>
            </w:r>
          </w:p>
        </w:tc>
        <w:tc>
          <w:tcPr>
            <w:tcW w:w="119"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175" w:type="dxa"/>
            <w:tcBorders>
              <w:bottom w:val="double" w:sz="8" w:space="0" w:color="000000"/>
            </w:tcBorders>
            <w:shd w:fill="auto" w:val="clear"/>
            <w:tcMar>
              <w:bottom w:w="28" w:type="dxa"/>
            </w:tcMar>
            <w:vAlign w:val="bottom"/>
          </w:tcPr>
          <w:p>
            <w:pPr>
              <w:pStyle w:val="TableContents"/>
              <w:spacing w:before="0" w:after="0"/>
              <w:rPr/>
            </w:pPr>
            <w:r>
              <w:rPr/>
              <w:t>$</w:t>
            </w:r>
          </w:p>
        </w:tc>
        <w:tc>
          <w:tcPr>
            <w:tcW w:w="851" w:type="dxa"/>
            <w:tcBorders>
              <w:bottom w:val="double" w:sz="8" w:space="0" w:color="000000"/>
            </w:tcBorders>
            <w:shd w:fill="auto" w:val="clear"/>
            <w:tcMar>
              <w:bottom w:w="28" w:type="dxa"/>
            </w:tcMar>
            <w:vAlign w:val="bottom"/>
          </w:tcPr>
          <w:p>
            <w:pPr>
              <w:pStyle w:val="TableContents"/>
              <w:spacing w:before="0" w:after="0"/>
              <w:jc w:val="right"/>
              <w:rPr/>
            </w:pPr>
            <w:r>
              <w:rPr/>
              <w:t>4,365</w:t>
            </w:r>
          </w:p>
        </w:tc>
        <w:tc>
          <w:tcPr>
            <w:tcW w:w="95" w:type="dxa"/>
            <w:tcBorders/>
            <w:shd w:fill="auto" w:val="clear"/>
            <w:vAlign w:val="bottom"/>
          </w:tcPr>
          <w:p>
            <w:pPr>
              <w:pStyle w:val="TableContents"/>
              <w:spacing w:before="0" w:after="283"/>
              <w:rPr/>
            </w:pPr>
            <w:r>
              <w:rPr/>
              <w:t> </w:t>
            </w:r>
          </w:p>
        </w:tc>
      </w:tr>
    </w:tbl>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Net interest income for the three months ended March 31, 2023 was $34.3 million, compared to $29.9 million for the three months ended March 31, 2022, an increase of $4.4 million, or 14.6%. The increase in net interest income was comprised of an increase of $14.4 million, or 43.4%, in interest income, partially offset by a $10.0 million, or 319.2%, increase in interest expense. Since March 1, 2022, the Federal Open Market Committee (“FOMC”) of the Federal Reserve repeatedly raised their target benchmark interest rate in response to the ongoing inflationary environment in the United States, resulting in subsequent prime rate increases of 475 basis points as of March 31, 2023. Interest income on loans grew $10.2 million and was primarily attributable to a $296.3 million increase in average loan balances and a 98 basis point increase in interest rates for the three months ended March 31, 2023, compared to the three months ended March 31, 2022. The increase in loan balances was due to organic loan growth throughout the portfolio. Interest income on securities and other interest-earning assets grew $4.1 million during the first quarter of 2023, compared to the first quarter of 2022, largely due to securities purchases in the first half of 2022 and rising market interest rates.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$10.0 million increase in interest expense for the three months ended March 31, 2023 was primarily related to a 169 basis point increase in the rate paid on interest-bearing liabilities over the same period in 2022. The increase in the rate paid on interest-bearing liabilities was primarily as a result of the significantly rising short-term interest rates on interest-bearing liabilities, with the increase being mainly comprised of interest expense on deposits. Additionally, average noninterest-bearing demand deposits and average interest-bearing deposits were flat at March 31, 2023 as compared to March 31, 2022.</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For the three months ended March 31, 2023, net interest margin and net interest spread were 3.75% and 2.95%, respectively, compared to 3.33% and 3.14%, respectively, for the same period in 2022, which reflects the changes in interest income and interest expense discussed above.</w:t>
      </w:r>
    </w:p>
    <w:p>
      <w:pPr>
        <w:pStyle w:val="TextBody"/>
        <w:spacing w:before="0" w:after="0"/>
        <w:jc w:val="left"/>
        <w:rPr/>
      </w:pPr>
      <w:r>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Provision for Credit Losses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Credit risk is inherent in the business of making loans. We establish an allowance for credit losses (“ACL”) through charges to earnings, which are shown in the statements of comprehensive income (loss) as the provision for credit losses. Credit losses on loans are charged against the allowance when management believes the uncollectibility of a loan balance is confirmed. The provision for credit losses is determined by conducting a quarterly evaluation of the adequacy of our allowance for credit losses and charging the shortfall or excess, if any, to the current quarter’s expense. This has the effect of creating variability in the amount and frequency of charges to our earnings. The provision for credit losses and the amount of allowance for each period are dependent upon many factors, including loan growth, net charge offs, changes in the composition of the loan portfolio, delinquencies, management’s assessment of the quality of the loan portfolio, the valuation of problem loans and the general economic conditions in our market areas.</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34</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b w:val="false"/>
            <w:i/>
            <w:color w:val="000000"/>
            <w:sz w:val="16"/>
          </w:rPr>
          <w:t>Table of Contents</w:t>
        </w:r>
      </w:hyperlink>
    </w:p>
    <w:p>
      <w:pPr>
        <w:pStyle w:val="TextBody"/>
        <w:spacing w:before="0" w:after="0"/>
        <w:jc w:val="both"/>
        <w:rPr>
          <w:rFonts w:ascii="Times New Roman" w:hAnsi="Times New Roman"/>
          <w:color w:val="000000"/>
          <w:sz w:val="20"/>
        </w:rPr>
      </w:pPr>
      <w:r>
        <w:rPr>
          <w:rFonts w:ascii="Times New Roman" w:hAnsi="Times New Roman"/>
          <w:color w:val="000000"/>
          <w:sz w:val="20"/>
        </w:rPr>
        <w:t>The provision for credit losses for the three months ended March 31, 2023 was $1.0 million, compared to a negative $2.1 million for the three months ended March 31, 2022. During the first quarter of 2023, the provision for credit losses for loans was $0.8 million and the provision for credit losses on off-balance sheet credit exposures was $0.2 million, both primarily as a result of organic growth during the quarter. The negative provision in the first quarter of 2022 was primarily due to the improved credit metrics in the loan portfolio, specifically in the hotel segment, direct energy segment, and other Permian Basin-related credits. Forecasted economic conditions continue to remain uncertain due to the interest rate environment and persistent high inflation levels in the United States, and provisions for credit losses may be necessary in future periods. The allowance for credit losses as a percentage of loans held for investment was 1.42% at March 31, 2023 and 1.43% at December 31, 2022. Further discussion of the allowance for credit losses is noted below.</w:t>
      </w:r>
    </w:p>
    <w:p>
      <w:pPr>
        <w:pStyle w:val="TextBody"/>
        <w:spacing w:before="0" w:after="0"/>
        <w:jc w:val="left"/>
        <w:rPr/>
      </w:pPr>
      <w:r>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Noninterest Income</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While interest income remains the largest single component of total revenues, noninterest income is an important contributing component. The largest portion of our noninterest income is associated with our mortgage banking activities. Other sources of noninterest income include service charges on deposit accounts, bank card services and interchange fees, and income from insurance activities.</w:t>
      </w:r>
    </w:p>
    <w:p>
      <w:pPr>
        <w:pStyle w:val="TextBody"/>
        <w:spacing w:before="0" w:after="0"/>
        <w:jc w:val="left"/>
        <w:rPr/>
      </w:pPr>
      <w:r>
        <w:rPr/>
      </w:r>
    </w:p>
    <w:p>
      <w:pPr>
        <w:pStyle w:val="TextBody"/>
        <w:spacing w:before="0" w:after="0"/>
        <w:jc w:val="left"/>
        <w:rPr>
          <w:rFonts w:ascii="Times New Roman" w:hAnsi="Times New Roman"/>
          <w:color w:val="000000"/>
          <w:sz w:val="20"/>
        </w:rPr>
      </w:pPr>
      <w:r>
        <w:rPr>
          <w:rFonts w:ascii="Times New Roman" w:hAnsi="Times New Roman"/>
          <w:color w:val="000000"/>
          <w:sz w:val="20"/>
        </w:rPr>
        <w:t>The following table sets forth the major components of our noninterest income for the periods indicated:</w:t>
      </w:r>
    </w:p>
    <w:p>
      <w:pPr>
        <w:pStyle w:val="TextBody"/>
        <w:spacing w:before="0" w:after="0"/>
        <w:jc w:val="left"/>
        <w:rPr/>
      </w:pPr>
      <w:r>
        <w:rPr/>
      </w:r>
    </w:p>
    <w:tbl>
      <w:tblPr>
        <w:tblW w:w="6919" w:type="dxa"/>
        <w:jc w:val="left"/>
        <w:tblInd w:w="0" w:type="dxa"/>
        <w:tblCellMar>
          <w:top w:w="0" w:type="dxa"/>
          <w:left w:w="0" w:type="dxa"/>
          <w:bottom w:w="0" w:type="dxa"/>
          <w:right w:w="0" w:type="dxa"/>
        </w:tblCellMar>
      </w:tblPr>
      <w:tblGrid>
        <w:gridCol w:w="3800"/>
        <w:gridCol w:w="60"/>
        <w:gridCol w:w="140"/>
        <w:gridCol w:w="680"/>
        <w:gridCol w:w="60"/>
        <w:gridCol w:w="60"/>
        <w:gridCol w:w="140"/>
        <w:gridCol w:w="680"/>
        <w:gridCol w:w="60"/>
        <w:gridCol w:w="60"/>
        <w:gridCol w:w="168"/>
        <w:gridCol w:w="916"/>
        <w:gridCol w:w="95"/>
      </w:tblGrid>
      <w:tr>
        <w:trPr/>
        <w:tc>
          <w:tcPr>
            <w:tcW w:w="38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64" w:type="dxa"/>
            <w:gridSpan w:val="10"/>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Three Months Ended</w:t>
            </w:r>
          </w:p>
          <w:p>
            <w:pPr>
              <w:pStyle w:val="TableContents"/>
              <w:spacing w:before="0" w:after="0"/>
              <w:jc w:val="center"/>
              <w:rPr>
                <w:b/>
              </w:rPr>
            </w:pPr>
            <w:r>
              <w:rPr>
                <w:b/>
              </w:rPr>
              <w:t>March 31,</w:t>
            </w:r>
          </w:p>
        </w:tc>
        <w:tc>
          <w:tcPr>
            <w:tcW w:w="95" w:type="dxa"/>
            <w:tcBorders/>
            <w:shd w:fill="auto" w:val="clear"/>
            <w:vAlign w:val="bottom"/>
          </w:tcPr>
          <w:p>
            <w:pPr>
              <w:pStyle w:val="TableContents"/>
              <w:spacing w:before="0" w:after="283"/>
              <w:rPr/>
            </w:pPr>
            <w:r>
              <w:rPr/>
              <w:t> </w:t>
            </w:r>
          </w:p>
        </w:tc>
      </w:tr>
      <w:tr>
        <w:trPr/>
        <w:tc>
          <w:tcPr>
            <w:tcW w:w="38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0"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2023</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0"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2022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84"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Increase</w:t>
            </w:r>
          </w:p>
          <w:p>
            <w:pPr>
              <w:pStyle w:val="TableContents"/>
              <w:spacing w:before="0" w:after="0"/>
              <w:jc w:val="center"/>
              <w:rPr>
                <w:b/>
                <w:color w:val="000000"/>
              </w:rPr>
            </w:pPr>
            <w:r>
              <w:rPr>
                <w:b/>
                <w:color w:val="000000"/>
              </w:rPr>
              <w:t>(Decrease)</w:t>
            </w:r>
          </w:p>
        </w:tc>
        <w:tc>
          <w:tcPr>
            <w:tcW w:w="95" w:type="dxa"/>
            <w:tcBorders/>
            <w:shd w:fill="auto" w:val="clear"/>
            <w:vAlign w:val="bottom"/>
          </w:tcPr>
          <w:p>
            <w:pPr>
              <w:pStyle w:val="TableContents"/>
              <w:spacing w:before="0" w:after="283"/>
              <w:rPr/>
            </w:pPr>
            <w:r>
              <w:rPr/>
              <w:t> </w:t>
            </w:r>
          </w:p>
        </w:tc>
      </w:tr>
      <w:tr>
        <w:trPr/>
        <w:tc>
          <w:tcPr>
            <w:tcW w:w="38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64" w:type="dxa"/>
            <w:gridSpan w:val="10"/>
            <w:tcBorders/>
            <w:shd w:fill="auto" w:val="clear"/>
            <w:vAlign w:val="bottom"/>
          </w:tcPr>
          <w:p>
            <w:pPr>
              <w:pStyle w:val="TableContents"/>
              <w:spacing w:before="0" w:after="0"/>
              <w:jc w:val="center"/>
              <w:rPr>
                <w:b/>
                <w:color w:val="000000"/>
              </w:rPr>
            </w:pPr>
            <w:r>
              <w:rPr>
                <w:b/>
                <w:color w:val="000000"/>
              </w:rPr>
              <w:t>(Dollars in thousands)</w:t>
            </w:r>
          </w:p>
        </w:tc>
        <w:tc>
          <w:tcPr>
            <w:tcW w:w="95" w:type="dxa"/>
            <w:tcBorders/>
            <w:shd w:fill="auto" w:val="clear"/>
            <w:vAlign w:val="bottom"/>
          </w:tcPr>
          <w:p>
            <w:pPr>
              <w:pStyle w:val="TableContents"/>
              <w:spacing w:before="0" w:after="283"/>
              <w:rPr/>
            </w:pPr>
            <w:r>
              <w:rPr/>
              <w:t> </w:t>
            </w:r>
          </w:p>
        </w:tc>
      </w:tr>
      <w:tr>
        <w:trPr/>
        <w:tc>
          <w:tcPr>
            <w:tcW w:w="3800" w:type="dxa"/>
            <w:tcBorders/>
            <w:shd w:fill="auto" w:val="clear"/>
            <w:vAlign w:val="bottom"/>
          </w:tcPr>
          <w:p>
            <w:pPr>
              <w:pStyle w:val="TableContents"/>
              <w:spacing w:before="0" w:after="0"/>
              <w:ind w:left="144" w:right="0" w:hanging="144"/>
              <w:rPr>
                <w:b/>
                <w:color w:val="000000"/>
              </w:rPr>
            </w:pPr>
            <w:r>
              <w:rPr>
                <w:b/>
                <w:color w:val="000000"/>
              </w:rPr>
              <w:t>Noninterest income:</w:t>
            </w:r>
          </w:p>
        </w:tc>
        <w:tc>
          <w:tcPr>
            <w:tcW w:w="60" w:type="dxa"/>
            <w:tcBorders/>
            <w:shd w:fill="auto" w:val="clear"/>
            <w:vAlign w:val="bottom"/>
          </w:tcPr>
          <w:p>
            <w:pPr>
              <w:pStyle w:val="TableContents"/>
              <w:spacing w:before="0" w:after="283"/>
              <w:rPr/>
            </w:pPr>
            <w:r>
              <w:rPr/>
              <w:t> </w:t>
            </w:r>
          </w:p>
        </w:tc>
        <w:tc>
          <w:tcPr>
            <w:tcW w:w="82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84" w:type="dxa"/>
            <w:gridSpan w:val="2"/>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r>
      <w:tr>
        <w:trPr/>
        <w:tc>
          <w:tcPr>
            <w:tcW w:w="3800" w:type="dxa"/>
            <w:tcBorders/>
            <w:shd w:fill="CCEEFF" w:val="clear"/>
            <w:vAlign w:val="bottom"/>
          </w:tcPr>
          <w:p>
            <w:pPr>
              <w:pStyle w:val="TableContents"/>
              <w:spacing w:before="0" w:after="0"/>
              <w:ind w:left="324" w:right="0" w:hanging="144"/>
              <w:rPr>
                <w:color w:val="000000"/>
              </w:rPr>
            </w:pPr>
            <w:r>
              <w:rPr>
                <w:color w:val="000000"/>
              </w:rPr>
              <w:t>Service charges on deposit accounts</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pPr>
            <w:r>
              <w:rPr/>
              <w:t>$</w:t>
            </w:r>
          </w:p>
        </w:tc>
        <w:tc>
          <w:tcPr>
            <w:tcW w:w="680" w:type="dxa"/>
            <w:tcBorders/>
            <w:shd w:fill="CCEEFF" w:val="clear"/>
            <w:vAlign w:val="bottom"/>
          </w:tcPr>
          <w:p>
            <w:pPr>
              <w:pStyle w:val="TableContents"/>
              <w:spacing w:before="0" w:after="0"/>
              <w:jc w:val="right"/>
              <w:rPr/>
            </w:pPr>
            <w:r>
              <w:rPr/>
              <w:t>1,701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pPr>
            <w:r>
              <w:rPr/>
              <w:t>$</w:t>
            </w:r>
          </w:p>
        </w:tc>
        <w:tc>
          <w:tcPr>
            <w:tcW w:w="680" w:type="dxa"/>
            <w:tcBorders/>
            <w:shd w:fill="CCEEFF" w:val="clear"/>
            <w:vAlign w:val="bottom"/>
          </w:tcPr>
          <w:p>
            <w:pPr>
              <w:pStyle w:val="TableContents"/>
              <w:spacing w:before="0" w:after="0"/>
              <w:jc w:val="right"/>
              <w:rPr/>
            </w:pPr>
            <w:r>
              <w:rPr/>
              <w:t>1,773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0"/>
              <w:rPr/>
            </w:pPr>
            <w:r>
              <w:rPr/>
              <w:t>$</w:t>
            </w:r>
          </w:p>
        </w:tc>
        <w:tc>
          <w:tcPr>
            <w:tcW w:w="916" w:type="dxa"/>
            <w:tcBorders/>
            <w:shd w:fill="CCEEFF" w:val="clear"/>
            <w:vAlign w:val="bottom"/>
          </w:tcPr>
          <w:p>
            <w:pPr>
              <w:pStyle w:val="TableContents"/>
              <w:spacing w:before="0" w:after="0"/>
              <w:jc w:val="right"/>
              <w:rPr/>
            </w:pPr>
            <w:r>
              <w:rPr/>
              <w:t>(72</w:t>
            </w:r>
          </w:p>
        </w:tc>
        <w:tc>
          <w:tcPr>
            <w:tcW w:w="95" w:type="dxa"/>
            <w:tcBorders/>
            <w:shd w:fill="CCEEFF" w:val="clear"/>
            <w:vAlign w:val="bottom"/>
          </w:tcPr>
          <w:p>
            <w:pPr>
              <w:pStyle w:val="TableContents"/>
              <w:spacing w:before="0" w:after="0"/>
              <w:rPr/>
            </w:pPr>
            <w:r>
              <w:rPr/>
              <w:t>)</w:t>
            </w:r>
          </w:p>
        </w:tc>
      </w:tr>
      <w:tr>
        <w:trPr/>
        <w:tc>
          <w:tcPr>
            <w:tcW w:w="3800" w:type="dxa"/>
            <w:tcBorders/>
            <w:shd w:fill="auto" w:val="clear"/>
            <w:vAlign w:val="bottom"/>
          </w:tcPr>
          <w:p>
            <w:pPr>
              <w:pStyle w:val="TableContents"/>
              <w:spacing w:before="0" w:after="0"/>
              <w:ind w:left="324" w:right="0" w:hanging="144"/>
              <w:rPr>
                <w:color w:val="000000"/>
              </w:rPr>
            </w:pPr>
            <w:r>
              <w:rPr>
                <w:color w:val="000000"/>
              </w:rPr>
              <w:t>Income from insurance activities</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0"/>
              <w:jc w:val="right"/>
              <w:rPr/>
            </w:pPr>
            <w:r>
              <w:rPr/>
              <w:t>1,411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0"/>
              <w:jc w:val="right"/>
              <w:rPr/>
            </w:pPr>
            <w:r>
              <w:rPr/>
              <w:t>1,570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916" w:type="dxa"/>
            <w:tcBorders/>
            <w:shd w:fill="auto" w:val="clear"/>
            <w:vAlign w:val="bottom"/>
          </w:tcPr>
          <w:p>
            <w:pPr>
              <w:pStyle w:val="TableContents"/>
              <w:spacing w:before="0" w:after="0"/>
              <w:jc w:val="right"/>
              <w:rPr/>
            </w:pPr>
            <w:r>
              <w:rPr/>
              <w:t>(159</w:t>
            </w:r>
          </w:p>
        </w:tc>
        <w:tc>
          <w:tcPr>
            <w:tcW w:w="95" w:type="dxa"/>
            <w:tcBorders/>
            <w:shd w:fill="auto" w:val="clear"/>
            <w:vAlign w:val="bottom"/>
          </w:tcPr>
          <w:p>
            <w:pPr>
              <w:pStyle w:val="TableContents"/>
              <w:spacing w:before="0" w:after="0"/>
              <w:rPr/>
            </w:pPr>
            <w:r>
              <w:rPr/>
              <w:t>)</w:t>
            </w:r>
          </w:p>
        </w:tc>
      </w:tr>
      <w:tr>
        <w:trPr/>
        <w:tc>
          <w:tcPr>
            <w:tcW w:w="3800" w:type="dxa"/>
            <w:tcBorders/>
            <w:shd w:fill="CCEEFF" w:val="clear"/>
            <w:vAlign w:val="bottom"/>
          </w:tcPr>
          <w:p>
            <w:pPr>
              <w:pStyle w:val="TableContents"/>
              <w:spacing w:before="0" w:after="0"/>
              <w:ind w:left="324" w:right="0" w:hanging="144"/>
              <w:rPr>
                <w:color w:val="000000"/>
              </w:rPr>
            </w:pPr>
            <w:r>
              <w:rPr>
                <w:color w:val="000000"/>
              </w:rPr>
              <w:t>Bank card services and interchange fees</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pPr>
            <w:r>
              <w:rPr/>
              <w:t>2,956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pPr>
            <w:r>
              <w:rPr/>
              <w:t>3,222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916" w:type="dxa"/>
            <w:tcBorders/>
            <w:shd w:fill="CCEEFF" w:val="clear"/>
            <w:vAlign w:val="bottom"/>
          </w:tcPr>
          <w:p>
            <w:pPr>
              <w:pStyle w:val="TableContents"/>
              <w:spacing w:before="0" w:after="0"/>
              <w:jc w:val="right"/>
              <w:rPr/>
            </w:pPr>
            <w:r>
              <w:rPr/>
              <w:t>(266</w:t>
            </w:r>
          </w:p>
        </w:tc>
        <w:tc>
          <w:tcPr>
            <w:tcW w:w="95" w:type="dxa"/>
            <w:tcBorders/>
            <w:shd w:fill="CCEEFF" w:val="clear"/>
            <w:vAlign w:val="bottom"/>
          </w:tcPr>
          <w:p>
            <w:pPr>
              <w:pStyle w:val="TableContents"/>
              <w:spacing w:before="0" w:after="0"/>
              <w:rPr/>
            </w:pPr>
            <w:r>
              <w:rPr/>
              <w:t>)</w:t>
            </w:r>
          </w:p>
        </w:tc>
      </w:tr>
      <w:tr>
        <w:trPr/>
        <w:tc>
          <w:tcPr>
            <w:tcW w:w="3800" w:type="dxa"/>
            <w:tcBorders/>
            <w:shd w:fill="auto" w:val="clear"/>
            <w:vAlign w:val="bottom"/>
          </w:tcPr>
          <w:p>
            <w:pPr>
              <w:pStyle w:val="TableContents"/>
              <w:spacing w:before="0" w:after="0"/>
              <w:ind w:left="324" w:right="0" w:hanging="144"/>
              <w:rPr>
                <w:color w:val="000000"/>
              </w:rPr>
            </w:pPr>
            <w:r>
              <w:rPr>
                <w:color w:val="000000"/>
              </w:rPr>
              <w:t>Mortgage banking activities</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0"/>
              <w:jc w:val="right"/>
              <w:rPr/>
            </w:pPr>
            <w:r>
              <w:rPr/>
              <w:t>2,286</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0"/>
              <w:jc w:val="right"/>
              <w:rPr/>
            </w:pPr>
            <w:r>
              <w:rPr/>
              <w:t>13,637</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916" w:type="dxa"/>
            <w:tcBorders/>
            <w:shd w:fill="auto" w:val="clear"/>
            <w:vAlign w:val="bottom"/>
          </w:tcPr>
          <w:p>
            <w:pPr>
              <w:pStyle w:val="TableContents"/>
              <w:spacing w:before="0" w:after="0"/>
              <w:jc w:val="right"/>
              <w:rPr/>
            </w:pPr>
            <w:r>
              <w:rPr/>
              <w:t>(11,351</w:t>
            </w:r>
          </w:p>
        </w:tc>
        <w:tc>
          <w:tcPr>
            <w:tcW w:w="95" w:type="dxa"/>
            <w:tcBorders/>
            <w:shd w:fill="auto" w:val="clear"/>
            <w:vAlign w:val="bottom"/>
          </w:tcPr>
          <w:p>
            <w:pPr>
              <w:pStyle w:val="TableContents"/>
              <w:spacing w:before="0" w:after="0"/>
              <w:rPr/>
            </w:pPr>
            <w:r>
              <w:rPr/>
              <w:t>)</w:t>
            </w:r>
          </w:p>
        </w:tc>
      </w:tr>
      <w:tr>
        <w:trPr/>
        <w:tc>
          <w:tcPr>
            <w:tcW w:w="3800" w:type="dxa"/>
            <w:tcBorders/>
            <w:shd w:fill="CCEEFF" w:val="clear"/>
            <w:vAlign w:val="bottom"/>
          </w:tcPr>
          <w:p>
            <w:pPr>
              <w:pStyle w:val="TableContents"/>
              <w:spacing w:before="0" w:after="0"/>
              <w:ind w:left="324" w:right="0" w:hanging="144"/>
              <w:rPr>
                <w:color w:val="000000"/>
              </w:rPr>
            </w:pPr>
            <w:r>
              <w:rPr>
                <w:color w:val="000000"/>
              </w:rPr>
              <w:t>Investment commissions</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pPr>
            <w:r>
              <w:rPr/>
              <w:t>389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pPr>
            <w:r>
              <w:rPr/>
              <w:t>546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916" w:type="dxa"/>
            <w:tcBorders/>
            <w:shd w:fill="CCEEFF" w:val="clear"/>
            <w:vAlign w:val="bottom"/>
          </w:tcPr>
          <w:p>
            <w:pPr>
              <w:pStyle w:val="TableContents"/>
              <w:spacing w:before="0" w:after="0"/>
              <w:jc w:val="right"/>
              <w:rPr/>
            </w:pPr>
            <w:r>
              <w:rPr/>
              <w:t>(157</w:t>
            </w:r>
          </w:p>
        </w:tc>
        <w:tc>
          <w:tcPr>
            <w:tcW w:w="95" w:type="dxa"/>
            <w:tcBorders/>
            <w:shd w:fill="CCEEFF" w:val="clear"/>
            <w:vAlign w:val="bottom"/>
          </w:tcPr>
          <w:p>
            <w:pPr>
              <w:pStyle w:val="TableContents"/>
              <w:spacing w:before="0" w:after="0"/>
              <w:rPr/>
            </w:pPr>
            <w:r>
              <w:rPr/>
              <w:t>)</w:t>
            </w:r>
          </w:p>
        </w:tc>
      </w:tr>
      <w:tr>
        <w:trPr/>
        <w:tc>
          <w:tcPr>
            <w:tcW w:w="3800" w:type="dxa"/>
            <w:tcBorders/>
            <w:shd w:fill="auto" w:val="clear"/>
            <w:vAlign w:val="bottom"/>
          </w:tcPr>
          <w:p>
            <w:pPr>
              <w:pStyle w:val="TableContents"/>
              <w:spacing w:before="0" w:after="0"/>
              <w:ind w:left="324" w:right="0" w:hanging="144"/>
              <w:rPr>
                <w:color w:val="000000"/>
              </w:rPr>
            </w:pPr>
            <w:r>
              <w:rPr>
                <w:color w:val="000000"/>
              </w:rPr>
              <w:t>Fiduciary income</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0"/>
              <w:jc w:val="right"/>
              <w:rPr/>
            </w:pPr>
            <w:r>
              <w:rPr/>
              <w:t>600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0"/>
              <w:jc w:val="right"/>
              <w:rPr/>
            </w:pPr>
            <w:r>
              <w:rPr/>
              <w:t>612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916" w:type="dxa"/>
            <w:tcBorders/>
            <w:shd w:fill="auto" w:val="clear"/>
            <w:vAlign w:val="bottom"/>
          </w:tcPr>
          <w:p>
            <w:pPr>
              <w:pStyle w:val="TableContents"/>
              <w:spacing w:before="0" w:after="0"/>
              <w:jc w:val="right"/>
              <w:rPr/>
            </w:pPr>
            <w:r>
              <w:rPr/>
              <w:t>(12</w:t>
            </w:r>
          </w:p>
        </w:tc>
        <w:tc>
          <w:tcPr>
            <w:tcW w:w="95" w:type="dxa"/>
            <w:tcBorders/>
            <w:shd w:fill="auto" w:val="clear"/>
            <w:vAlign w:val="bottom"/>
          </w:tcPr>
          <w:p>
            <w:pPr>
              <w:pStyle w:val="TableContents"/>
              <w:spacing w:before="0" w:after="0"/>
              <w:rPr/>
            </w:pPr>
            <w:r>
              <w:rPr/>
              <w:t>)</w:t>
            </w:r>
          </w:p>
        </w:tc>
      </w:tr>
      <w:tr>
        <w:trPr/>
        <w:tc>
          <w:tcPr>
            <w:tcW w:w="3800" w:type="dxa"/>
            <w:tcBorders/>
            <w:shd w:fill="CCEEFF" w:val="clear"/>
            <w:vAlign w:val="bottom"/>
          </w:tcPr>
          <w:p>
            <w:pPr>
              <w:pStyle w:val="TableContents"/>
              <w:spacing w:lineRule="auto" w:line="240" w:before="0" w:after="0"/>
              <w:ind w:left="324" w:right="0" w:hanging="144"/>
              <w:rPr>
                <w:color w:val="000000"/>
              </w:rPr>
            </w:pPr>
            <w:r>
              <w:rPr>
                <w:color w:val="000000"/>
              </w:rPr>
              <w:t>Other income and fees(1)</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680" w:type="dxa"/>
            <w:tcBorders>
              <w:bottom w:val="single" w:sz="12" w:space="0" w:color="000000"/>
            </w:tcBorders>
            <w:shd w:fill="CCEEFF" w:val="clear"/>
            <w:tcMar>
              <w:bottom w:w="28" w:type="dxa"/>
            </w:tcMar>
            <w:vAlign w:val="bottom"/>
          </w:tcPr>
          <w:p>
            <w:pPr>
              <w:pStyle w:val="TableContents"/>
              <w:spacing w:before="0" w:after="0"/>
              <w:jc w:val="right"/>
              <w:rPr/>
            </w:pPr>
            <w:r>
              <w:rPr/>
              <w:t>1,348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680" w:type="dxa"/>
            <w:tcBorders>
              <w:bottom w:val="single" w:sz="12" w:space="0" w:color="000000"/>
            </w:tcBorders>
            <w:shd w:fill="CCEEFF" w:val="clear"/>
            <w:tcMar>
              <w:bottom w:w="28" w:type="dxa"/>
            </w:tcMar>
            <w:vAlign w:val="bottom"/>
          </w:tcPr>
          <w:p>
            <w:pPr>
              <w:pStyle w:val="TableContents"/>
              <w:spacing w:before="0" w:after="0"/>
              <w:jc w:val="right"/>
              <w:rPr/>
            </w:pPr>
            <w:r>
              <w:rPr/>
              <w:t>2,337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68" w:type="dxa"/>
            <w:tcBorders>
              <w:bottom w:val="single" w:sz="12" w:space="0" w:color="000000"/>
            </w:tcBorders>
            <w:shd w:fill="CCEEFF" w:val="clear"/>
            <w:tcMar>
              <w:bottom w:w="28" w:type="dxa"/>
            </w:tcMar>
            <w:vAlign w:val="bottom"/>
          </w:tcPr>
          <w:p>
            <w:pPr>
              <w:pStyle w:val="TableContents"/>
              <w:spacing w:before="0" w:after="283"/>
              <w:rPr/>
            </w:pPr>
            <w:r>
              <w:rPr/>
              <w:t> </w:t>
            </w:r>
          </w:p>
        </w:tc>
        <w:tc>
          <w:tcPr>
            <w:tcW w:w="916" w:type="dxa"/>
            <w:tcBorders>
              <w:bottom w:val="single" w:sz="12" w:space="0" w:color="000000"/>
            </w:tcBorders>
            <w:shd w:fill="CCEEFF" w:val="clear"/>
            <w:tcMar>
              <w:bottom w:w="28" w:type="dxa"/>
            </w:tcMar>
            <w:vAlign w:val="bottom"/>
          </w:tcPr>
          <w:p>
            <w:pPr>
              <w:pStyle w:val="TableContents"/>
              <w:spacing w:before="0" w:after="0"/>
              <w:jc w:val="right"/>
              <w:rPr/>
            </w:pPr>
            <w:r>
              <w:rPr/>
              <w:t>(989</w:t>
            </w:r>
          </w:p>
        </w:tc>
        <w:tc>
          <w:tcPr>
            <w:tcW w:w="95" w:type="dxa"/>
            <w:tcBorders/>
            <w:shd w:fill="CCEEFF" w:val="clear"/>
            <w:vAlign w:val="bottom"/>
          </w:tcPr>
          <w:p>
            <w:pPr>
              <w:pStyle w:val="TableContents"/>
              <w:spacing w:before="0" w:after="0"/>
              <w:rPr/>
            </w:pPr>
            <w:r>
              <w:rPr/>
              <w:t>)</w:t>
            </w:r>
          </w:p>
        </w:tc>
      </w:tr>
      <w:tr>
        <w:trPr/>
        <w:tc>
          <w:tcPr>
            <w:tcW w:w="3800" w:type="dxa"/>
            <w:tcBorders/>
            <w:shd w:fill="auto" w:val="clear"/>
            <w:vAlign w:val="bottom"/>
          </w:tcPr>
          <w:p>
            <w:pPr>
              <w:pStyle w:val="TableContents"/>
              <w:spacing w:before="0" w:after="0"/>
              <w:ind w:left="144" w:right="0" w:hanging="144"/>
              <w:rPr>
                <w:color w:val="000000"/>
              </w:rPr>
            </w:pPr>
            <w:r>
              <w:rPr>
                <w:color w:val="000000"/>
              </w:rPr>
              <w:t>Total noninterest income</w:t>
            </w:r>
          </w:p>
        </w:tc>
        <w:tc>
          <w:tcPr>
            <w:tcW w:w="60" w:type="dxa"/>
            <w:tcBorders/>
            <w:shd w:fill="auto" w:val="clear"/>
            <w:vAlign w:val="bottom"/>
          </w:tcPr>
          <w:p>
            <w:pPr>
              <w:pStyle w:val="TableContents"/>
              <w:spacing w:before="0" w:after="283"/>
              <w:rPr/>
            </w:pPr>
            <w:r>
              <w:rPr/>
              <w:t> </w:t>
            </w:r>
          </w:p>
        </w:tc>
        <w:tc>
          <w:tcPr>
            <w:tcW w:w="140" w:type="dxa"/>
            <w:tcBorders>
              <w:bottom w:val="double" w:sz="8" w:space="0" w:color="000000"/>
            </w:tcBorders>
            <w:shd w:fill="auto" w:val="clear"/>
            <w:tcMar>
              <w:bottom w:w="28" w:type="dxa"/>
            </w:tcMar>
            <w:vAlign w:val="bottom"/>
          </w:tcPr>
          <w:p>
            <w:pPr>
              <w:pStyle w:val="TableContents"/>
              <w:spacing w:before="0" w:after="0"/>
              <w:rPr/>
            </w:pPr>
            <w:r>
              <w:rPr/>
              <w:t>$</w:t>
            </w:r>
          </w:p>
        </w:tc>
        <w:tc>
          <w:tcPr>
            <w:tcW w:w="680" w:type="dxa"/>
            <w:tcBorders>
              <w:bottom w:val="double" w:sz="8" w:space="0" w:color="000000"/>
            </w:tcBorders>
            <w:shd w:fill="auto" w:val="clear"/>
            <w:tcMar>
              <w:bottom w:w="28" w:type="dxa"/>
            </w:tcMar>
            <w:vAlign w:val="bottom"/>
          </w:tcPr>
          <w:p>
            <w:pPr>
              <w:pStyle w:val="TableContents"/>
              <w:spacing w:before="0" w:after="0"/>
              <w:jc w:val="right"/>
              <w:rPr/>
            </w:pPr>
            <w:r>
              <w:rPr/>
              <w:t>10,691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bottom w:val="double" w:sz="8" w:space="0" w:color="000000"/>
            </w:tcBorders>
            <w:shd w:fill="auto" w:val="clear"/>
            <w:tcMar>
              <w:bottom w:w="28" w:type="dxa"/>
            </w:tcMar>
            <w:vAlign w:val="bottom"/>
          </w:tcPr>
          <w:p>
            <w:pPr>
              <w:pStyle w:val="TableContents"/>
              <w:spacing w:before="0" w:after="0"/>
              <w:rPr/>
            </w:pPr>
            <w:r>
              <w:rPr/>
              <w:t>$</w:t>
            </w:r>
          </w:p>
        </w:tc>
        <w:tc>
          <w:tcPr>
            <w:tcW w:w="680" w:type="dxa"/>
            <w:tcBorders>
              <w:bottom w:val="double" w:sz="8" w:space="0" w:color="000000"/>
            </w:tcBorders>
            <w:shd w:fill="auto" w:val="clear"/>
            <w:tcMar>
              <w:bottom w:w="28" w:type="dxa"/>
            </w:tcMar>
            <w:vAlign w:val="bottom"/>
          </w:tcPr>
          <w:p>
            <w:pPr>
              <w:pStyle w:val="TableContents"/>
              <w:spacing w:before="0" w:after="0"/>
              <w:jc w:val="right"/>
              <w:rPr/>
            </w:pPr>
            <w:r>
              <w:rPr/>
              <w:t>23,697</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8" w:type="dxa"/>
            <w:tcBorders>
              <w:bottom w:val="double" w:sz="8" w:space="0" w:color="000000"/>
            </w:tcBorders>
            <w:shd w:fill="auto" w:val="clear"/>
            <w:tcMar>
              <w:bottom w:w="28" w:type="dxa"/>
            </w:tcMar>
            <w:vAlign w:val="bottom"/>
          </w:tcPr>
          <w:p>
            <w:pPr>
              <w:pStyle w:val="TableContents"/>
              <w:spacing w:before="0" w:after="0"/>
              <w:rPr/>
            </w:pPr>
            <w:r>
              <w:rPr/>
              <w:t>$</w:t>
            </w:r>
          </w:p>
        </w:tc>
        <w:tc>
          <w:tcPr>
            <w:tcW w:w="916" w:type="dxa"/>
            <w:tcBorders>
              <w:bottom w:val="double" w:sz="8" w:space="0" w:color="000000"/>
            </w:tcBorders>
            <w:shd w:fill="auto" w:val="clear"/>
            <w:tcMar>
              <w:bottom w:w="28" w:type="dxa"/>
            </w:tcMar>
            <w:vAlign w:val="bottom"/>
          </w:tcPr>
          <w:p>
            <w:pPr>
              <w:pStyle w:val="TableContents"/>
              <w:spacing w:before="0" w:after="0"/>
              <w:jc w:val="right"/>
              <w:rPr/>
            </w:pPr>
            <w:r>
              <w:rPr/>
              <w:t>(13,006</w:t>
            </w:r>
          </w:p>
        </w:tc>
        <w:tc>
          <w:tcPr>
            <w:tcW w:w="95" w:type="dxa"/>
            <w:tcBorders/>
            <w:shd w:fill="auto" w:val="clear"/>
            <w:vAlign w:val="bottom"/>
          </w:tcPr>
          <w:p>
            <w:pPr>
              <w:pStyle w:val="TableContents"/>
              <w:spacing w:before="0" w:after="0"/>
              <w:rPr/>
            </w:pPr>
            <w:r>
              <w:rPr/>
              <w:t>)</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263"/>
        <w:gridCol w:w="9942"/>
      </w:tblGrid>
      <w:tr>
        <w:trPr/>
        <w:tc>
          <w:tcPr>
            <w:tcW w:w="263" w:type="dxa"/>
            <w:tcBorders/>
            <w:shd w:fill="auto" w:val="clear"/>
            <w:vAlign w:val="center"/>
          </w:tcPr>
          <w:p>
            <w:pPr>
              <w:pStyle w:val="TableContents"/>
              <w:spacing w:before="0" w:after="283"/>
              <w:rPr>
                <w:color w:val="000000"/>
              </w:rPr>
            </w:pPr>
            <w:r>
              <w:rPr>
                <w:color w:val="000000"/>
              </w:rPr>
              <w:t>(1)</w:t>
            </w:r>
          </w:p>
        </w:tc>
        <w:tc>
          <w:tcPr>
            <w:tcW w:w="9942" w:type="dxa"/>
            <w:tcBorders/>
            <w:shd w:fill="auto" w:val="clear"/>
            <w:vAlign w:val="center"/>
          </w:tcPr>
          <w:p>
            <w:pPr>
              <w:pStyle w:val="TableContents"/>
              <w:spacing w:before="0" w:after="0"/>
              <w:jc w:val="both"/>
              <w:rPr>
                <w:color w:val="000000"/>
              </w:rPr>
            </w:pPr>
            <w:r>
              <w:rPr>
                <w:color w:val="000000"/>
              </w:rPr>
              <w:t>Other income and fees includes income and fees associated with the increase in the cash surrender value of life insurance, safe deposit box rental, check printing, collections, wire transfer and other miscellaneous services.</w:t>
            </w:r>
          </w:p>
        </w:tc>
      </w:tr>
    </w:tbl>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Noninterest income for the three months ended March 31, 2023 was $10.7 million, compared to $23.7 million for the three months ended March 31, 2022, a decrease of $13.0 million, or 54.9%. Income from mortgage banking activities decreased $11.4 million, or 83.2%, to $2.3 million for the three months ended March 31, 2023 from $13.6 million for the three months ended March 31, 2022. The decrease in mortgage banking activities was primarily due to a decrease of $148.5 million, or 63.1%, in mortgage loan originations for the three months ended March 31, 2023 compared to the same period for 2022. The decrease in mortgage loan originations was a result of higher market interest rates and a reduction in the number of mortgage loan originators. Additionally, there was a negative fair value adjustment of $2.0 million in the first quarter of 2023 to our mortgage servicing rights portfolio, compared to a positive fair value adjustment of $4.5 million in the first quarter of 2022, due to volatility in pricing for these assets as mortgage interest rates rose in the 2022 period and then began to fall at the end of the 2023 period. Other income and fees decreased $1.0 million during the first quarter of 2023 primarily as a result of decreased income from investments in Small Business Investment Company (“SBIC”) of $0.7 million, as compared to the first quarter of 2022.</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35</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b w:val="false"/>
            <w:i/>
            <w:color w:val="000000"/>
            <w:sz w:val="16"/>
          </w:rPr>
          <w:t>Table of Contents</w:t>
        </w:r>
      </w:hyperlink>
    </w:p>
    <w:p>
      <w:pPr>
        <w:pStyle w:val="TextBody"/>
        <w:spacing w:before="0" w:after="0"/>
        <w:jc w:val="left"/>
        <w:rPr>
          <w:rFonts w:ascii="Times New Roman" w:hAnsi="Times New Roman"/>
          <w:b/>
          <w:i/>
          <w:color w:val="000000"/>
          <w:sz w:val="20"/>
        </w:rPr>
      </w:pPr>
      <w:r>
        <w:rPr>
          <w:rFonts w:ascii="Times New Roman" w:hAnsi="Times New Roman"/>
          <w:b/>
          <w:i/>
          <w:color w:val="000000"/>
          <w:sz w:val="20"/>
        </w:rPr>
        <w:t>Noninterest Expense</w:t>
      </w:r>
    </w:p>
    <w:p>
      <w:pPr>
        <w:pStyle w:val="TextBody"/>
        <w:spacing w:before="0" w:after="0"/>
        <w:jc w:val="left"/>
        <w:rPr/>
      </w:pPr>
      <w:r>
        <w:rPr/>
      </w:r>
    </w:p>
    <w:p>
      <w:pPr>
        <w:pStyle w:val="TextBody"/>
        <w:spacing w:before="0" w:after="0"/>
        <w:jc w:val="left"/>
        <w:rPr>
          <w:rFonts w:ascii="Times New Roman" w:hAnsi="Times New Roman"/>
          <w:color w:val="000000"/>
          <w:sz w:val="20"/>
        </w:rPr>
      </w:pPr>
      <w:r>
        <w:rPr>
          <w:rFonts w:ascii="Times New Roman" w:hAnsi="Times New Roman"/>
          <w:color w:val="000000"/>
          <w:sz w:val="20"/>
        </w:rPr>
        <w:t>The following table sets forth the major components of our noninterest expense for the periods indicated:</w:t>
      </w:r>
    </w:p>
    <w:p>
      <w:pPr>
        <w:pStyle w:val="TextBody"/>
        <w:spacing w:before="0" w:after="0"/>
        <w:jc w:val="left"/>
        <w:rPr/>
      </w:pPr>
      <w:r>
        <w:rPr/>
      </w:r>
    </w:p>
    <w:tbl>
      <w:tblPr>
        <w:tblW w:w="6049" w:type="dxa"/>
        <w:jc w:val="left"/>
        <w:tblInd w:w="0" w:type="dxa"/>
        <w:tblCellMar>
          <w:top w:w="0" w:type="dxa"/>
          <w:left w:w="0" w:type="dxa"/>
          <w:bottom w:w="0" w:type="dxa"/>
          <w:right w:w="0" w:type="dxa"/>
        </w:tblCellMar>
      </w:tblPr>
      <w:tblGrid>
        <w:gridCol w:w="2930"/>
        <w:gridCol w:w="60"/>
        <w:gridCol w:w="140"/>
        <w:gridCol w:w="680"/>
        <w:gridCol w:w="60"/>
        <w:gridCol w:w="60"/>
        <w:gridCol w:w="140"/>
        <w:gridCol w:w="680"/>
        <w:gridCol w:w="60"/>
        <w:gridCol w:w="60"/>
        <w:gridCol w:w="195"/>
        <w:gridCol w:w="889"/>
        <w:gridCol w:w="95"/>
      </w:tblGrid>
      <w:tr>
        <w:trPr/>
        <w:tc>
          <w:tcPr>
            <w:tcW w:w="29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64" w:type="dxa"/>
            <w:gridSpan w:val="10"/>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Three Months Ended</w:t>
            </w:r>
          </w:p>
          <w:p>
            <w:pPr>
              <w:pStyle w:val="TableContents"/>
              <w:spacing w:before="0" w:after="0"/>
              <w:jc w:val="center"/>
              <w:rPr>
                <w:b/>
              </w:rPr>
            </w:pPr>
            <w:r>
              <w:rPr>
                <w:b/>
              </w:rPr>
              <w:t>March 31,</w:t>
            </w:r>
          </w:p>
        </w:tc>
        <w:tc>
          <w:tcPr>
            <w:tcW w:w="95" w:type="dxa"/>
            <w:tcBorders/>
            <w:shd w:fill="auto" w:val="clear"/>
            <w:vAlign w:val="bottom"/>
          </w:tcPr>
          <w:p>
            <w:pPr>
              <w:pStyle w:val="TableContents"/>
              <w:spacing w:before="0" w:after="283"/>
              <w:rPr/>
            </w:pPr>
            <w:r>
              <w:rPr/>
              <w:t> </w:t>
            </w:r>
          </w:p>
        </w:tc>
      </w:tr>
      <w:tr>
        <w:trPr/>
        <w:tc>
          <w:tcPr>
            <w:tcW w:w="29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0"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2023</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0"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2022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84"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Increase</w:t>
            </w:r>
          </w:p>
          <w:p>
            <w:pPr>
              <w:pStyle w:val="TableContents"/>
              <w:spacing w:before="0" w:after="0"/>
              <w:jc w:val="center"/>
              <w:rPr>
                <w:b/>
                <w:color w:val="000000"/>
              </w:rPr>
            </w:pPr>
            <w:r>
              <w:rPr>
                <w:b/>
                <w:color w:val="000000"/>
              </w:rPr>
              <w:t>(Decrease)</w:t>
            </w:r>
          </w:p>
        </w:tc>
        <w:tc>
          <w:tcPr>
            <w:tcW w:w="95" w:type="dxa"/>
            <w:tcBorders/>
            <w:shd w:fill="auto" w:val="clear"/>
            <w:vAlign w:val="bottom"/>
          </w:tcPr>
          <w:p>
            <w:pPr>
              <w:pStyle w:val="TableContents"/>
              <w:spacing w:before="0" w:after="283"/>
              <w:rPr/>
            </w:pPr>
            <w:r>
              <w:rPr/>
              <w:t> </w:t>
            </w:r>
          </w:p>
        </w:tc>
      </w:tr>
      <w:tr>
        <w:trPr/>
        <w:tc>
          <w:tcPr>
            <w:tcW w:w="293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64" w:type="dxa"/>
            <w:gridSpan w:val="10"/>
            <w:tcBorders/>
            <w:shd w:fill="auto" w:val="clear"/>
            <w:vAlign w:val="bottom"/>
          </w:tcPr>
          <w:p>
            <w:pPr>
              <w:pStyle w:val="TableContents"/>
              <w:spacing w:before="0" w:after="0"/>
              <w:jc w:val="center"/>
              <w:rPr>
                <w:b/>
                <w:color w:val="000000"/>
              </w:rPr>
            </w:pPr>
            <w:r>
              <w:rPr>
                <w:b/>
                <w:color w:val="000000"/>
              </w:rPr>
              <w:t>(Dollars in thousands)</w:t>
            </w:r>
          </w:p>
        </w:tc>
        <w:tc>
          <w:tcPr>
            <w:tcW w:w="95" w:type="dxa"/>
            <w:tcBorders/>
            <w:shd w:fill="auto" w:val="clear"/>
            <w:vAlign w:val="bottom"/>
          </w:tcPr>
          <w:p>
            <w:pPr>
              <w:pStyle w:val="TableContents"/>
              <w:spacing w:before="0" w:after="283"/>
              <w:rPr/>
            </w:pPr>
            <w:r>
              <w:rPr/>
              <w:t> </w:t>
            </w:r>
          </w:p>
        </w:tc>
      </w:tr>
      <w:tr>
        <w:trPr/>
        <w:tc>
          <w:tcPr>
            <w:tcW w:w="2930" w:type="dxa"/>
            <w:tcBorders/>
            <w:shd w:fill="auto" w:val="clear"/>
            <w:vAlign w:val="bottom"/>
          </w:tcPr>
          <w:p>
            <w:pPr>
              <w:pStyle w:val="TableContents"/>
              <w:spacing w:before="0" w:after="0"/>
              <w:ind w:left="144" w:right="0" w:hanging="144"/>
              <w:rPr>
                <w:b/>
                <w:color w:val="000000"/>
              </w:rPr>
            </w:pPr>
            <w:r>
              <w:rPr>
                <w:b/>
                <w:color w:val="000000"/>
              </w:rPr>
              <w:t>Noninterest expense:</w:t>
            </w:r>
          </w:p>
        </w:tc>
        <w:tc>
          <w:tcPr>
            <w:tcW w:w="60" w:type="dxa"/>
            <w:tcBorders/>
            <w:shd w:fill="auto" w:val="clear"/>
            <w:vAlign w:val="bottom"/>
          </w:tcPr>
          <w:p>
            <w:pPr>
              <w:pStyle w:val="TableContents"/>
              <w:spacing w:before="0" w:after="283"/>
              <w:rPr/>
            </w:pPr>
            <w:r>
              <w:rPr/>
              <w:t> </w:t>
            </w:r>
          </w:p>
        </w:tc>
        <w:tc>
          <w:tcPr>
            <w:tcW w:w="82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84" w:type="dxa"/>
            <w:gridSpan w:val="2"/>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r>
      <w:tr>
        <w:trPr/>
        <w:tc>
          <w:tcPr>
            <w:tcW w:w="2930" w:type="dxa"/>
            <w:tcBorders/>
            <w:shd w:fill="CCEEFF" w:val="clear"/>
            <w:vAlign w:val="bottom"/>
          </w:tcPr>
          <w:p>
            <w:pPr>
              <w:pStyle w:val="TableContents"/>
              <w:spacing w:before="0" w:after="0"/>
              <w:ind w:left="324" w:right="0" w:hanging="144"/>
              <w:rPr>
                <w:color w:val="000000"/>
              </w:rPr>
            </w:pPr>
            <w:r>
              <w:rPr>
                <w:color w:val="000000"/>
              </w:rPr>
              <w:t>Salaries and employee benefits</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pPr>
            <w:r>
              <w:rPr/>
              <w:t>$</w:t>
            </w:r>
          </w:p>
        </w:tc>
        <w:tc>
          <w:tcPr>
            <w:tcW w:w="680" w:type="dxa"/>
            <w:tcBorders/>
            <w:shd w:fill="CCEEFF" w:val="clear"/>
            <w:vAlign w:val="bottom"/>
          </w:tcPr>
          <w:p>
            <w:pPr>
              <w:pStyle w:val="TableContents"/>
              <w:spacing w:before="0" w:after="0"/>
              <w:jc w:val="right"/>
              <w:rPr/>
            </w:pPr>
            <w:r>
              <w:rPr/>
              <w:t>19,254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pPr>
            <w:r>
              <w:rPr/>
              <w:t>$</w:t>
            </w:r>
          </w:p>
        </w:tc>
        <w:tc>
          <w:tcPr>
            <w:tcW w:w="680" w:type="dxa"/>
            <w:tcBorders/>
            <w:shd w:fill="CCEEFF" w:val="clear"/>
            <w:vAlign w:val="bottom"/>
          </w:tcPr>
          <w:p>
            <w:pPr>
              <w:pStyle w:val="TableContents"/>
              <w:spacing w:before="0" w:after="0"/>
              <w:jc w:val="right"/>
              <w:rPr/>
            </w:pPr>
            <w:r>
              <w:rPr/>
              <w:t>22,703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0"/>
              <w:rPr/>
            </w:pPr>
            <w:r>
              <w:rPr/>
              <w:t>$</w:t>
            </w:r>
          </w:p>
        </w:tc>
        <w:tc>
          <w:tcPr>
            <w:tcW w:w="889" w:type="dxa"/>
            <w:tcBorders/>
            <w:shd w:fill="CCEEFF" w:val="clear"/>
            <w:vAlign w:val="bottom"/>
          </w:tcPr>
          <w:p>
            <w:pPr>
              <w:pStyle w:val="TableContents"/>
              <w:spacing w:before="0" w:after="0"/>
              <w:jc w:val="right"/>
              <w:rPr/>
            </w:pPr>
            <w:r>
              <w:rPr/>
              <w:t>(3,449</w:t>
            </w:r>
          </w:p>
        </w:tc>
        <w:tc>
          <w:tcPr>
            <w:tcW w:w="95" w:type="dxa"/>
            <w:tcBorders/>
            <w:shd w:fill="CCEEFF" w:val="clear"/>
            <w:vAlign w:val="bottom"/>
          </w:tcPr>
          <w:p>
            <w:pPr>
              <w:pStyle w:val="TableContents"/>
              <w:spacing w:before="0" w:after="0"/>
              <w:rPr/>
            </w:pPr>
            <w:r>
              <w:rPr/>
              <w:t>)</w:t>
            </w:r>
          </w:p>
        </w:tc>
      </w:tr>
      <w:tr>
        <w:trPr/>
        <w:tc>
          <w:tcPr>
            <w:tcW w:w="2930" w:type="dxa"/>
            <w:tcBorders/>
            <w:shd w:fill="auto" w:val="clear"/>
            <w:vAlign w:val="bottom"/>
          </w:tcPr>
          <w:p>
            <w:pPr>
              <w:pStyle w:val="TableContents"/>
              <w:spacing w:before="0" w:after="0"/>
              <w:ind w:left="324" w:right="0" w:hanging="144"/>
              <w:rPr>
                <w:color w:val="000000"/>
              </w:rPr>
            </w:pPr>
            <w:r>
              <w:rPr>
                <w:color w:val="000000"/>
              </w:rPr>
              <w:t>Occupancy expense, net</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0"/>
              <w:jc w:val="right"/>
              <w:rPr/>
            </w:pPr>
            <w:r>
              <w:rPr/>
              <w:t>3,832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0"/>
              <w:jc w:val="right"/>
              <w:rPr/>
            </w:pPr>
            <w:r>
              <w:rPr/>
              <w:t>3,737</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889" w:type="dxa"/>
            <w:tcBorders/>
            <w:shd w:fill="auto" w:val="clear"/>
            <w:vAlign w:val="bottom"/>
          </w:tcPr>
          <w:p>
            <w:pPr>
              <w:pStyle w:val="TableContents"/>
              <w:spacing w:before="0" w:after="0"/>
              <w:jc w:val="right"/>
              <w:rPr/>
            </w:pPr>
            <w:r>
              <w:rPr/>
              <w:t>95</w:t>
            </w:r>
          </w:p>
        </w:tc>
        <w:tc>
          <w:tcPr>
            <w:tcW w:w="95" w:type="dxa"/>
            <w:tcBorders/>
            <w:shd w:fill="auto" w:val="clear"/>
            <w:vAlign w:val="bottom"/>
          </w:tcPr>
          <w:p>
            <w:pPr>
              <w:pStyle w:val="TableContents"/>
              <w:spacing w:before="0" w:after="283"/>
              <w:rPr/>
            </w:pPr>
            <w:r>
              <w:rPr/>
              <w:t> </w:t>
            </w:r>
          </w:p>
        </w:tc>
      </w:tr>
      <w:tr>
        <w:trPr/>
        <w:tc>
          <w:tcPr>
            <w:tcW w:w="2930" w:type="dxa"/>
            <w:tcBorders/>
            <w:shd w:fill="CCEEFF" w:val="clear"/>
            <w:vAlign w:val="bottom"/>
          </w:tcPr>
          <w:p>
            <w:pPr>
              <w:pStyle w:val="TableContents"/>
              <w:spacing w:before="0" w:after="0"/>
              <w:ind w:left="324" w:right="0" w:hanging="144"/>
              <w:rPr>
                <w:color w:val="000000"/>
              </w:rPr>
            </w:pPr>
            <w:r>
              <w:rPr>
                <w:color w:val="000000"/>
              </w:rPr>
              <w:t>Professional services</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pPr>
            <w:r>
              <w:rPr/>
              <w:t>1,648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pPr>
            <w:r>
              <w:rPr/>
              <w:t>2,625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889" w:type="dxa"/>
            <w:tcBorders/>
            <w:shd w:fill="CCEEFF" w:val="clear"/>
            <w:vAlign w:val="bottom"/>
          </w:tcPr>
          <w:p>
            <w:pPr>
              <w:pStyle w:val="TableContents"/>
              <w:spacing w:before="0" w:after="0"/>
              <w:jc w:val="right"/>
              <w:rPr/>
            </w:pPr>
            <w:r>
              <w:rPr/>
              <w:t>(977</w:t>
            </w:r>
          </w:p>
        </w:tc>
        <w:tc>
          <w:tcPr>
            <w:tcW w:w="95" w:type="dxa"/>
            <w:tcBorders/>
            <w:shd w:fill="CCEEFF" w:val="clear"/>
            <w:vAlign w:val="bottom"/>
          </w:tcPr>
          <w:p>
            <w:pPr>
              <w:pStyle w:val="TableContents"/>
              <w:spacing w:before="0" w:after="0"/>
              <w:rPr/>
            </w:pPr>
            <w:r>
              <w:rPr/>
              <w:t>)</w:t>
            </w:r>
          </w:p>
        </w:tc>
      </w:tr>
      <w:tr>
        <w:trPr/>
        <w:tc>
          <w:tcPr>
            <w:tcW w:w="2930" w:type="dxa"/>
            <w:tcBorders/>
            <w:shd w:fill="auto" w:val="clear"/>
            <w:vAlign w:val="bottom"/>
          </w:tcPr>
          <w:p>
            <w:pPr>
              <w:pStyle w:val="TableContents"/>
              <w:spacing w:before="0" w:after="0"/>
              <w:ind w:left="324" w:right="0" w:hanging="144"/>
              <w:rPr>
                <w:color w:val="000000"/>
              </w:rPr>
            </w:pPr>
            <w:r>
              <w:rPr>
                <w:color w:val="000000"/>
              </w:rPr>
              <w:t>Marketing and development</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0"/>
              <w:jc w:val="right"/>
              <w:rPr/>
            </w:pPr>
            <w:r>
              <w:rPr/>
              <w:t>936</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0"/>
              <w:jc w:val="right"/>
              <w:rPr/>
            </w:pPr>
            <w:r>
              <w:rPr/>
              <w:t>720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889" w:type="dxa"/>
            <w:tcBorders/>
            <w:shd w:fill="auto" w:val="clear"/>
            <w:vAlign w:val="bottom"/>
          </w:tcPr>
          <w:p>
            <w:pPr>
              <w:pStyle w:val="TableContents"/>
              <w:spacing w:before="0" w:after="0"/>
              <w:jc w:val="right"/>
              <w:rPr/>
            </w:pPr>
            <w:r>
              <w:rPr/>
              <w:t>216</w:t>
            </w:r>
          </w:p>
        </w:tc>
        <w:tc>
          <w:tcPr>
            <w:tcW w:w="95" w:type="dxa"/>
            <w:tcBorders/>
            <w:shd w:fill="auto" w:val="clear"/>
            <w:vAlign w:val="bottom"/>
          </w:tcPr>
          <w:p>
            <w:pPr>
              <w:pStyle w:val="TableContents"/>
              <w:spacing w:before="0" w:after="283"/>
              <w:rPr/>
            </w:pPr>
            <w:r>
              <w:rPr/>
              <w:t> </w:t>
            </w:r>
          </w:p>
        </w:tc>
      </w:tr>
      <w:tr>
        <w:trPr/>
        <w:tc>
          <w:tcPr>
            <w:tcW w:w="2930" w:type="dxa"/>
            <w:tcBorders/>
            <w:shd w:fill="CCEEFF" w:val="clear"/>
            <w:vAlign w:val="bottom"/>
          </w:tcPr>
          <w:p>
            <w:pPr>
              <w:pStyle w:val="TableContents"/>
              <w:spacing w:before="0" w:after="0"/>
              <w:ind w:left="324" w:right="0" w:hanging="144"/>
              <w:rPr>
                <w:color w:val="000000"/>
              </w:rPr>
            </w:pPr>
            <w:r>
              <w:rPr>
                <w:color w:val="000000"/>
              </w:rPr>
              <w:t>IT and data services</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pPr>
            <w:r>
              <w:rPr/>
              <w:t>864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pPr>
            <w:r>
              <w:rPr/>
              <w:t>1,053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889" w:type="dxa"/>
            <w:tcBorders/>
            <w:shd w:fill="CCEEFF" w:val="clear"/>
            <w:vAlign w:val="bottom"/>
          </w:tcPr>
          <w:p>
            <w:pPr>
              <w:pStyle w:val="TableContents"/>
              <w:spacing w:before="0" w:after="0"/>
              <w:jc w:val="right"/>
              <w:rPr/>
            </w:pPr>
            <w:r>
              <w:rPr/>
              <w:t>(189</w:t>
            </w:r>
          </w:p>
        </w:tc>
        <w:tc>
          <w:tcPr>
            <w:tcW w:w="95" w:type="dxa"/>
            <w:tcBorders/>
            <w:shd w:fill="CCEEFF" w:val="clear"/>
            <w:vAlign w:val="bottom"/>
          </w:tcPr>
          <w:p>
            <w:pPr>
              <w:pStyle w:val="TableContents"/>
              <w:spacing w:before="0" w:after="0"/>
              <w:rPr/>
            </w:pPr>
            <w:r>
              <w:rPr/>
              <w:t>)</w:t>
            </w:r>
          </w:p>
        </w:tc>
      </w:tr>
      <w:tr>
        <w:trPr/>
        <w:tc>
          <w:tcPr>
            <w:tcW w:w="2930" w:type="dxa"/>
            <w:tcBorders/>
            <w:shd w:fill="auto" w:val="clear"/>
            <w:vAlign w:val="bottom"/>
          </w:tcPr>
          <w:p>
            <w:pPr>
              <w:pStyle w:val="TableContents"/>
              <w:spacing w:before="0" w:after="0"/>
              <w:ind w:left="324" w:right="0" w:hanging="144"/>
              <w:rPr>
                <w:color w:val="000000"/>
              </w:rPr>
            </w:pPr>
            <w:r>
              <w:rPr>
                <w:color w:val="000000"/>
              </w:rPr>
              <w:t>Bankcard expenses</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0"/>
              <w:jc w:val="right"/>
              <w:rPr/>
            </w:pPr>
            <w:r>
              <w:rPr/>
              <w:t>1,352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0" w:type="dxa"/>
            <w:tcBorders/>
            <w:shd w:fill="auto" w:val="clear"/>
            <w:vAlign w:val="bottom"/>
          </w:tcPr>
          <w:p>
            <w:pPr>
              <w:pStyle w:val="TableContents"/>
              <w:spacing w:before="0" w:after="0"/>
              <w:jc w:val="right"/>
              <w:rPr/>
            </w:pPr>
            <w:r>
              <w:rPr/>
              <w:t>1,323</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889" w:type="dxa"/>
            <w:tcBorders/>
            <w:shd w:fill="auto" w:val="clear"/>
            <w:vAlign w:val="bottom"/>
          </w:tcPr>
          <w:p>
            <w:pPr>
              <w:pStyle w:val="TableContents"/>
              <w:spacing w:before="0" w:after="0"/>
              <w:jc w:val="right"/>
              <w:rPr/>
            </w:pPr>
            <w:r>
              <w:rPr/>
              <w:t>29</w:t>
            </w:r>
          </w:p>
        </w:tc>
        <w:tc>
          <w:tcPr>
            <w:tcW w:w="95" w:type="dxa"/>
            <w:tcBorders/>
            <w:shd w:fill="auto" w:val="clear"/>
            <w:vAlign w:val="bottom"/>
          </w:tcPr>
          <w:p>
            <w:pPr>
              <w:pStyle w:val="TableContents"/>
              <w:spacing w:before="0" w:after="283"/>
              <w:rPr/>
            </w:pPr>
            <w:r>
              <w:rPr/>
              <w:t> </w:t>
            </w:r>
          </w:p>
        </w:tc>
      </w:tr>
      <w:tr>
        <w:trPr/>
        <w:tc>
          <w:tcPr>
            <w:tcW w:w="2930" w:type="dxa"/>
            <w:tcBorders/>
            <w:shd w:fill="CCEEFF" w:val="clear"/>
            <w:vAlign w:val="bottom"/>
          </w:tcPr>
          <w:p>
            <w:pPr>
              <w:pStyle w:val="TableContents"/>
              <w:spacing w:before="0" w:after="0"/>
              <w:ind w:left="324" w:right="0" w:hanging="144"/>
              <w:rPr>
                <w:color w:val="000000"/>
              </w:rPr>
            </w:pPr>
            <w:r>
              <w:rPr>
                <w:color w:val="000000"/>
              </w:rPr>
              <w:t>Appraisal expenses</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pPr>
            <w:r>
              <w:rPr/>
              <w:t>278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0" w:type="dxa"/>
            <w:tcBorders/>
            <w:shd w:fill="CCEEFF" w:val="clear"/>
            <w:vAlign w:val="bottom"/>
          </w:tcPr>
          <w:p>
            <w:pPr>
              <w:pStyle w:val="TableContents"/>
              <w:spacing w:before="0" w:after="0"/>
              <w:jc w:val="right"/>
              <w:rPr/>
            </w:pPr>
            <w:r>
              <w:rPr/>
              <w:t>565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889" w:type="dxa"/>
            <w:tcBorders/>
            <w:shd w:fill="CCEEFF" w:val="clear"/>
            <w:vAlign w:val="bottom"/>
          </w:tcPr>
          <w:p>
            <w:pPr>
              <w:pStyle w:val="TableContents"/>
              <w:spacing w:before="0" w:after="0"/>
              <w:jc w:val="right"/>
              <w:rPr/>
            </w:pPr>
            <w:r>
              <w:rPr/>
              <w:t>(287</w:t>
            </w:r>
          </w:p>
        </w:tc>
        <w:tc>
          <w:tcPr>
            <w:tcW w:w="95" w:type="dxa"/>
            <w:tcBorders/>
            <w:shd w:fill="CCEEFF" w:val="clear"/>
            <w:vAlign w:val="bottom"/>
          </w:tcPr>
          <w:p>
            <w:pPr>
              <w:pStyle w:val="TableContents"/>
              <w:spacing w:before="0" w:after="0"/>
              <w:rPr/>
            </w:pPr>
            <w:r>
              <w:rPr/>
              <w:t>)</w:t>
            </w:r>
          </w:p>
        </w:tc>
      </w:tr>
      <w:tr>
        <w:trPr/>
        <w:tc>
          <w:tcPr>
            <w:tcW w:w="2930" w:type="dxa"/>
            <w:tcBorders/>
            <w:shd w:fill="auto" w:val="clear"/>
            <w:vAlign w:val="bottom"/>
          </w:tcPr>
          <w:p>
            <w:pPr>
              <w:pStyle w:val="TableContents"/>
              <w:spacing w:lineRule="auto" w:line="240" w:before="0" w:after="0"/>
              <w:ind w:left="324" w:right="0" w:hanging="144"/>
              <w:rPr>
                <w:color w:val="000000"/>
              </w:rPr>
            </w:pPr>
            <w:r>
              <w:rPr>
                <w:color w:val="000000"/>
              </w:rPr>
              <w:t>Other expenses(1)</w:t>
            </w:r>
          </w:p>
        </w:tc>
        <w:tc>
          <w:tcPr>
            <w:tcW w:w="60" w:type="dxa"/>
            <w:tcBorders/>
            <w:shd w:fill="auto" w:val="clear"/>
            <w:vAlign w:val="bottom"/>
          </w:tcPr>
          <w:p>
            <w:pPr>
              <w:pStyle w:val="TableContents"/>
              <w:spacing w:before="0" w:after="283"/>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rPr/>
            </w:pPr>
            <w:r>
              <w:rPr/>
              <w:t> </w:t>
            </w:r>
          </w:p>
        </w:tc>
        <w:tc>
          <w:tcPr>
            <w:tcW w:w="680" w:type="dxa"/>
            <w:tcBorders>
              <w:bottom w:val="single" w:sz="12" w:space="0" w:color="000000"/>
            </w:tcBorders>
            <w:shd w:fill="auto" w:val="clear"/>
            <w:tcMar>
              <w:bottom w:w="28" w:type="dxa"/>
            </w:tcMar>
            <w:vAlign w:val="bottom"/>
          </w:tcPr>
          <w:p>
            <w:pPr>
              <w:pStyle w:val="TableContents"/>
              <w:spacing w:before="0" w:after="0"/>
              <w:jc w:val="right"/>
              <w:rPr/>
            </w:pPr>
            <w:r>
              <w:rPr/>
              <w:t>4,197</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rPr/>
            </w:pPr>
            <w:r>
              <w:rPr/>
              <w:t> </w:t>
            </w:r>
          </w:p>
        </w:tc>
        <w:tc>
          <w:tcPr>
            <w:tcW w:w="680" w:type="dxa"/>
            <w:tcBorders>
              <w:bottom w:val="single" w:sz="12" w:space="0" w:color="000000"/>
            </w:tcBorders>
            <w:shd w:fill="auto" w:val="clear"/>
            <w:tcMar>
              <w:bottom w:w="28" w:type="dxa"/>
            </w:tcMar>
            <w:vAlign w:val="bottom"/>
          </w:tcPr>
          <w:p>
            <w:pPr>
              <w:pStyle w:val="TableContents"/>
              <w:spacing w:before="0" w:after="0"/>
              <w:jc w:val="right"/>
              <w:rPr/>
            </w:pPr>
            <w:r>
              <w:rPr/>
              <w:t>5,198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95" w:type="dxa"/>
            <w:tcBorders>
              <w:bottom w:val="single" w:sz="12" w:space="0" w:color="000000"/>
            </w:tcBorders>
            <w:shd w:fill="auto" w:val="clear"/>
            <w:tcMar>
              <w:bottom w:w="28" w:type="dxa"/>
            </w:tcMar>
            <w:vAlign w:val="bottom"/>
          </w:tcPr>
          <w:p>
            <w:pPr>
              <w:pStyle w:val="TableContents"/>
              <w:spacing w:before="0" w:after="283"/>
              <w:rPr/>
            </w:pPr>
            <w:r>
              <w:rPr/>
              <w:t> </w:t>
            </w:r>
          </w:p>
        </w:tc>
        <w:tc>
          <w:tcPr>
            <w:tcW w:w="889" w:type="dxa"/>
            <w:tcBorders>
              <w:bottom w:val="single" w:sz="12" w:space="0" w:color="000000"/>
            </w:tcBorders>
            <w:shd w:fill="auto" w:val="clear"/>
            <w:tcMar>
              <w:bottom w:w="28" w:type="dxa"/>
            </w:tcMar>
            <w:vAlign w:val="bottom"/>
          </w:tcPr>
          <w:p>
            <w:pPr>
              <w:pStyle w:val="TableContents"/>
              <w:spacing w:before="0" w:after="0"/>
              <w:jc w:val="right"/>
              <w:rPr/>
            </w:pPr>
            <w:r>
              <w:rPr/>
              <w:t>(1,001</w:t>
            </w:r>
          </w:p>
        </w:tc>
        <w:tc>
          <w:tcPr>
            <w:tcW w:w="95" w:type="dxa"/>
            <w:tcBorders/>
            <w:shd w:fill="auto" w:val="clear"/>
            <w:vAlign w:val="bottom"/>
          </w:tcPr>
          <w:p>
            <w:pPr>
              <w:pStyle w:val="TableContents"/>
              <w:spacing w:before="0" w:after="0"/>
              <w:rPr/>
            </w:pPr>
            <w:r>
              <w:rPr/>
              <w:t>)</w:t>
            </w:r>
          </w:p>
        </w:tc>
      </w:tr>
      <w:tr>
        <w:trPr/>
        <w:tc>
          <w:tcPr>
            <w:tcW w:w="2930" w:type="dxa"/>
            <w:tcBorders/>
            <w:shd w:fill="CCEEFF" w:val="clear"/>
            <w:vAlign w:val="bottom"/>
          </w:tcPr>
          <w:p>
            <w:pPr>
              <w:pStyle w:val="TableContents"/>
              <w:spacing w:before="0" w:after="0"/>
              <w:ind w:left="504" w:right="0" w:hanging="144"/>
              <w:rPr>
                <w:color w:val="000000"/>
              </w:rPr>
            </w:pPr>
            <w:r>
              <w:rPr>
                <w:color w:val="000000"/>
              </w:rPr>
              <w:t>Total noninterest expense</w:t>
            </w:r>
          </w:p>
        </w:tc>
        <w:tc>
          <w:tcPr>
            <w:tcW w:w="60" w:type="dxa"/>
            <w:tcBorders/>
            <w:shd w:fill="CCEEFF" w:val="clear"/>
            <w:vAlign w:val="bottom"/>
          </w:tcPr>
          <w:p>
            <w:pPr>
              <w:pStyle w:val="TableContents"/>
              <w:spacing w:before="0" w:after="283"/>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rPr/>
            </w:pPr>
            <w:r>
              <w:rPr/>
              <w:t>$</w:t>
            </w:r>
          </w:p>
        </w:tc>
        <w:tc>
          <w:tcPr>
            <w:tcW w:w="680" w:type="dxa"/>
            <w:tcBorders>
              <w:bottom w:val="double" w:sz="8" w:space="0" w:color="000000"/>
            </w:tcBorders>
            <w:shd w:fill="CCEEFF" w:val="clear"/>
            <w:tcMar>
              <w:bottom w:w="28" w:type="dxa"/>
            </w:tcMar>
            <w:vAlign w:val="bottom"/>
          </w:tcPr>
          <w:p>
            <w:pPr>
              <w:pStyle w:val="TableContents"/>
              <w:spacing w:before="0" w:after="0"/>
              <w:jc w:val="right"/>
              <w:rPr/>
            </w:pPr>
            <w:r>
              <w:rPr/>
              <w:t>32,361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rPr/>
            </w:pPr>
            <w:r>
              <w:rPr/>
              <w:t>$</w:t>
            </w:r>
          </w:p>
        </w:tc>
        <w:tc>
          <w:tcPr>
            <w:tcW w:w="680" w:type="dxa"/>
            <w:tcBorders>
              <w:bottom w:val="double" w:sz="8" w:space="0" w:color="000000"/>
            </w:tcBorders>
            <w:shd w:fill="CCEEFF" w:val="clear"/>
            <w:tcMar>
              <w:bottom w:w="28" w:type="dxa"/>
            </w:tcMar>
            <w:vAlign w:val="bottom"/>
          </w:tcPr>
          <w:p>
            <w:pPr>
              <w:pStyle w:val="TableContents"/>
              <w:spacing w:before="0" w:after="0"/>
              <w:jc w:val="right"/>
              <w:rPr/>
            </w:pPr>
            <w:r>
              <w:rPr/>
              <w:t>37,924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95" w:type="dxa"/>
            <w:tcBorders>
              <w:bottom w:val="double" w:sz="8" w:space="0" w:color="000000"/>
            </w:tcBorders>
            <w:shd w:fill="CCEEFF" w:val="clear"/>
            <w:tcMar>
              <w:bottom w:w="28" w:type="dxa"/>
            </w:tcMar>
            <w:vAlign w:val="bottom"/>
          </w:tcPr>
          <w:p>
            <w:pPr>
              <w:pStyle w:val="TableContents"/>
              <w:spacing w:before="0" w:after="0"/>
              <w:rPr/>
            </w:pPr>
            <w:r>
              <w:rPr/>
              <w:t>$</w:t>
            </w:r>
          </w:p>
        </w:tc>
        <w:tc>
          <w:tcPr>
            <w:tcW w:w="889" w:type="dxa"/>
            <w:tcBorders>
              <w:bottom w:val="double" w:sz="8" w:space="0" w:color="000000"/>
            </w:tcBorders>
            <w:shd w:fill="CCEEFF" w:val="clear"/>
            <w:tcMar>
              <w:bottom w:w="28" w:type="dxa"/>
            </w:tcMar>
            <w:vAlign w:val="bottom"/>
          </w:tcPr>
          <w:p>
            <w:pPr>
              <w:pStyle w:val="TableContents"/>
              <w:spacing w:before="0" w:after="0"/>
              <w:jc w:val="right"/>
              <w:rPr/>
            </w:pPr>
            <w:r>
              <w:rPr/>
              <w:t>(5,563</w:t>
            </w:r>
          </w:p>
        </w:tc>
        <w:tc>
          <w:tcPr>
            <w:tcW w:w="95" w:type="dxa"/>
            <w:tcBorders/>
            <w:shd w:fill="CCEEFF" w:val="clear"/>
            <w:vAlign w:val="bottom"/>
          </w:tcPr>
          <w:p>
            <w:pPr>
              <w:pStyle w:val="TableContents"/>
              <w:spacing w:before="0" w:after="0"/>
              <w:rPr/>
            </w:pPr>
            <w:r>
              <w:rPr/>
              <w:t>)</w:t>
            </w:r>
          </w:p>
        </w:tc>
      </w:tr>
    </w:tbl>
    <w:p>
      <w:pPr>
        <w:pStyle w:val="TextBody"/>
        <w:spacing w:before="0" w:after="0"/>
        <w:rPr/>
      </w:pPr>
      <w:r>
        <w:rPr/>
      </w:r>
    </w:p>
    <w:tbl>
      <w:tblPr>
        <w:tblW w:w="10205" w:type="dxa"/>
        <w:jc w:val="left"/>
        <w:tblInd w:w="0" w:type="dxa"/>
        <w:tblCellMar>
          <w:top w:w="0" w:type="dxa"/>
          <w:left w:w="0" w:type="dxa"/>
          <w:bottom w:w="0" w:type="dxa"/>
          <w:right w:w="0" w:type="dxa"/>
        </w:tblCellMar>
      </w:tblPr>
      <w:tblGrid>
        <w:gridCol w:w="283"/>
        <w:gridCol w:w="9922"/>
      </w:tblGrid>
      <w:tr>
        <w:trPr/>
        <w:tc>
          <w:tcPr>
            <w:tcW w:w="283" w:type="dxa"/>
            <w:tcBorders/>
            <w:shd w:fill="auto" w:val="clear"/>
            <w:vAlign w:val="center"/>
          </w:tcPr>
          <w:p>
            <w:pPr>
              <w:pStyle w:val="TableContents"/>
              <w:spacing w:before="0" w:after="283"/>
              <w:rPr>
                <w:color w:val="000000"/>
              </w:rPr>
            </w:pPr>
            <w:r>
              <w:rPr>
                <w:color w:val="000000"/>
              </w:rPr>
              <w:t>(1)</w:t>
            </w:r>
          </w:p>
        </w:tc>
        <w:tc>
          <w:tcPr>
            <w:tcW w:w="9922" w:type="dxa"/>
            <w:tcBorders/>
            <w:shd w:fill="auto" w:val="clear"/>
            <w:vAlign w:val="center"/>
          </w:tcPr>
          <w:p>
            <w:pPr>
              <w:pStyle w:val="TableContents"/>
              <w:spacing w:before="0" w:after="0"/>
              <w:jc w:val="both"/>
              <w:rPr>
                <w:color w:val="000000"/>
              </w:rPr>
            </w:pPr>
            <w:r>
              <w:rPr>
                <w:color w:val="000000"/>
              </w:rPr>
              <w:t>Other expenses include items such as banking regulatory assessments, telephone expenses, postage, courier fees, directors’ fees, and insurance.</w:t>
            </w:r>
          </w:p>
        </w:tc>
      </w:tr>
    </w:tbl>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Noninterest expense for the three months ended March 31, 2023 was $32.4 million compared to $37.9 million for the three months ended March 31, 2022, a decrease of $5.6 million, or 14.7%. Salaries and employee benefits decreased $3.4 million, or 15.2%, from $22.7 million for the three months ended March 31, 2022 to $19.3 million for the three months ended March 31, 2023. This decrease in salaries and employee benefits expense for the first quarter of 2023 compared to the first quarter of 2022 was primarily driven by decreased mortgage salaries and commissions paid of $2.7 million due to the lower volume of mortgage loan originations as well as lower incentive-based compensation. Other noninterest expenses decreased $1.0 million for the three months ended March 31, 2023, compared to the same period in 2022. This decrease was primarily due to a loss on disposal of assets of $362 thousand in the first quarter of 2022 and lower variable mortgage-based expenses. Professional services expenses decreased $1.0 million for the three months ended March 31, 2023, compared to the same period in 2022. This decrease was primarily due to a $0.8 million decrease in legal fees incurred largely as a result of a vendor dispute, which was resolved and accounted for by the end of 2022.</w:t>
      </w:r>
    </w:p>
    <w:p>
      <w:pPr>
        <w:pStyle w:val="TextBody"/>
        <w:spacing w:before="0" w:after="0"/>
        <w:jc w:val="left"/>
        <w:rPr>
          <w:rFonts w:ascii="Times New Roman" w:hAnsi="Times New Roman"/>
          <w:b/>
          <w:color w:val="000000"/>
          <w:sz w:val="20"/>
        </w:rPr>
      </w:pPr>
      <w:r>
        <w:rPr>
          <w:rFonts w:ascii="Times New Roman" w:hAnsi="Times New Roman"/>
          <w:b/>
          <w:color w:val="000000"/>
          <w:sz w:val="20"/>
        </w:rPr>
        <w:t>Financial Condition</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Our total assets increased $114.0 million, or 2.9%, to $4.06 billion at March 31, 2023, compared to $3.94 billion at December 31, 2022. Our loans held for investment increased $40.6 million, or 1.5%, to $2.79 billion at March 31, 2023, compared to $2.75 billion at December 31, 2022. Our securities portfolio decreased $3.1 million, or 0.4%, to $698.6 million at March 31, 2023, compared to $701.7 million at December 31, 2022. Total deposits increased $101.6 million, or 3.0%, to $3.51 billion at March 31, 2023, compared to $3.41 billion at December 31, 2022.</w:t>
      </w:r>
    </w:p>
    <w:p>
      <w:pPr>
        <w:pStyle w:val="TextBody"/>
        <w:spacing w:before="0" w:after="0"/>
        <w:jc w:val="left"/>
        <w:rPr/>
      </w:pPr>
      <w:r>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Loan Portfolio</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Our loans represent the largest portion of earning assets, greater than our securities portfolio or any other asset category, and the quality and diversification of the loan portfolio is an important consideration when reviewing the Company’s financial condition. We originate substantially all of the loans in our portfolio, except certain loan participations that are independently underwritten by the Company prior to purchase.</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Loans held for investment increased $40.6 million, or 1.5%, to $2.79 billion at March 31, 2023, compared to $2.75 billion at December 31, 2022. The organic loan growth remained relationship-focused and occurred primarily in commercial real estate loans and residential mortgage loans, partially offset by a decrease in residential construction loans.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table shows the contractual maturities of our loans held for investment portfolio at March 31, 2023:</w:t>
      </w:r>
    </w:p>
    <w:p>
      <w:pPr>
        <w:pStyle w:val="TextBody"/>
        <w:spacing w:before="0" w:after="0"/>
        <w:jc w:val="left"/>
        <w:rPr/>
      </w:pPr>
      <w:r>
        <w:rPr/>
      </w:r>
    </w:p>
    <w:tbl>
      <w:tblPr>
        <w:tblW w:w="10205" w:type="dxa"/>
        <w:jc w:val="left"/>
        <w:tblInd w:w="0" w:type="dxa"/>
        <w:tblCellMar>
          <w:top w:w="0" w:type="dxa"/>
          <w:left w:w="0" w:type="dxa"/>
          <w:bottom w:w="0" w:type="dxa"/>
          <w:right w:w="0" w:type="dxa"/>
        </w:tblCellMar>
      </w:tblPr>
      <w:tblGrid>
        <w:gridCol w:w="1996"/>
        <w:gridCol w:w="60"/>
        <w:gridCol w:w="228"/>
        <w:gridCol w:w="1307"/>
        <w:gridCol w:w="60"/>
        <w:gridCol w:w="60"/>
        <w:gridCol w:w="223"/>
        <w:gridCol w:w="1564"/>
        <w:gridCol w:w="60"/>
        <w:gridCol w:w="60"/>
        <w:gridCol w:w="285"/>
        <w:gridCol w:w="1632"/>
        <w:gridCol w:w="60"/>
        <w:gridCol w:w="60"/>
        <w:gridCol w:w="185"/>
        <w:gridCol w:w="1060"/>
        <w:gridCol w:w="60"/>
        <w:gridCol w:w="60"/>
        <w:gridCol w:w="140"/>
        <w:gridCol w:w="980"/>
        <w:gridCol w:w="65"/>
      </w:tblGrid>
      <w:tr>
        <w:trPr/>
        <w:tc>
          <w:tcPr>
            <w:tcW w:w="199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35"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Due in</w:t>
            </w:r>
          </w:p>
          <w:p>
            <w:pPr>
              <w:pStyle w:val="TableContents"/>
              <w:spacing w:before="0" w:after="0"/>
              <w:jc w:val="center"/>
              <w:rPr>
                <w:b/>
                <w:color w:val="000000"/>
              </w:rPr>
            </w:pPr>
            <w:r>
              <w:rPr>
                <w:b/>
                <w:color w:val="000000"/>
              </w:rPr>
              <w:t>One Year or Less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87"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Due after One Year</w:t>
            </w:r>
          </w:p>
          <w:p>
            <w:pPr>
              <w:pStyle w:val="TableContents"/>
              <w:spacing w:before="0" w:after="0"/>
              <w:jc w:val="center"/>
              <w:rPr>
                <w:b/>
                <w:color w:val="000000"/>
              </w:rPr>
            </w:pPr>
            <w:r>
              <w:rPr>
                <w:b/>
                <w:color w:val="000000"/>
              </w:rPr>
              <w:t>Through Five Years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917"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Due after Five Years</w:t>
            </w:r>
          </w:p>
          <w:p>
            <w:pPr>
              <w:pStyle w:val="TableContents"/>
              <w:spacing w:before="0" w:after="0"/>
              <w:jc w:val="center"/>
              <w:rPr>
                <w:b/>
                <w:color w:val="000000"/>
              </w:rPr>
            </w:pPr>
            <w:r>
              <w:rPr>
                <w:b/>
                <w:color w:val="000000"/>
              </w:rPr>
              <w:t>Through Fifteen Years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45"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Due after</w:t>
            </w:r>
          </w:p>
          <w:p>
            <w:pPr>
              <w:pStyle w:val="TableContents"/>
              <w:spacing w:before="0" w:after="0"/>
              <w:jc w:val="center"/>
              <w:rPr>
                <w:b/>
                <w:color w:val="000000"/>
              </w:rPr>
            </w:pPr>
            <w:r>
              <w:rPr>
                <w:b/>
                <w:color w:val="000000"/>
              </w:rPr>
              <w:t>Fifteen Years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Total</w:t>
            </w:r>
          </w:p>
        </w:tc>
        <w:tc>
          <w:tcPr>
            <w:tcW w:w="65" w:type="dxa"/>
            <w:tcBorders/>
            <w:shd w:fill="auto" w:val="clear"/>
            <w:vAlign w:val="bottom"/>
          </w:tcPr>
          <w:p>
            <w:pPr>
              <w:pStyle w:val="TableContents"/>
              <w:spacing w:before="0" w:after="283"/>
              <w:rPr/>
            </w:pPr>
            <w:r>
              <w:rPr/>
              <w:t> </w:t>
            </w:r>
          </w:p>
        </w:tc>
      </w:tr>
      <w:tr>
        <w:trPr/>
        <w:tc>
          <w:tcPr>
            <w:tcW w:w="199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84" w:type="dxa"/>
            <w:gridSpan w:val="18"/>
            <w:tcBorders/>
            <w:shd w:fill="auto" w:val="clear"/>
            <w:vAlign w:val="bottom"/>
          </w:tcPr>
          <w:p>
            <w:pPr>
              <w:pStyle w:val="TableContents"/>
              <w:spacing w:before="0" w:after="0"/>
              <w:jc w:val="center"/>
              <w:rPr>
                <w:b/>
                <w:color w:val="000000"/>
              </w:rPr>
            </w:pPr>
            <w:r>
              <w:rPr>
                <w:b/>
                <w:color w:val="000000"/>
              </w:rPr>
              <w:t>(Dollars in thousands)</w:t>
            </w:r>
          </w:p>
        </w:tc>
        <w:tc>
          <w:tcPr>
            <w:tcW w:w="65" w:type="dxa"/>
            <w:tcBorders/>
            <w:shd w:fill="auto" w:val="clear"/>
            <w:vAlign w:val="bottom"/>
          </w:tcPr>
          <w:p>
            <w:pPr>
              <w:pStyle w:val="TableContents"/>
              <w:spacing w:before="0" w:after="283"/>
              <w:rPr/>
            </w:pPr>
            <w:r>
              <w:rPr/>
              <w:t> </w:t>
            </w:r>
          </w:p>
        </w:tc>
      </w:tr>
      <w:tr>
        <w:trPr/>
        <w:tc>
          <w:tcPr>
            <w:tcW w:w="1996" w:type="dxa"/>
            <w:tcBorders/>
            <w:shd w:fill="CCEEFF" w:val="clear"/>
            <w:vAlign w:val="bottom"/>
          </w:tcPr>
          <w:p>
            <w:pPr>
              <w:pStyle w:val="TableContents"/>
              <w:spacing w:before="0" w:after="0"/>
              <w:ind w:left="144" w:right="0" w:hanging="144"/>
              <w:rPr>
                <w:color w:val="000000"/>
              </w:rPr>
            </w:pPr>
            <w:r>
              <w:rPr>
                <w:color w:val="000000"/>
              </w:rPr>
              <w:t>Commercial real estate</w:t>
            </w:r>
          </w:p>
        </w:tc>
        <w:tc>
          <w:tcPr>
            <w:tcW w:w="6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0"/>
              <w:rPr>
                <w:color w:val="000000"/>
              </w:rPr>
            </w:pPr>
            <w:r>
              <w:rPr>
                <w:color w:val="000000"/>
              </w:rPr>
              <w:t>$</w:t>
            </w:r>
          </w:p>
        </w:tc>
        <w:tc>
          <w:tcPr>
            <w:tcW w:w="1307" w:type="dxa"/>
            <w:tcBorders/>
            <w:shd w:fill="CCEEFF" w:val="clear"/>
            <w:vAlign w:val="bottom"/>
          </w:tcPr>
          <w:p>
            <w:pPr>
              <w:pStyle w:val="TableContents"/>
              <w:spacing w:before="0" w:after="0"/>
              <w:jc w:val="right"/>
              <w:rPr>
                <w:color w:val="000000"/>
              </w:rPr>
            </w:pPr>
            <w:r>
              <w:rPr>
                <w:color w:val="000000"/>
              </w:rPr>
              <w:t>84,584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0"/>
              <w:rPr>
                <w:color w:val="000000"/>
              </w:rPr>
            </w:pPr>
            <w:r>
              <w:rPr>
                <w:color w:val="000000"/>
              </w:rPr>
              <w:t>$</w:t>
            </w:r>
          </w:p>
        </w:tc>
        <w:tc>
          <w:tcPr>
            <w:tcW w:w="1564" w:type="dxa"/>
            <w:tcBorders/>
            <w:shd w:fill="CCEEFF" w:val="clear"/>
            <w:vAlign w:val="bottom"/>
          </w:tcPr>
          <w:p>
            <w:pPr>
              <w:pStyle w:val="TableContents"/>
              <w:spacing w:before="0" w:after="0"/>
              <w:jc w:val="right"/>
              <w:rPr>
                <w:color w:val="000000"/>
              </w:rPr>
            </w:pPr>
            <w:r>
              <w:rPr>
                <w:color w:val="000000"/>
              </w:rPr>
              <w:t>499,958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85" w:type="dxa"/>
            <w:tcBorders/>
            <w:shd w:fill="CCEEFF" w:val="clear"/>
            <w:vAlign w:val="bottom"/>
          </w:tcPr>
          <w:p>
            <w:pPr>
              <w:pStyle w:val="TableContents"/>
              <w:spacing w:before="0" w:after="0"/>
              <w:rPr>
                <w:color w:val="000000"/>
              </w:rPr>
            </w:pPr>
            <w:r>
              <w:rPr>
                <w:color w:val="000000"/>
              </w:rPr>
              <w:t>$</w:t>
            </w:r>
          </w:p>
        </w:tc>
        <w:tc>
          <w:tcPr>
            <w:tcW w:w="1632" w:type="dxa"/>
            <w:tcBorders/>
            <w:shd w:fill="CCEEFF" w:val="clear"/>
            <w:vAlign w:val="bottom"/>
          </w:tcPr>
          <w:p>
            <w:pPr>
              <w:pStyle w:val="TableContents"/>
              <w:spacing w:before="0" w:after="0"/>
              <w:jc w:val="right"/>
              <w:rPr>
                <w:color w:val="000000"/>
              </w:rPr>
            </w:pPr>
            <w:r>
              <w:rPr>
                <w:color w:val="000000"/>
              </w:rPr>
              <w:t>255,615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0"/>
              <w:rPr>
                <w:color w:val="000000"/>
              </w:rPr>
            </w:pPr>
            <w:r>
              <w:rPr>
                <w:color w:val="000000"/>
              </w:rPr>
              <w:t>$</w:t>
            </w:r>
          </w:p>
        </w:tc>
        <w:tc>
          <w:tcPr>
            <w:tcW w:w="1060" w:type="dxa"/>
            <w:tcBorders/>
            <w:shd w:fill="CCEEFF" w:val="clear"/>
            <w:vAlign w:val="bottom"/>
          </w:tcPr>
          <w:p>
            <w:pPr>
              <w:pStyle w:val="TableContents"/>
              <w:spacing w:before="0" w:after="0"/>
              <w:jc w:val="right"/>
              <w:rPr>
                <w:color w:val="000000"/>
              </w:rPr>
            </w:pPr>
            <w:r>
              <w:rPr>
                <w:color w:val="000000"/>
              </w:rPr>
              <w:t>85,861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color w:val="000000"/>
              </w:rPr>
            </w:pPr>
            <w:r>
              <w:rPr>
                <w:color w:val="000000"/>
              </w:rPr>
              <w:t>$</w:t>
            </w:r>
          </w:p>
        </w:tc>
        <w:tc>
          <w:tcPr>
            <w:tcW w:w="980" w:type="dxa"/>
            <w:tcBorders/>
            <w:shd w:fill="CCEEFF" w:val="clear"/>
            <w:vAlign w:val="bottom"/>
          </w:tcPr>
          <w:p>
            <w:pPr>
              <w:pStyle w:val="TableContents"/>
              <w:spacing w:before="0" w:after="0"/>
              <w:jc w:val="right"/>
              <w:rPr>
                <w:color w:val="000000"/>
              </w:rPr>
            </w:pPr>
            <w:r>
              <w:rPr>
                <w:color w:val="000000"/>
              </w:rPr>
              <w:t>926,018</w:t>
            </w:r>
          </w:p>
        </w:tc>
        <w:tc>
          <w:tcPr>
            <w:tcW w:w="65" w:type="dxa"/>
            <w:tcBorders/>
            <w:shd w:fill="CCEEFF" w:val="clear"/>
            <w:vAlign w:val="bottom"/>
          </w:tcPr>
          <w:p>
            <w:pPr>
              <w:pStyle w:val="TableContents"/>
              <w:spacing w:before="0" w:after="283"/>
              <w:rPr/>
            </w:pPr>
            <w:r>
              <w:rPr/>
              <w:t> </w:t>
            </w:r>
          </w:p>
        </w:tc>
      </w:tr>
      <w:tr>
        <w:trPr/>
        <w:tc>
          <w:tcPr>
            <w:tcW w:w="1996" w:type="dxa"/>
            <w:tcBorders/>
            <w:shd w:fill="auto" w:val="clear"/>
            <w:vAlign w:val="bottom"/>
          </w:tcPr>
          <w:p>
            <w:pPr>
              <w:pStyle w:val="TableContents"/>
              <w:spacing w:before="0" w:after="0"/>
              <w:ind w:left="144" w:right="0" w:hanging="144"/>
              <w:rPr>
                <w:color w:val="000000"/>
              </w:rPr>
            </w:pPr>
            <w:r>
              <w:rPr>
                <w:color w:val="000000"/>
              </w:rPr>
              <w:t>Commercial - specialized</w:t>
            </w:r>
          </w:p>
        </w:tc>
        <w:tc>
          <w:tcPr>
            <w:tcW w:w="6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307" w:type="dxa"/>
            <w:tcBorders/>
            <w:shd w:fill="auto" w:val="clear"/>
            <w:vAlign w:val="bottom"/>
          </w:tcPr>
          <w:p>
            <w:pPr>
              <w:pStyle w:val="TableContents"/>
              <w:spacing w:before="0" w:after="0"/>
              <w:jc w:val="right"/>
              <w:rPr>
                <w:color w:val="000000"/>
              </w:rPr>
            </w:pPr>
            <w:r>
              <w:rPr>
                <w:color w:val="000000"/>
              </w:rPr>
              <w:t>74,929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564" w:type="dxa"/>
            <w:tcBorders/>
            <w:shd w:fill="auto" w:val="clear"/>
            <w:vAlign w:val="bottom"/>
          </w:tcPr>
          <w:p>
            <w:pPr>
              <w:pStyle w:val="TableContents"/>
              <w:spacing w:before="0" w:after="0"/>
              <w:jc w:val="right"/>
              <w:rPr>
                <w:color w:val="000000"/>
              </w:rPr>
            </w:pPr>
            <w:r>
              <w:rPr>
                <w:color w:val="000000"/>
              </w:rPr>
              <w:t>124,114</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pPr>
            <w:r>
              <w:rPr/>
              <w:t> </w:t>
            </w:r>
          </w:p>
        </w:tc>
        <w:tc>
          <w:tcPr>
            <w:tcW w:w="1632" w:type="dxa"/>
            <w:tcBorders/>
            <w:shd w:fill="auto" w:val="clear"/>
            <w:vAlign w:val="bottom"/>
          </w:tcPr>
          <w:p>
            <w:pPr>
              <w:pStyle w:val="TableContents"/>
              <w:spacing w:before="0" w:after="0"/>
              <w:jc w:val="right"/>
              <w:rPr>
                <w:color w:val="000000"/>
              </w:rPr>
            </w:pPr>
            <w:r>
              <w:rPr>
                <w:color w:val="000000"/>
              </w:rPr>
              <w:t>62,990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060" w:type="dxa"/>
            <w:tcBorders/>
            <w:shd w:fill="auto" w:val="clear"/>
            <w:vAlign w:val="bottom"/>
          </w:tcPr>
          <w:p>
            <w:pPr>
              <w:pStyle w:val="TableContents"/>
              <w:spacing w:before="0" w:after="0"/>
              <w:jc w:val="right"/>
              <w:rPr>
                <w:color w:val="000000"/>
              </w:rPr>
            </w:pPr>
            <w:r>
              <w:rPr>
                <w:color w:val="000000"/>
              </w:rPr>
              <w:t>53,440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0"/>
              <w:jc w:val="right"/>
              <w:rPr>
                <w:color w:val="000000"/>
              </w:rPr>
            </w:pPr>
            <w:r>
              <w:rPr>
                <w:color w:val="000000"/>
              </w:rPr>
              <w:t>315,473</w:t>
            </w:r>
          </w:p>
        </w:tc>
        <w:tc>
          <w:tcPr>
            <w:tcW w:w="65" w:type="dxa"/>
            <w:tcBorders/>
            <w:shd w:fill="auto" w:val="clear"/>
            <w:vAlign w:val="bottom"/>
          </w:tcPr>
          <w:p>
            <w:pPr>
              <w:pStyle w:val="TableContents"/>
              <w:spacing w:before="0" w:after="283"/>
              <w:rPr/>
            </w:pPr>
            <w:r>
              <w:rPr/>
              <w:t> </w:t>
            </w:r>
          </w:p>
        </w:tc>
      </w:tr>
      <w:tr>
        <w:trPr/>
        <w:tc>
          <w:tcPr>
            <w:tcW w:w="1996" w:type="dxa"/>
            <w:tcBorders/>
            <w:shd w:fill="CCEEFF" w:val="clear"/>
            <w:vAlign w:val="bottom"/>
          </w:tcPr>
          <w:p>
            <w:pPr>
              <w:pStyle w:val="TableContents"/>
              <w:spacing w:before="0" w:after="0"/>
              <w:ind w:left="144" w:right="0" w:hanging="144"/>
              <w:rPr>
                <w:color w:val="000000"/>
              </w:rPr>
            </w:pPr>
            <w:r>
              <w:rPr>
                <w:color w:val="000000"/>
              </w:rPr>
              <w:t>Commercial - general</w:t>
            </w:r>
          </w:p>
        </w:tc>
        <w:tc>
          <w:tcPr>
            <w:tcW w:w="6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1307" w:type="dxa"/>
            <w:tcBorders/>
            <w:shd w:fill="CCEEFF" w:val="clear"/>
            <w:vAlign w:val="bottom"/>
          </w:tcPr>
          <w:p>
            <w:pPr>
              <w:pStyle w:val="TableContents"/>
              <w:spacing w:before="0" w:after="0"/>
              <w:jc w:val="right"/>
              <w:rPr>
                <w:color w:val="000000"/>
              </w:rPr>
            </w:pPr>
            <w:r>
              <w:rPr>
                <w:color w:val="000000"/>
              </w:rPr>
              <w:t>83,091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564" w:type="dxa"/>
            <w:tcBorders/>
            <w:shd w:fill="CCEEFF" w:val="clear"/>
            <w:vAlign w:val="bottom"/>
          </w:tcPr>
          <w:p>
            <w:pPr>
              <w:pStyle w:val="TableContents"/>
              <w:spacing w:before="0" w:after="0"/>
              <w:jc w:val="right"/>
              <w:rPr>
                <w:color w:val="000000"/>
              </w:rPr>
            </w:pPr>
            <w:r>
              <w:rPr>
                <w:color w:val="000000"/>
              </w:rPr>
              <w:t>165,161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85" w:type="dxa"/>
            <w:tcBorders/>
            <w:shd w:fill="CCEEFF" w:val="clear"/>
            <w:vAlign w:val="bottom"/>
          </w:tcPr>
          <w:p>
            <w:pPr>
              <w:pStyle w:val="TableContents"/>
              <w:spacing w:before="0" w:after="283"/>
              <w:rPr/>
            </w:pPr>
            <w:r>
              <w:rPr/>
              <w:t> </w:t>
            </w:r>
          </w:p>
        </w:tc>
        <w:tc>
          <w:tcPr>
            <w:tcW w:w="1632" w:type="dxa"/>
            <w:tcBorders/>
            <w:shd w:fill="CCEEFF" w:val="clear"/>
            <w:vAlign w:val="bottom"/>
          </w:tcPr>
          <w:p>
            <w:pPr>
              <w:pStyle w:val="TableContents"/>
              <w:spacing w:before="0" w:after="0"/>
              <w:jc w:val="right"/>
              <w:rPr>
                <w:color w:val="000000"/>
              </w:rPr>
            </w:pPr>
            <w:r>
              <w:rPr>
                <w:color w:val="000000"/>
              </w:rPr>
              <w:t>132,813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060" w:type="dxa"/>
            <w:tcBorders/>
            <w:shd w:fill="CCEEFF" w:val="clear"/>
            <w:vAlign w:val="bottom"/>
          </w:tcPr>
          <w:p>
            <w:pPr>
              <w:pStyle w:val="TableContents"/>
              <w:spacing w:before="0" w:after="0"/>
              <w:jc w:val="right"/>
              <w:rPr>
                <w:color w:val="000000"/>
              </w:rPr>
            </w:pPr>
            <w:r>
              <w:rPr>
                <w:color w:val="000000"/>
              </w:rPr>
              <w:t>129,852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color w:val="000000"/>
              </w:rPr>
            </w:pPr>
            <w:r>
              <w:rPr>
                <w:color w:val="000000"/>
              </w:rPr>
              <w:t>510,917</w:t>
            </w:r>
          </w:p>
        </w:tc>
        <w:tc>
          <w:tcPr>
            <w:tcW w:w="65" w:type="dxa"/>
            <w:tcBorders/>
            <w:shd w:fill="CCEEFF" w:val="clear"/>
            <w:vAlign w:val="bottom"/>
          </w:tcPr>
          <w:p>
            <w:pPr>
              <w:pStyle w:val="TableContents"/>
              <w:spacing w:before="0" w:after="283"/>
              <w:rPr/>
            </w:pPr>
            <w:r>
              <w:rPr/>
              <w:t> </w:t>
            </w:r>
          </w:p>
        </w:tc>
      </w:tr>
      <w:tr>
        <w:trPr/>
        <w:tc>
          <w:tcPr>
            <w:tcW w:w="1996" w:type="dxa"/>
            <w:tcBorders/>
            <w:shd w:fill="auto" w:val="clear"/>
            <w:vAlign w:val="bottom"/>
          </w:tcPr>
          <w:p>
            <w:pPr>
              <w:pStyle w:val="TableContents"/>
              <w:spacing w:before="0" w:after="0"/>
              <w:ind w:left="144" w:right="0" w:hanging="144"/>
              <w:rPr>
                <w:color w:val="000000"/>
              </w:rPr>
            </w:pPr>
            <w:r>
              <w:rPr>
                <w:color w:val="000000"/>
              </w:rPr>
              <w:t>Consumer:</w:t>
            </w:r>
          </w:p>
        </w:tc>
        <w:tc>
          <w:tcPr>
            <w:tcW w:w="6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307"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56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pPr>
            <w:r>
              <w:rPr/>
              <w:t> </w:t>
            </w:r>
          </w:p>
        </w:tc>
        <w:tc>
          <w:tcPr>
            <w:tcW w:w="1632"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06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 </w:t>
            </w:r>
          </w:p>
        </w:tc>
        <w:tc>
          <w:tcPr>
            <w:tcW w:w="65" w:type="dxa"/>
            <w:tcBorders/>
            <w:shd w:fill="auto" w:val="clear"/>
            <w:vAlign w:val="bottom"/>
          </w:tcPr>
          <w:p>
            <w:pPr>
              <w:pStyle w:val="TableContents"/>
              <w:spacing w:before="0" w:after="283"/>
              <w:rPr/>
            </w:pPr>
            <w:r>
              <w:rPr/>
              <w:t> </w:t>
            </w:r>
          </w:p>
        </w:tc>
      </w:tr>
      <w:tr>
        <w:trPr/>
        <w:tc>
          <w:tcPr>
            <w:tcW w:w="1996" w:type="dxa"/>
            <w:tcBorders/>
            <w:shd w:fill="CCEEFF" w:val="clear"/>
            <w:vAlign w:val="bottom"/>
          </w:tcPr>
          <w:p>
            <w:pPr>
              <w:pStyle w:val="TableContents"/>
              <w:spacing w:before="0" w:after="0"/>
              <w:ind w:left="324" w:right="0" w:hanging="144"/>
              <w:rPr>
                <w:color w:val="000000"/>
              </w:rPr>
            </w:pPr>
            <w:r>
              <w:rPr>
                <w:color w:val="000000"/>
              </w:rPr>
              <w:t>1-4 family residential</w:t>
            </w:r>
          </w:p>
        </w:tc>
        <w:tc>
          <w:tcPr>
            <w:tcW w:w="6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1307" w:type="dxa"/>
            <w:tcBorders/>
            <w:shd w:fill="CCEEFF" w:val="clear"/>
            <w:vAlign w:val="bottom"/>
          </w:tcPr>
          <w:p>
            <w:pPr>
              <w:pStyle w:val="TableContents"/>
              <w:spacing w:before="0" w:after="0"/>
              <w:jc w:val="right"/>
              <w:rPr>
                <w:color w:val="000000"/>
              </w:rPr>
            </w:pPr>
            <w:r>
              <w:rPr>
                <w:color w:val="000000"/>
              </w:rPr>
              <w:t>33,913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564" w:type="dxa"/>
            <w:tcBorders/>
            <w:shd w:fill="CCEEFF" w:val="clear"/>
            <w:vAlign w:val="bottom"/>
          </w:tcPr>
          <w:p>
            <w:pPr>
              <w:pStyle w:val="TableContents"/>
              <w:spacing w:before="0" w:after="0"/>
              <w:jc w:val="right"/>
              <w:rPr>
                <w:color w:val="000000"/>
              </w:rPr>
            </w:pPr>
            <w:r>
              <w:rPr>
                <w:color w:val="000000"/>
              </w:rPr>
              <w:t>83,364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85" w:type="dxa"/>
            <w:tcBorders/>
            <w:shd w:fill="CCEEFF" w:val="clear"/>
            <w:vAlign w:val="bottom"/>
          </w:tcPr>
          <w:p>
            <w:pPr>
              <w:pStyle w:val="TableContents"/>
              <w:spacing w:before="0" w:after="283"/>
              <w:rPr/>
            </w:pPr>
            <w:r>
              <w:rPr/>
              <w:t> </w:t>
            </w:r>
          </w:p>
        </w:tc>
        <w:tc>
          <w:tcPr>
            <w:tcW w:w="1632" w:type="dxa"/>
            <w:tcBorders/>
            <w:shd w:fill="CCEEFF" w:val="clear"/>
            <w:vAlign w:val="bottom"/>
          </w:tcPr>
          <w:p>
            <w:pPr>
              <w:pStyle w:val="TableContents"/>
              <w:spacing w:before="0" w:after="0"/>
              <w:jc w:val="right"/>
              <w:rPr>
                <w:color w:val="000000"/>
              </w:rPr>
            </w:pPr>
            <w:r>
              <w:rPr>
                <w:color w:val="000000"/>
              </w:rPr>
              <w:t>74,474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060" w:type="dxa"/>
            <w:tcBorders/>
            <w:shd w:fill="CCEEFF" w:val="clear"/>
            <w:vAlign w:val="bottom"/>
          </w:tcPr>
          <w:p>
            <w:pPr>
              <w:pStyle w:val="TableContents"/>
              <w:spacing w:before="0" w:after="0"/>
              <w:jc w:val="right"/>
              <w:rPr>
                <w:color w:val="000000"/>
              </w:rPr>
            </w:pPr>
            <w:r>
              <w:rPr>
                <w:color w:val="000000"/>
              </w:rPr>
              <w:t>293,645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color w:val="000000"/>
              </w:rPr>
            </w:pPr>
            <w:r>
              <w:rPr>
                <w:color w:val="000000"/>
              </w:rPr>
              <w:t>485,396</w:t>
            </w:r>
          </w:p>
        </w:tc>
        <w:tc>
          <w:tcPr>
            <w:tcW w:w="65" w:type="dxa"/>
            <w:tcBorders/>
            <w:shd w:fill="CCEEFF" w:val="clear"/>
            <w:vAlign w:val="bottom"/>
          </w:tcPr>
          <w:p>
            <w:pPr>
              <w:pStyle w:val="TableContents"/>
              <w:spacing w:before="0" w:after="283"/>
              <w:rPr/>
            </w:pPr>
            <w:r>
              <w:rPr/>
              <w:t> </w:t>
            </w:r>
          </w:p>
        </w:tc>
      </w:tr>
      <w:tr>
        <w:trPr/>
        <w:tc>
          <w:tcPr>
            <w:tcW w:w="1996" w:type="dxa"/>
            <w:tcBorders/>
            <w:shd w:fill="auto" w:val="clear"/>
            <w:vAlign w:val="bottom"/>
          </w:tcPr>
          <w:p>
            <w:pPr>
              <w:pStyle w:val="TableContents"/>
              <w:spacing w:before="0" w:after="0"/>
              <w:ind w:left="324" w:right="0" w:hanging="144"/>
              <w:rPr>
                <w:color w:val="000000"/>
              </w:rPr>
            </w:pPr>
            <w:r>
              <w:rPr>
                <w:color w:val="000000"/>
              </w:rPr>
              <w:t>Auto loans</w:t>
            </w:r>
          </w:p>
        </w:tc>
        <w:tc>
          <w:tcPr>
            <w:tcW w:w="60" w:type="dxa"/>
            <w:tcBorders/>
            <w:shd w:fill="auto" w:val="clear"/>
            <w:vAlign w:val="bottom"/>
          </w:tcPr>
          <w:p>
            <w:pPr>
              <w:pStyle w:val="TableContents"/>
              <w:spacing w:before="0" w:after="283"/>
              <w:rPr/>
            </w:pPr>
            <w:r>
              <w:rPr/>
              <w:t> </w:t>
            </w:r>
          </w:p>
        </w:tc>
        <w:tc>
          <w:tcPr>
            <w:tcW w:w="228" w:type="dxa"/>
            <w:tcBorders/>
            <w:shd w:fill="auto" w:val="clear"/>
            <w:vAlign w:val="bottom"/>
          </w:tcPr>
          <w:p>
            <w:pPr>
              <w:pStyle w:val="TableContents"/>
              <w:spacing w:before="0" w:after="283"/>
              <w:rPr/>
            </w:pPr>
            <w:r>
              <w:rPr/>
              <w:t> </w:t>
            </w:r>
          </w:p>
        </w:tc>
        <w:tc>
          <w:tcPr>
            <w:tcW w:w="1307" w:type="dxa"/>
            <w:tcBorders/>
            <w:shd w:fill="auto" w:val="clear"/>
            <w:vAlign w:val="bottom"/>
          </w:tcPr>
          <w:p>
            <w:pPr>
              <w:pStyle w:val="TableContents"/>
              <w:spacing w:before="0" w:after="0"/>
              <w:jc w:val="right"/>
              <w:rPr>
                <w:color w:val="000000"/>
              </w:rPr>
            </w:pPr>
            <w:r>
              <w:rPr>
                <w:color w:val="000000"/>
              </w:rPr>
              <w:t>2,932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564" w:type="dxa"/>
            <w:tcBorders/>
            <w:shd w:fill="auto" w:val="clear"/>
            <w:vAlign w:val="bottom"/>
          </w:tcPr>
          <w:p>
            <w:pPr>
              <w:pStyle w:val="TableContents"/>
              <w:spacing w:before="0" w:after="0"/>
              <w:jc w:val="right"/>
              <w:rPr>
                <w:color w:val="000000"/>
              </w:rPr>
            </w:pPr>
            <w:r>
              <w:rPr>
                <w:color w:val="000000"/>
              </w:rPr>
              <w:t>168,656</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85" w:type="dxa"/>
            <w:tcBorders/>
            <w:shd w:fill="auto" w:val="clear"/>
            <w:vAlign w:val="bottom"/>
          </w:tcPr>
          <w:p>
            <w:pPr>
              <w:pStyle w:val="TableContents"/>
              <w:spacing w:before="0" w:after="283"/>
              <w:rPr/>
            </w:pPr>
            <w:r>
              <w:rPr/>
              <w:t> </w:t>
            </w:r>
          </w:p>
        </w:tc>
        <w:tc>
          <w:tcPr>
            <w:tcW w:w="1632" w:type="dxa"/>
            <w:tcBorders/>
            <w:shd w:fill="auto" w:val="clear"/>
            <w:vAlign w:val="bottom"/>
          </w:tcPr>
          <w:p>
            <w:pPr>
              <w:pStyle w:val="TableContents"/>
              <w:spacing w:before="0" w:after="0"/>
              <w:jc w:val="right"/>
              <w:rPr>
                <w:color w:val="000000"/>
              </w:rPr>
            </w:pPr>
            <w:r>
              <w:rPr>
                <w:color w:val="000000"/>
              </w:rPr>
              <w:t>149,721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060" w:type="dxa"/>
            <w:tcBorders/>
            <w:shd w:fill="auto" w:val="cle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0"/>
              <w:jc w:val="right"/>
              <w:rPr>
                <w:color w:val="000000"/>
              </w:rPr>
            </w:pPr>
            <w:r>
              <w:rPr>
                <w:color w:val="000000"/>
              </w:rPr>
              <w:t>321,309</w:t>
            </w:r>
          </w:p>
        </w:tc>
        <w:tc>
          <w:tcPr>
            <w:tcW w:w="65" w:type="dxa"/>
            <w:tcBorders/>
            <w:shd w:fill="auto" w:val="clear"/>
            <w:vAlign w:val="bottom"/>
          </w:tcPr>
          <w:p>
            <w:pPr>
              <w:pStyle w:val="TableContents"/>
              <w:spacing w:before="0" w:after="283"/>
              <w:rPr/>
            </w:pPr>
            <w:r>
              <w:rPr/>
              <w:t> </w:t>
            </w:r>
          </w:p>
        </w:tc>
      </w:tr>
      <w:tr>
        <w:trPr/>
        <w:tc>
          <w:tcPr>
            <w:tcW w:w="1996" w:type="dxa"/>
            <w:tcBorders/>
            <w:shd w:fill="CCEEFF" w:val="clear"/>
            <w:vAlign w:val="bottom"/>
          </w:tcPr>
          <w:p>
            <w:pPr>
              <w:pStyle w:val="TableContents"/>
              <w:spacing w:before="0" w:after="0"/>
              <w:ind w:left="324" w:right="0" w:hanging="144"/>
              <w:rPr>
                <w:color w:val="000000"/>
              </w:rPr>
            </w:pPr>
            <w:r>
              <w:rPr>
                <w:color w:val="000000"/>
              </w:rPr>
              <w:t>Other consumer</w:t>
            </w:r>
          </w:p>
        </w:tc>
        <w:tc>
          <w:tcPr>
            <w:tcW w:w="60" w:type="dxa"/>
            <w:tcBorders/>
            <w:shd w:fill="CCEEFF" w:val="clear"/>
            <w:vAlign w:val="bottom"/>
          </w:tcPr>
          <w:p>
            <w:pPr>
              <w:pStyle w:val="TableContents"/>
              <w:spacing w:before="0" w:after="283"/>
              <w:rPr/>
            </w:pPr>
            <w:r>
              <w:rPr/>
              <w:t> </w:t>
            </w:r>
          </w:p>
        </w:tc>
        <w:tc>
          <w:tcPr>
            <w:tcW w:w="228" w:type="dxa"/>
            <w:tcBorders/>
            <w:shd w:fill="CCEEFF" w:val="clear"/>
            <w:vAlign w:val="bottom"/>
          </w:tcPr>
          <w:p>
            <w:pPr>
              <w:pStyle w:val="TableContents"/>
              <w:spacing w:before="0" w:after="283"/>
              <w:rPr/>
            </w:pPr>
            <w:r>
              <w:rPr/>
              <w:t> </w:t>
            </w:r>
          </w:p>
        </w:tc>
        <w:tc>
          <w:tcPr>
            <w:tcW w:w="1307" w:type="dxa"/>
            <w:tcBorders/>
            <w:shd w:fill="CCEEFF" w:val="clear"/>
            <w:vAlign w:val="bottom"/>
          </w:tcPr>
          <w:p>
            <w:pPr>
              <w:pStyle w:val="TableContents"/>
              <w:spacing w:before="0" w:after="0"/>
              <w:jc w:val="right"/>
              <w:rPr>
                <w:color w:val="000000"/>
              </w:rPr>
            </w:pPr>
            <w:r>
              <w:rPr>
                <w:color w:val="000000"/>
              </w:rPr>
              <w:t>7,176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 </w:t>
            </w:r>
          </w:p>
        </w:tc>
        <w:tc>
          <w:tcPr>
            <w:tcW w:w="1564" w:type="dxa"/>
            <w:tcBorders/>
            <w:shd w:fill="CCEEFF" w:val="clear"/>
            <w:vAlign w:val="bottom"/>
          </w:tcPr>
          <w:p>
            <w:pPr>
              <w:pStyle w:val="TableContents"/>
              <w:spacing w:before="0" w:after="0"/>
              <w:jc w:val="right"/>
              <w:rPr>
                <w:color w:val="000000"/>
              </w:rPr>
            </w:pPr>
            <w:r>
              <w:rPr>
                <w:color w:val="000000"/>
              </w:rPr>
              <w:t>49,049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85" w:type="dxa"/>
            <w:tcBorders/>
            <w:shd w:fill="CCEEFF" w:val="clear"/>
            <w:vAlign w:val="bottom"/>
          </w:tcPr>
          <w:p>
            <w:pPr>
              <w:pStyle w:val="TableContents"/>
              <w:spacing w:before="0" w:after="283"/>
              <w:rPr/>
            </w:pPr>
            <w:r>
              <w:rPr/>
              <w:t> </w:t>
            </w:r>
          </w:p>
        </w:tc>
        <w:tc>
          <w:tcPr>
            <w:tcW w:w="1632" w:type="dxa"/>
            <w:tcBorders/>
            <w:shd w:fill="CCEEFF" w:val="clear"/>
            <w:vAlign w:val="bottom"/>
          </w:tcPr>
          <w:p>
            <w:pPr>
              <w:pStyle w:val="TableContents"/>
              <w:spacing w:before="0" w:after="0"/>
              <w:jc w:val="right"/>
              <w:rPr>
                <w:color w:val="000000"/>
              </w:rPr>
            </w:pPr>
            <w:r>
              <w:rPr>
                <w:color w:val="000000"/>
              </w:rPr>
              <w:t>25,188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060" w:type="dxa"/>
            <w:tcBorders/>
            <w:shd w:fill="CCEEFF" w:val="clear"/>
            <w:vAlign w:val="bottom"/>
          </w:tcPr>
          <w:p>
            <w:pPr>
              <w:pStyle w:val="TableContents"/>
              <w:spacing w:before="0" w:after="0"/>
              <w:jc w:val="right"/>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color w:val="000000"/>
              </w:rPr>
            </w:pPr>
            <w:r>
              <w:rPr>
                <w:color w:val="000000"/>
              </w:rPr>
              <w:t>81,413</w:t>
            </w:r>
          </w:p>
        </w:tc>
        <w:tc>
          <w:tcPr>
            <w:tcW w:w="65" w:type="dxa"/>
            <w:tcBorders/>
            <w:shd w:fill="CCEEFF" w:val="clear"/>
            <w:vAlign w:val="bottom"/>
          </w:tcPr>
          <w:p>
            <w:pPr>
              <w:pStyle w:val="TableContents"/>
              <w:spacing w:before="0" w:after="283"/>
              <w:rPr/>
            </w:pPr>
            <w:r>
              <w:rPr/>
              <w:t> </w:t>
            </w:r>
          </w:p>
        </w:tc>
      </w:tr>
      <w:tr>
        <w:trPr/>
        <w:tc>
          <w:tcPr>
            <w:tcW w:w="1996" w:type="dxa"/>
            <w:tcBorders/>
            <w:shd w:fill="auto" w:val="clear"/>
            <w:vAlign w:val="bottom"/>
          </w:tcPr>
          <w:p>
            <w:pPr>
              <w:pStyle w:val="TableContents"/>
              <w:spacing w:before="0" w:after="0"/>
              <w:ind w:left="144" w:right="0" w:hanging="144"/>
              <w:rPr>
                <w:color w:val="000000"/>
              </w:rPr>
            </w:pPr>
            <w:r>
              <w:rPr>
                <w:color w:val="000000"/>
              </w:rPr>
              <w:t>Construction</w:t>
            </w:r>
          </w:p>
        </w:tc>
        <w:tc>
          <w:tcPr>
            <w:tcW w:w="60" w:type="dxa"/>
            <w:tcBorders/>
            <w:shd w:fill="auto" w:val="clear"/>
            <w:vAlign w:val="bottom"/>
          </w:tcPr>
          <w:p>
            <w:pPr>
              <w:pStyle w:val="TableContents"/>
              <w:spacing w:before="0" w:after="283"/>
              <w:rPr/>
            </w:pPr>
            <w:r>
              <w:rPr/>
              <w:t> </w:t>
            </w:r>
          </w:p>
        </w:tc>
        <w:tc>
          <w:tcPr>
            <w:tcW w:w="228" w:type="dxa"/>
            <w:tcBorders>
              <w:bottom w:val="single" w:sz="12" w:space="0" w:color="000000"/>
            </w:tcBorders>
            <w:shd w:fill="auto" w:val="clear"/>
            <w:tcMar>
              <w:bottom w:w="28" w:type="dxa"/>
            </w:tcMar>
            <w:vAlign w:val="bottom"/>
          </w:tcPr>
          <w:p>
            <w:pPr>
              <w:pStyle w:val="TableContents"/>
              <w:spacing w:before="0" w:after="283"/>
              <w:rPr/>
            </w:pPr>
            <w:r>
              <w:rPr/>
              <w:t> </w:t>
            </w:r>
          </w:p>
        </w:tc>
        <w:tc>
          <w:tcPr>
            <w:tcW w:w="1307"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123,731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3" w:type="dxa"/>
            <w:tcBorders>
              <w:bottom w:val="single" w:sz="12" w:space="0" w:color="000000"/>
            </w:tcBorders>
            <w:shd w:fill="auto" w:val="clear"/>
            <w:tcMar>
              <w:bottom w:w="28" w:type="dxa"/>
            </w:tcMar>
            <w:vAlign w:val="bottom"/>
          </w:tcPr>
          <w:p>
            <w:pPr>
              <w:pStyle w:val="TableContents"/>
              <w:spacing w:before="0" w:after="283"/>
              <w:rPr/>
            </w:pPr>
            <w:r>
              <w:rPr/>
              <w:t> </w:t>
            </w:r>
          </w:p>
        </w:tc>
        <w:tc>
          <w:tcPr>
            <w:tcW w:w="1564"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16,350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85" w:type="dxa"/>
            <w:tcBorders>
              <w:bottom w:val="single" w:sz="12" w:space="0" w:color="000000"/>
            </w:tcBorders>
            <w:shd w:fill="auto" w:val="clear"/>
            <w:tcMar>
              <w:bottom w:w="28" w:type="dxa"/>
            </w:tcMar>
            <w:vAlign w:val="bottom"/>
          </w:tcPr>
          <w:p>
            <w:pPr>
              <w:pStyle w:val="TableContents"/>
              <w:spacing w:before="0" w:after="283"/>
              <w:rPr/>
            </w:pPr>
            <w:r>
              <w:rPr/>
              <w:t> </w:t>
            </w:r>
          </w:p>
        </w:tc>
        <w:tc>
          <w:tcPr>
            <w:tcW w:w="1632"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5" w:type="dxa"/>
            <w:tcBorders>
              <w:bottom w:val="single" w:sz="12" w:space="0" w:color="000000"/>
            </w:tcBorders>
            <w:shd w:fill="auto" w:val="clear"/>
            <w:tcMar>
              <w:bottom w:w="28" w:type="dxa"/>
            </w:tcMar>
            <w:vAlign w:val="bottom"/>
          </w:tcPr>
          <w:p>
            <w:pPr>
              <w:pStyle w:val="TableContents"/>
              <w:spacing w:before="0" w:after="283"/>
              <w:rPr/>
            </w:pPr>
            <w:r>
              <w:rPr/>
              <w:t> </w:t>
            </w:r>
          </w:p>
        </w:tc>
        <w:tc>
          <w:tcPr>
            <w:tcW w:w="106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8,033</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rPr/>
            </w:pPr>
            <w:r>
              <w:rPr/>
              <w:t> </w:t>
            </w:r>
          </w:p>
        </w:tc>
        <w:tc>
          <w:tcPr>
            <w:tcW w:w="98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148,114</w:t>
            </w:r>
          </w:p>
        </w:tc>
        <w:tc>
          <w:tcPr>
            <w:tcW w:w="65" w:type="dxa"/>
            <w:tcBorders/>
            <w:shd w:fill="auto" w:val="clear"/>
            <w:vAlign w:val="bottom"/>
          </w:tcPr>
          <w:p>
            <w:pPr>
              <w:pStyle w:val="TableContents"/>
              <w:spacing w:before="0" w:after="283"/>
              <w:rPr/>
            </w:pPr>
            <w:r>
              <w:rPr/>
              <w:t> </w:t>
            </w:r>
          </w:p>
        </w:tc>
      </w:tr>
      <w:tr>
        <w:trPr/>
        <w:tc>
          <w:tcPr>
            <w:tcW w:w="1996" w:type="dxa"/>
            <w:tcBorders/>
            <w:shd w:fill="CCEEFF" w:val="clear"/>
            <w:vAlign w:val="bottom"/>
          </w:tcPr>
          <w:p>
            <w:pPr>
              <w:pStyle w:val="TableContents"/>
              <w:spacing w:before="0" w:after="0"/>
              <w:ind w:left="324" w:right="0" w:hanging="144"/>
              <w:rPr>
                <w:color w:val="000000"/>
              </w:rPr>
            </w:pPr>
            <w:r>
              <w:rPr>
                <w:color w:val="000000"/>
              </w:rPr>
              <w:t>Total loans</w:t>
            </w:r>
          </w:p>
        </w:tc>
        <w:tc>
          <w:tcPr>
            <w:tcW w:w="60" w:type="dxa"/>
            <w:tcBorders/>
            <w:shd w:fill="CCEEFF" w:val="clear"/>
            <w:vAlign w:val="bottom"/>
          </w:tcPr>
          <w:p>
            <w:pPr>
              <w:pStyle w:val="TableContents"/>
              <w:spacing w:before="0" w:after="283"/>
              <w:rPr/>
            </w:pPr>
            <w:r>
              <w:rPr/>
              <w:t> </w:t>
            </w:r>
          </w:p>
        </w:tc>
        <w:tc>
          <w:tcPr>
            <w:tcW w:w="228" w:type="dxa"/>
            <w:tcBorders>
              <w:bottom w:val="double" w:sz="8" w:space="0" w:color="000000"/>
            </w:tcBorders>
            <w:shd w:fill="CCEEFF" w:val="clear"/>
            <w:tcMar>
              <w:bottom w:w="28" w:type="dxa"/>
            </w:tcMar>
            <w:vAlign w:val="bottom"/>
          </w:tcPr>
          <w:p>
            <w:pPr>
              <w:pStyle w:val="TableContents"/>
              <w:spacing w:before="0" w:after="0"/>
              <w:rPr>
                <w:color w:val="000000"/>
              </w:rPr>
            </w:pPr>
            <w:r>
              <w:rPr>
                <w:color w:val="000000"/>
              </w:rPr>
              <w:t>$</w:t>
            </w:r>
          </w:p>
        </w:tc>
        <w:tc>
          <w:tcPr>
            <w:tcW w:w="1307"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410,356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3" w:type="dxa"/>
            <w:tcBorders>
              <w:bottom w:val="double" w:sz="8" w:space="0" w:color="000000"/>
            </w:tcBorders>
            <w:shd w:fill="CCEEFF" w:val="clear"/>
            <w:tcMar>
              <w:bottom w:w="28" w:type="dxa"/>
            </w:tcMar>
            <w:vAlign w:val="bottom"/>
          </w:tcPr>
          <w:p>
            <w:pPr>
              <w:pStyle w:val="TableContents"/>
              <w:spacing w:before="0" w:after="0"/>
              <w:rPr>
                <w:color w:val="000000"/>
              </w:rPr>
            </w:pPr>
            <w:r>
              <w:rPr>
                <w:color w:val="000000"/>
              </w:rPr>
              <w:t>$</w:t>
            </w:r>
          </w:p>
        </w:tc>
        <w:tc>
          <w:tcPr>
            <w:tcW w:w="1564"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1,106,652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85" w:type="dxa"/>
            <w:tcBorders>
              <w:bottom w:val="double" w:sz="8" w:space="0" w:color="000000"/>
            </w:tcBorders>
            <w:shd w:fill="CCEEFF" w:val="clear"/>
            <w:tcMar>
              <w:bottom w:w="28" w:type="dxa"/>
            </w:tcMar>
            <w:vAlign w:val="bottom"/>
          </w:tcPr>
          <w:p>
            <w:pPr>
              <w:pStyle w:val="TableContents"/>
              <w:spacing w:before="0" w:after="0"/>
              <w:rPr>
                <w:color w:val="000000"/>
              </w:rPr>
            </w:pPr>
            <w:r>
              <w:rPr>
                <w:color w:val="000000"/>
              </w:rPr>
              <w:t>$</w:t>
            </w:r>
          </w:p>
        </w:tc>
        <w:tc>
          <w:tcPr>
            <w:tcW w:w="1632"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700,801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5" w:type="dxa"/>
            <w:tcBorders>
              <w:bottom w:val="double" w:sz="8" w:space="0" w:color="000000"/>
            </w:tcBorders>
            <w:shd w:fill="CCEEFF" w:val="clear"/>
            <w:tcMar>
              <w:bottom w:w="28" w:type="dxa"/>
            </w:tcMar>
            <w:vAlign w:val="bottom"/>
          </w:tcPr>
          <w:p>
            <w:pPr>
              <w:pStyle w:val="TableContents"/>
              <w:spacing w:before="0" w:after="0"/>
              <w:rPr>
                <w:color w:val="000000"/>
              </w:rPr>
            </w:pPr>
            <w:r>
              <w:rPr>
                <w:color w:val="000000"/>
              </w:rPr>
              <w:t>$</w:t>
            </w:r>
          </w:p>
        </w:tc>
        <w:tc>
          <w:tcPr>
            <w:tcW w:w="1060"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570,831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rPr>
                <w:color w:val="000000"/>
              </w:rPr>
            </w:pPr>
            <w:r>
              <w:rPr>
                <w:color w:val="000000"/>
              </w:rPr>
              <w:t>$</w:t>
            </w:r>
          </w:p>
        </w:tc>
        <w:tc>
          <w:tcPr>
            <w:tcW w:w="980"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2,788,640</w:t>
            </w:r>
          </w:p>
        </w:tc>
        <w:tc>
          <w:tcPr>
            <w:tcW w:w="65" w:type="dxa"/>
            <w:tcBorders/>
            <w:shd w:fill="CCEEFF" w:val="clear"/>
            <w:vAlign w:val="bottom"/>
          </w:tcPr>
          <w:p>
            <w:pPr>
              <w:pStyle w:val="TableContents"/>
              <w:spacing w:before="0" w:after="283"/>
              <w:rPr/>
            </w:pPr>
            <w:r>
              <w:rPr/>
              <w:t> </w:t>
            </w:r>
          </w:p>
        </w:tc>
      </w:tr>
    </w:tbl>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36</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b w:val="false"/>
            <w:i/>
            <w:color w:val="000000"/>
            <w:sz w:val="16"/>
          </w:rPr>
          <w:t>Table of Contents</w:t>
        </w:r>
      </w:hyperlink>
    </w:p>
    <w:p>
      <w:pPr>
        <w:pStyle w:val="TextBody"/>
        <w:spacing w:before="0" w:after="0"/>
        <w:jc w:val="both"/>
        <w:rPr>
          <w:rFonts w:ascii="Times New Roman" w:hAnsi="Times New Roman"/>
          <w:color w:val="000000"/>
          <w:sz w:val="20"/>
        </w:rPr>
      </w:pPr>
      <w:r>
        <w:rPr>
          <w:rFonts w:ascii="Times New Roman" w:hAnsi="Times New Roman"/>
          <w:color w:val="000000"/>
          <w:sz w:val="20"/>
        </w:rPr>
        <w:t>The following table shows the distribution between fixed and adjustable interest rate loans for maturities greater than one year as of March 31, 2023:</w:t>
      </w:r>
    </w:p>
    <w:p>
      <w:pPr>
        <w:pStyle w:val="TextBody"/>
        <w:spacing w:before="0" w:after="0"/>
        <w:jc w:val="left"/>
        <w:rPr/>
      </w:pPr>
      <w:r>
        <w:rPr/>
      </w:r>
    </w:p>
    <w:tbl>
      <w:tblPr>
        <w:tblW w:w="4895" w:type="dxa"/>
        <w:jc w:val="left"/>
        <w:tblInd w:w="0" w:type="dxa"/>
        <w:tblCellMar>
          <w:top w:w="0" w:type="dxa"/>
          <w:left w:w="0" w:type="dxa"/>
          <w:bottom w:w="0" w:type="dxa"/>
          <w:right w:w="0" w:type="dxa"/>
        </w:tblCellMar>
      </w:tblPr>
      <w:tblGrid>
        <w:gridCol w:w="2405"/>
        <w:gridCol w:w="60"/>
        <w:gridCol w:w="140"/>
        <w:gridCol w:w="980"/>
        <w:gridCol w:w="60"/>
        <w:gridCol w:w="60"/>
        <w:gridCol w:w="141"/>
        <w:gridCol w:w="989"/>
        <w:gridCol w:w="60"/>
      </w:tblGrid>
      <w:tr>
        <w:trPr/>
        <w:tc>
          <w:tcPr>
            <w:tcW w:w="240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Fixed</w:t>
            </w:r>
          </w:p>
          <w:p>
            <w:pPr>
              <w:pStyle w:val="TableContents"/>
              <w:spacing w:before="0" w:after="0"/>
              <w:jc w:val="center"/>
              <w:rPr>
                <w:b/>
                <w:color w:val="000000"/>
              </w:rPr>
            </w:pPr>
            <w:r>
              <w:rPr>
                <w:b/>
                <w:color w:val="000000"/>
              </w:rPr>
              <w:t>Rate</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3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Adjustable</w:t>
            </w:r>
          </w:p>
          <w:p>
            <w:pPr>
              <w:pStyle w:val="TableContents"/>
              <w:spacing w:before="0" w:after="0"/>
              <w:jc w:val="center"/>
              <w:rPr>
                <w:b/>
                <w:color w:val="000000"/>
              </w:rPr>
            </w:pPr>
            <w:r>
              <w:rPr>
                <w:b/>
                <w:color w:val="000000"/>
              </w:rPr>
              <w:t>Rate</w:t>
            </w:r>
          </w:p>
        </w:tc>
        <w:tc>
          <w:tcPr>
            <w:tcW w:w="60" w:type="dxa"/>
            <w:tcBorders/>
            <w:shd w:fill="auto" w:val="clear"/>
            <w:vAlign w:val="bottom"/>
          </w:tcPr>
          <w:p>
            <w:pPr>
              <w:pStyle w:val="TableContents"/>
              <w:spacing w:before="0" w:after="283"/>
              <w:rPr/>
            </w:pPr>
            <w:r>
              <w:rPr/>
              <w:t> </w:t>
            </w:r>
          </w:p>
        </w:tc>
      </w:tr>
      <w:tr>
        <w:trPr/>
        <w:tc>
          <w:tcPr>
            <w:tcW w:w="240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70" w:type="dxa"/>
            <w:gridSpan w:val="6"/>
            <w:tcBorders/>
            <w:shd w:fill="auto" w:val="clear"/>
            <w:vAlign w:val="bottom"/>
          </w:tcPr>
          <w:p>
            <w:pPr>
              <w:pStyle w:val="TableContents"/>
              <w:spacing w:before="0" w:after="0"/>
              <w:jc w:val="center"/>
              <w:rPr>
                <w:b/>
                <w:color w:val="000000"/>
              </w:rPr>
            </w:pPr>
            <w:r>
              <w:rPr>
                <w:b/>
                <w:color w:val="000000"/>
              </w:rPr>
              <w:t>(Dollars in thousands)</w:t>
            </w:r>
          </w:p>
        </w:tc>
        <w:tc>
          <w:tcPr>
            <w:tcW w:w="60" w:type="dxa"/>
            <w:tcBorders/>
            <w:shd w:fill="auto" w:val="clear"/>
            <w:vAlign w:val="bottom"/>
          </w:tcPr>
          <w:p>
            <w:pPr>
              <w:pStyle w:val="TableContents"/>
              <w:spacing w:before="0" w:after="283"/>
              <w:rPr/>
            </w:pPr>
            <w:r>
              <w:rPr/>
              <w:t> </w:t>
            </w:r>
          </w:p>
        </w:tc>
      </w:tr>
      <w:tr>
        <w:trPr/>
        <w:tc>
          <w:tcPr>
            <w:tcW w:w="2405" w:type="dxa"/>
            <w:tcBorders/>
            <w:shd w:fill="CCEEFF" w:val="clear"/>
            <w:vAlign w:val="bottom"/>
          </w:tcPr>
          <w:p>
            <w:pPr>
              <w:pStyle w:val="TableContents"/>
              <w:spacing w:before="0" w:after="0"/>
              <w:ind w:left="144" w:right="0" w:hanging="144"/>
              <w:rPr>
                <w:color w:val="000000"/>
              </w:rPr>
            </w:pPr>
            <w:r>
              <w:rPr>
                <w:color w:val="000000"/>
              </w:rPr>
              <w:t>Commercial real estate</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color w:val="000000"/>
              </w:rPr>
            </w:pPr>
            <w:r>
              <w:rPr>
                <w:color w:val="000000"/>
              </w:rPr>
              <w:t>$</w:t>
            </w:r>
          </w:p>
        </w:tc>
        <w:tc>
          <w:tcPr>
            <w:tcW w:w="980" w:type="dxa"/>
            <w:tcBorders/>
            <w:shd w:fill="CCEEFF" w:val="clear"/>
            <w:vAlign w:val="bottom"/>
          </w:tcPr>
          <w:p>
            <w:pPr>
              <w:pStyle w:val="TableContents"/>
              <w:spacing w:before="0" w:after="0"/>
              <w:jc w:val="right"/>
              <w:rPr>
                <w:color w:val="000000"/>
              </w:rPr>
            </w:pPr>
            <w:r>
              <w:rPr>
                <w:color w:val="000000"/>
              </w:rPr>
              <w:t>391,565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0"/>
              <w:rPr>
                <w:color w:val="000000"/>
              </w:rPr>
            </w:pPr>
            <w:r>
              <w:rPr>
                <w:color w:val="000000"/>
              </w:rPr>
              <w:t>$</w:t>
            </w:r>
          </w:p>
        </w:tc>
        <w:tc>
          <w:tcPr>
            <w:tcW w:w="989" w:type="dxa"/>
            <w:tcBorders/>
            <w:shd w:fill="CCEEFF" w:val="clear"/>
            <w:vAlign w:val="bottom"/>
          </w:tcPr>
          <w:p>
            <w:pPr>
              <w:pStyle w:val="TableContents"/>
              <w:spacing w:before="0" w:after="0"/>
              <w:jc w:val="right"/>
              <w:rPr>
                <w:color w:val="000000"/>
              </w:rPr>
            </w:pPr>
            <w:r>
              <w:rPr>
                <w:color w:val="000000"/>
              </w:rPr>
              <w:t>449,869</w:t>
            </w:r>
          </w:p>
        </w:tc>
        <w:tc>
          <w:tcPr>
            <w:tcW w:w="60" w:type="dxa"/>
            <w:tcBorders/>
            <w:shd w:fill="CCEEFF" w:val="clear"/>
            <w:vAlign w:val="bottom"/>
          </w:tcPr>
          <w:p>
            <w:pPr>
              <w:pStyle w:val="TableContents"/>
              <w:spacing w:before="0" w:after="283"/>
              <w:rPr/>
            </w:pPr>
            <w:r>
              <w:rPr/>
              <w:t> </w:t>
            </w:r>
          </w:p>
        </w:tc>
      </w:tr>
      <w:tr>
        <w:trPr/>
        <w:tc>
          <w:tcPr>
            <w:tcW w:w="2405" w:type="dxa"/>
            <w:tcBorders/>
            <w:shd w:fill="auto" w:val="clear"/>
            <w:vAlign w:val="bottom"/>
          </w:tcPr>
          <w:p>
            <w:pPr>
              <w:pStyle w:val="TableContents"/>
              <w:spacing w:before="0" w:after="0"/>
              <w:ind w:left="144" w:right="0" w:hanging="144"/>
              <w:rPr>
                <w:color w:val="000000"/>
              </w:rPr>
            </w:pPr>
            <w:r>
              <w:rPr>
                <w:color w:val="000000"/>
              </w:rPr>
              <w:t>Commercial - specialized</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0"/>
              <w:jc w:val="right"/>
              <w:rPr>
                <w:color w:val="000000"/>
              </w:rPr>
            </w:pPr>
            <w:r>
              <w:rPr>
                <w:color w:val="000000"/>
              </w:rPr>
              <w:t>67,546</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989" w:type="dxa"/>
            <w:tcBorders/>
            <w:shd w:fill="auto" w:val="clear"/>
            <w:vAlign w:val="bottom"/>
          </w:tcPr>
          <w:p>
            <w:pPr>
              <w:pStyle w:val="TableContents"/>
              <w:spacing w:before="0" w:after="0"/>
              <w:jc w:val="right"/>
              <w:rPr>
                <w:color w:val="000000"/>
              </w:rPr>
            </w:pPr>
            <w:r>
              <w:rPr>
                <w:color w:val="000000"/>
              </w:rPr>
              <w:t>172,998</w:t>
            </w:r>
          </w:p>
        </w:tc>
        <w:tc>
          <w:tcPr>
            <w:tcW w:w="60" w:type="dxa"/>
            <w:tcBorders/>
            <w:shd w:fill="auto" w:val="clear"/>
            <w:vAlign w:val="bottom"/>
          </w:tcPr>
          <w:p>
            <w:pPr>
              <w:pStyle w:val="TableContents"/>
              <w:spacing w:before="0" w:after="283"/>
              <w:rPr/>
            </w:pPr>
            <w:r>
              <w:rPr/>
              <w:t> </w:t>
            </w:r>
          </w:p>
        </w:tc>
      </w:tr>
      <w:tr>
        <w:trPr/>
        <w:tc>
          <w:tcPr>
            <w:tcW w:w="2405" w:type="dxa"/>
            <w:tcBorders/>
            <w:shd w:fill="CCEEFF" w:val="clear"/>
            <w:vAlign w:val="bottom"/>
          </w:tcPr>
          <w:p>
            <w:pPr>
              <w:pStyle w:val="TableContents"/>
              <w:spacing w:before="0" w:after="0"/>
              <w:ind w:left="144" w:right="0" w:hanging="144"/>
              <w:rPr>
                <w:color w:val="000000"/>
              </w:rPr>
            </w:pPr>
            <w:r>
              <w:rPr>
                <w:color w:val="000000"/>
              </w:rPr>
              <w:t>Commercial - general</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color w:val="000000"/>
              </w:rPr>
            </w:pPr>
            <w:r>
              <w:rPr>
                <w:color w:val="000000"/>
              </w:rPr>
              <w:t>168,265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989" w:type="dxa"/>
            <w:tcBorders/>
            <w:shd w:fill="CCEEFF" w:val="clear"/>
            <w:vAlign w:val="bottom"/>
          </w:tcPr>
          <w:p>
            <w:pPr>
              <w:pStyle w:val="TableContents"/>
              <w:spacing w:before="0" w:after="0"/>
              <w:jc w:val="right"/>
              <w:rPr>
                <w:color w:val="000000"/>
              </w:rPr>
            </w:pPr>
            <w:r>
              <w:rPr>
                <w:color w:val="000000"/>
              </w:rPr>
              <w:t>259,561</w:t>
            </w:r>
          </w:p>
        </w:tc>
        <w:tc>
          <w:tcPr>
            <w:tcW w:w="60" w:type="dxa"/>
            <w:tcBorders/>
            <w:shd w:fill="CCEEFF" w:val="clear"/>
            <w:vAlign w:val="bottom"/>
          </w:tcPr>
          <w:p>
            <w:pPr>
              <w:pStyle w:val="TableContents"/>
              <w:spacing w:before="0" w:after="283"/>
              <w:rPr/>
            </w:pPr>
            <w:r>
              <w:rPr/>
              <w:t> </w:t>
            </w:r>
          </w:p>
        </w:tc>
      </w:tr>
      <w:tr>
        <w:trPr/>
        <w:tc>
          <w:tcPr>
            <w:tcW w:w="2405" w:type="dxa"/>
            <w:tcBorders/>
            <w:shd w:fill="auto" w:val="clear"/>
            <w:vAlign w:val="bottom"/>
          </w:tcPr>
          <w:p>
            <w:pPr>
              <w:pStyle w:val="TableContents"/>
              <w:spacing w:before="0" w:after="0"/>
              <w:ind w:left="144" w:right="0" w:hanging="144"/>
              <w:rPr>
                <w:color w:val="000000"/>
              </w:rPr>
            </w:pPr>
            <w:r>
              <w:rPr>
                <w:color w:val="000000"/>
              </w:rPr>
              <w:t>Consumer:</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989"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r>
      <w:tr>
        <w:trPr/>
        <w:tc>
          <w:tcPr>
            <w:tcW w:w="2405" w:type="dxa"/>
            <w:tcBorders/>
            <w:shd w:fill="CCEEFF" w:val="clear"/>
            <w:vAlign w:val="bottom"/>
          </w:tcPr>
          <w:p>
            <w:pPr>
              <w:pStyle w:val="TableContents"/>
              <w:spacing w:before="0" w:after="0"/>
              <w:ind w:left="324" w:right="0" w:hanging="144"/>
              <w:rPr>
                <w:color w:val="000000"/>
              </w:rPr>
            </w:pPr>
            <w:r>
              <w:rPr>
                <w:color w:val="000000"/>
              </w:rPr>
              <w:t>1-4 family residential</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color w:val="000000"/>
              </w:rPr>
            </w:pPr>
            <w:r>
              <w:rPr>
                <w:color w:val="000000"/>
              </w:rPr>
              <w:t>270,985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989" w:type="dxa"/>
            <w:tcBorders/>
            <w:shd w:fill="CCEEFF" w:val="clear"/>
            <w:vAlign w:val="bottom"/>
          </w:tcPr>
          <w:p>
            <w:pPr>
              <w:pStyle w:val="TableContents"/>
              <w:spacing w:before="0" w:after="0"/>
              <w:jc w:val="right"/>
              <w:rPr>
                <w:color w:val="000000"/>
              </w:rPr>
            </w:pPr>
            <w:r>
              <w:rPr>
                <w:color w:val="000000"/>
              </w:rPr>
              <w:t>180,498</w:t>
            </w:r>
          </w:p>
        </w:tc>
        <w:tc>
          <w:tcPr>
            <w:tcW w:w="60" w:type="dxa"/>
            <w:tcBorders/>
            <w:shd w:fill="CCEEFF" w:val="clear"/>
            <w:vAlign w:val="bottom"/>
          </w:tcPr>
          <w:p>
            <w:pPr>
              <w:pStyle w:val="TableContents"/>
              <w:spacing w:before="0" w:after="283"/>
              <w:rPr/>
            </w:pPr>
            <w:r>
              <w:rPr/>
              <w:t> </w:t>
            </w:r>
          </w:p>
        </w:tc>
      </w:tr>
      <w:tr>
        <w:trPr/>
        <w:tc>
          <w:tcPr>
            <w:tcW w:w="2405" w:type="dxa"/>
            <w:tcBorders/>
            <w:shd w:fill="auto" w:val="clear"/>
            <w:vAlign w:val="bottom"/>
          </w:tcPr>
          <w:p>
            <w:pPr>
              <w:pStyle w:val="TableContents"/>
              <w:spacing w:before="0" w:after="0"/>
              <w:ind w:left="324" w:right="0" w:hanging="144"/>
              <w:rPr>
                <w:color w:val="000000"/>
              </w:rPr>
            </w:pPr>
            <w:r>
              <w:rPr>
                <w:color w:val="000000"/>
              </w:rPr>
              <w:t>Auto loans</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0"/>
              <w:jc w:val="right"/>
              <w:rPr>
                <w:color w:val="000000"/>
              </w:rPr>
            </w:pPr>
            <w:r>
              <w:rPr>
                <w:color w:val="000000"/>
              </w:rPr>
              <w:t>318,377</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989" w:type="dxa"/>
            <w:tcBorders/>
            <w:shd w:fill="auto" w:val="clear"/>
            <w:vAlign w:val="bottom"/>
          </w:tcPr>
          <w:p>
            <w:pPr>
              <w:pStyle w:val="TableContents"/>
              <w:spacing w:before="0" w:after="0"/>
              <w:jc w:val="right"/>
              <w:rPr>
                <w:color w:val="000000"/>
              </w:rPr>
            </w:pPr>
            <w:r>
              <w:rPr>
                <w:color w:val="000000"/>
              </w:rPr>
              <w:t>—</w:t>
            </w:r>
          </w:p>
        </w:tc>
        <w:tc>
          <w:tcPr>
            <w:tcW w:w="60" w:type="dxa"/>
            <w:tcBorders/>
            <w:shd w:fill="auto" w:val="clear"/>
            <w:vAlign w:val="bottom"/>
          </w:tcPr>
          <w:p>
            <w:pPr>
              <w:pStyle w:val="TableContents"/>
              <w:spacing w:before="0" w:after="283"/>
              <w:rPr/>
            </w:pPr>
            <w:r>
              <w:rPr/>
              <w:t> </w:t>
            </w:r>
          </w:p>
        </w:tc>
      </w:tr>
      <w:tr>
        <w:trPr/>
        <w:tc>
          <w:tcPr>
            <w:tcW w:w="2405" w:type="dxa"/>
            <w:tcBorders/>
            <w:shd w:fill="CCEEFF" w:val="clear"/>
            <w:vAlign w:val="bottom"/>
          </w:tcPr>
          <w:p>
            <w:pPr>
              <w:pStyle w:val="TableContents"/>
              <w:spacing w:before="0" w:after="0"/>
              <w:ind w:left="324" w:right="0" w:hanging="144"/>
              <w:rPr>
                <w:color w:val="000000"/>
              </w:rPr>
            </w:pPr>
            <w:r>
              <w:rPr>
                <w:color w:val="000000"/>
              </w:rPr>
              <w:t>Other consumer</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color w:val="000000"/>
              </w:rPr>
            </w:pPr>
            <w:r>
              <w:rPr>
                <w:color w:val="000000"/>
              </w:rPr>
              <w:t>73,783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989" w:type="dxa"/>
            <w:tcBorders/>
            <w:shd w:fill="CCEEFF" w:val="clear"/>
            <w:vAlign w:val="bottom"/>
          </w:tcPr>
          <w:p>
            <w:pPr>
              <w:pStyle w:val="TableContents"/>
              <w:spacing w:before="0" w:after="0"/>
              <w:jc w:val="right"/>
              <w:rPr>
                <w:color w:val="000000"/>
              </w:rPr>
            </w:pPr>
            <w:r>
              <w:rPr>
                <w:color w:val="000000"/>
              </w:rPr>
              <w:t>454</w:t>
            </w:r>
          </w:p>
        </w:tc>
        <w:tc>
          <w:tcPr>
            <w:tcW w:w="60" w:type="dxa"/>
            <w:tcBorders/>
            <w:shd w:fill="CCEEFF" w:val="clear"/>
            <w:vAlign w:val="bottom"/>
          </w:tcPr>
          <w:p>
            <w:pPr>
              <w:pStyle w:val="TableContents"/>
              <w:spacing w:before="0" w:after="283"/>
              <w:rPr/>
            </w:pPr>
            <w:r>
              <w:rPr/>
              <w:t> </w:t>
            </w:r>
          </w:p>
        </w:tc>
      </w:tr>
      <w:tr>
        <w:trPr/>
        <w:tc>
          <w:tcPr>
            <w:tcW w:w="2405" w:type="dxa"/>
            <w:tcBorders/>
            <w:shd w:fill="auto" w:val="clear"/>
            <w:vAlign w:val="bottom"/>
          </w:tcPr>
          <w:p>
            <w:pPr>
              <w:pStyle w:val="TableContents"/>
              <w:spacing w:before="0" w:after="0"/>
              <w:ind w:left="144" w:right="0" w:hanging="144"/>
              <w:rPr>
                <w:color w:val="000000"/>
              </w:rPr>
            </w:pPr>
            <w:r>
              <w:rPr>
                <w:color w:val="000000"/>
              </w:rPr>
              <w:t>Construction</w:t>
            </w:r>
          </w:p>
        </w:tc>
        <w:tc>
          <w:tcPr>
            <w:tcW w:w="60" w:type="dxa"/>
            <w:tcBorders/>
            <w:shd w:fill="auto" w:val="clear"/>
            <w:vAlign w:val="bottom"/>
          </w:tcPr>
          <w:p>
            <w:pPr>
              <w:pStyle w:val="TableContents"/>
              <w:spacing w:before="0" w:after="283"/>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rPr/>
            </w:pPr>
            <w:r>
              <w:rPr/>
              <w:t> </w:t>
            </w:r>
          </w:p>
        </w:tc>
        <w:tc>
          <w:tcPr>
            <w:tcW w:w="980"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1,243</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1" w:type="dxa"/>
            <w:tcBorders>
              <w:bottom w:val="single" w:sz="12" w:space="0" w:color="000000"/>
            </w:tcBorders>
            <w:shd w:fill="auto" w:val="clear"/>
            <w:tcMar>
              <w:bottom w:w="28" w:type="dxa"/>
            </w:tcMar>
            <w:vAlign w:val="bottom"/>
          </w:tcPr>
          <w:p>
            <w:pPr>
              <w:pStyle w:val="TableContents"/>
              <w:spacing w:before="0" w:after="283"/>
              <w:rPr/>
            </w:pPr>
            <w:r>
              <w:rPr/>
              <w:t> </w:t>
            </w:r>
          </w:p>
        </w:tc>
        <w:tc>
          <w:tcPr>
            <w:tcW w:w="989"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23,140</w:t>
            </w:r>
          </w:p>
        </w:tc>
        <w:tc>
          <w:tcPr>
            <w:tcW w:w="60" w:type="dxa"/>
            <w:tcBorders/>
            <w:shd w:fill="auto" w:val="clear"/>
            <w:vAlign w:val="bottom"/>
          </w:tcPr>
          <w:p>
            <w:pPr>
              <w:pStyle w:val="TableContents"/>
              <w:spacing w:before="0" w:after="283"/>
              <w:rPr/>
            </w:pPr>
            <w:r>
              <w:rPr/>
              <w:t> </w:t>
            </w:r>
          </w:p>
        </w:tc>
      </w:tr>
      <w:tr>
        <w:trPr/>
        <w:tc>
          <w:tcPr>
            <w:tcW w:w="2405" w:type="dxa"/>
            <w:tcBorders/>
            <w:shd w:fill="CCEEFF" w:val="clear"/>
            <w:vAlign w:val="bottom"/>
          </w:tcPr>
          <w:p>
            <w:pPr>
              <w:pStyle w:val="TableContents"/>
              <w:spacing w:before="0" w:after="0"/>
              <w:ind w:left="324" w:right="0" w:hanging="144"/>
              <w:rPr>
                <w:color w:val="000000"/>
              </w:rPr>
            </w:pPr>
            <w:r>
              <w:rPr>
                <w:color w:val="000000"/>
              </w:rPr>
              <w:t>Total loans</w:t>
            </w:r>
          </w:p>
        </w:tc>
        <w:tc>
          <w:tcPr>
            <w:tcW w:w="60" w:type="dxa"/>
            <w:tcBorders/>
            <w:shd w:fill="CCEEFF" w:val="clear"/>
            <w:vAlign w:val="bottom"/>
          </w:tcPr>
          <w:p>
            <w:pPr>
              <w:pStyle w:val="TableContents"/>
              <w:spacing w:before="0" w:after="283"/>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rPr>
                <w:color w:val="000000"/>
              </w:rPr>
            </w:pPr>
            <w:r>
              <w:rPr>
                <w:color w:val="000000"/>
              </w:rPr>
              <w:t>$</w:t>
            </w:r>
          </w:p>
        </w:tc>
        <w:tc>
          <w:tcPr>
            <w:tcW w:w="980"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1,291,764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1" w:type="dxa"/>
            <w:tcBorders>
              <w:bottom w:val="double" w:sz="8" w:space="0" w:color="000000"/>
            </w:tcBorders>
            <w:shd w:fill="CCEEFF" w:val="clear"/>
            <w:tcMar>
              <w:bottom w:w="28" w:type="dxa"/>
            </w:tcMar>
            <w:vAlign w:val="bottom"/>
          </w:tcPr>
          <w:p>
            <w:pPr>
              <w:pStyle w:val="TableContents"/>
              <w:spacing w:before="0" w:after="0"/>
              <w:rPr>
                <w:color w:val="000000"/>
              </w:rPr>
            </w:pPr>
            <w:r>
              <w:rPr>
                <w:color w:val="000000"/>
              </w:rPr>
              <w:t>$</w:t>
            </w:r>
          </w:p>
        </w:tc>
        <w:tc>
          <w:tcPr>
            <w:tcW w:w="989"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1,086,520</w:t>
            </w:r>
          </w:p>
        </w:tc>
        <w:tc>
          <w:tcPr>
            <w:tcW w:w="60" w:type="dxa"/>
            <w:tcBorders/>
            <w:shd w:fill="CCEEFF" w:val="clear"/>
            <w:vAlign w:val="bottom"/>
          </w:tcPr>
          <w:p>
            <w:pPr>
              <w:pStyle w:val="TableContents"/>
              <w:spacing w:before="0" w:after="283"/>
              <w:rPr/>
            </w:pPr>
            <w:r>
              <w:rPr/>
              <w:t> </w:t>
            </w:r>
          </w:p>
        </w:tc>
      </w:tr>
    </w:tbl>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 xml:space="preserve">At March 31, 2023, there was $1.32 billion in adjustable rate loans, with $623.1 million of these loans that mature or reprice in the next twelve months. Of these loans that mature or reprice in the next twelve months, $433.5 million will reprice immediately upon changes in the underlying index rate, with the remaining $189.7 million being subject to rate ceilings, floors above the current index, or a future repricing date. </w:t>
      </w:r>
      <w:r>
        <w:rPr>
          <w:rFonts w:ascii="Times New Roman" w:hAnsi="Times New Roman"/>
          <w:i/>
          <w:color w:val="000000"/>
          <w:sz w:val="20"/>
        </w:rPr>
        <w:t>The Wall Street Journal</w:t>
      </w:r>
      <w:r>
        <w:rPr>
          <w:rFonts w:ascii="Times New Roman" w:hAnsi="Times New Roman"/>
          <w:color w:val="000000"/>
          <w:sz w:val="20"/>
        </w:rPr>
        <w:t xml:space="preserve"> prime rate is the predominate index used by the Bank.</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Bank is primarily involved in real estate, commercial, agricultural and consumer lending activities with customers throughout Texas and Eastern New Mexico. We have a collateral concentration, as 68.8% of our loans were secured by real property as of March 31, 2023, compared to 69.8% as of December 31, 2022. We believe that these loans are not concentrated in any one single property type and that they are geographically dispersed throughout the areas we serve. Although the Bank has diversified portfolios, its debtors’ ability to honor their contracts is substantially dependent upon the general economic conditions of the markets in which it operates, which consist primarily of agribusiness, wholesale/retail, oil and gas and related businesses, healthcare industries and institutions of higher education. Commercial real estate loans represent 37.2% of loans held for investment as of March 31, 2023 and represented 36.7% of loans held for investment as of December 31, 2022. Further, these loans are geographically diversified, primarily throughout the State of Texas as well as Eastern New Mexico.</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We have established concentration limits in the loan portfolio for commercial real estate loans and unsecured lending, among other loan types. All loan types are within established limits. We use underwriting guidelines to assess the borrowers’ historical cash flow to determine debt service, and we further stress test the debt service under higher interest rate scenarios. Financial and performance covenants are used in commercial lending to allow us to react to a borrower’s deteriorating financial condition, should that occur.</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i/>
          <w:color w:val="000000"/>
          <w:sz w:val="20"/>
        </w:rPr>
        <w:t>Commercial Real Estate</w:t>
      </w:r>
      <w:r>
        <w:rPr>
          <w:rFonts w:ascii="Times New Roman" w:hAnsi="Times New Roman"/>
          <w:color w:val="000000"/>
          <w:sz w:val="20"/>
        </w:rPr>
        <w:t>. Our commercial real estate portfolio includes loans for commercial property that is owned by real estate investors, construction loans to build owner-occupied properties, and loans to developers of commercial real estate investment properties and residential developments. Commercial real estate loans are subject to underwriting standards and processes similar to our commercial loans. These loans are underwritten primarily based on projected cash flows for income-producing properties and collateral values for non-income-producing properties. The repayment of these loans is generally dependent on the successful operation of the property securing the loans or the sale or refinancing of the property. Real estate loans may be adversely affected by conditions in the real estate markets or in the general economy. The properties securing our real estate portfolio are diversified by type and geographic location. This diversity helps reduce the exposure to adverse economic events that affect any single market or industry.</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Commercial real estate loans increased $6.7 million, or 0.7%, to $926.0 million as of March 31, 2023 from $919.4 million as of December 31, 2022. The increase was primarily driven by increases in multifamily property loans and commercial land development loans.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i/>
          <w:color w:val="000000"/>
          <w:sz w:val="20"/>
        </w:rPr>
        <w:t>Commercial – General and Specialized</w:t>
      </w:r>
      <w:r>
        <w:rPr>
          <w:rFonts w:ascii="Times New Roman" w:hAnsi="Times New Roman"/>
          <w:color w:val="000000"/>
          <w:sz w:val="20"/>
        </w:rPr>
        <w:t>. Commercial loans are underwritten after evaluating and understanding the borrower’s ability to operate profitably. Underwriting standards have been designed to determine whether the borrower possesses sound business ethics and practices, to evaluate current and projected cash flows to determine the ability of the borrower to repay their obligations as agreed, and to ensure appropriate collateral is obtained to secure the loan. Commercial loans are primarily made based on the identified cash flows of the borrower and, secondarily, on the underlying collateral provided by the borrower. Most commercial loans are secured by the assets being financed or other business assets, such as real estate, accounts receivable, or inventory, and typically include personal guarantees. Owner-occupied real estate is included in commercial loans, as the repayment of these loans is generally dependent on the operations of the commercial borrower’s business rather than on income-producing properties or the sale of the properties. Commercial loans are grouped into two distinct sub-categories: specialized and general. Commercial related loans that are considered “specialized” include agricultural production and real estate loans, energy loans, and finance, investment, and insurance loans. Commercial related loans that contain a broader diversity of borrowers, sub-industries, or serviced industries are grouped into the “general category.” These include goods, services, restaurant &amp; retail, construction, and other industries. Performance of these loans is subject to operating and cash flow results of the borrower, with risk in the volatility of operating results for particular industries.</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37</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b w:val="false"/>
            <w:i/>
            <w:color w:val="000000"/>
            <w:sz w:val="16"/>
          </w:rPr>
          <w:t>Table of Contents</w:t>
        </w:r>
      </w:hyperlink>
    </w:p>
    <w:p>
      <w:pPr>
        <w:pStyle w:val="TextBody"/>
        <w:spacing w:before="0" w:after="0"/>
        <w:jc w:val="both"/>
        <w:rPr>
          <w:rFonts w:ascii="Times New Roman" w:hAnsi="Times New Roman"/>
          <w:color w:val="000000"/>
          <w:sz w:val="20"/>
        </w:rPr>
      </w:pPr>
      <w:r>
        <w:rPr>
          <w:rFonts w:ascii="Times New Roman" w:hAnsi="Times New Roman"/>
          <w:color w:val="000000"/>
          <w:sz w:val="20"/>
        </w:rPr>
        <w:t>Commercial general loans increased $26.1 million, or 5.4%, to $510.9 million as of March 31, 2023 from $484.8 million as of December 31, 2022. The increase in commercial general loans was primarily due to increases in loans to construction companies, state and municipal entities, and other commercial loans.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Commercial specialized loans decreased $12.0 million, or 3.7%, to $315.5 million as of March 31, 2023 from $327.5 million as of December 31, 2022. This decrease was primarily due to net repayments of $10.5 million in finance/investment loans.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i/>
          <w:color w:val="000000"/>
          <w:sz w:val="20"/>
        </w:rPr>
        <w:t>Consumer</w:t>
      </w:r>
      <w:r>
        <w:rPr>
          <w:rFonts w:ascii="Times New Roman" w:hAnsi="Times New Roman"/>
          <w:color w:val="000000"/>
          <w:sz w:val="20"/>
        </w:rPr>
        <w:t>. We utilize a computer-based credit scoring analysis to supplement our policies and procedures in underwriting consumer loans. Our loan policy addresses types of consumer loans that may be originated and the collateral, if secured, which must be perfected. The relatively smaller individual dollar amounts of consumer loans that are spread over numerous individual borrowers also minimize our risk. Residential real estate loans are included in consumer loans. We generally require mortgage title insurance and hazard insurance on these residential real estate loans. All consumer loans are generally dependent on the risk characteristics of the borrower’s ability to repay the loan, a consideration of the debt to income ratio, employment and income stability, the loan-to-value ratio, and the age, condition and marketability of the collateral.</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Consumer and other loans increased $25.2 million, or 2.9%, to $888.1 million as of March 31, 2023 from $862.9 million as of December 31, 2022. The increase in these loans was primarily a result of a $25.3 million increase in 1-4 family residential loans. As of March 31, 2023, our consumer loan portfolio was comprised of $485.4 million in 1-4 family residential loans, $321.3 million in auto loans, and $81.4 million in other consumer loans.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i/>
          <w:color w:val="000000"/>
          <w:sz w:val="20"/>
        </w:rPr>
        <w:t>Construction</w:t>
      </w:r>
      <w:r>
        <w:rPr>
          <w:rFonts w:ascii="Times New Roman" w:hAnsi="Times New Roman"/>
          <w:color w:val="000000"/>
          <w:sz w:val="20"/>
        </w:rPr>
        <w:t>. Loans for residential construction are for single-family properties to developers, builders, or end-users. These loans are underwritten based on estimates of costs and completed value of the project. Funds are advanced based on estimated percentage of completion for the project. Performance of these loans is affected by economic conditions as well as the ability to control costs of the projects.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Construction loans decreased $5.4 million, or 3.5%, to $148.1 million as of March 31, 2023 from $153.5 million as of December 31, 2022. The decrease resulted from the completion of several projects after continued higher demand for residential construction as a result of home shortages in many of our markets.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Non-owner occupied office real estate loans are included in commercial real estate loans and totaled $109.5 million at March 31, 2023. Owner occupied office real estate loans are included in commercial loans and totaled $52.0 million at March 31, 2023.</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We are a party to financial instruments with off-balance sheet risk in the normal course of business to meet the financing needs of our customers. These financial instruments include commitments to extend credit and standby letters of credit. Those instruments involve, to varying degrees, elements of credit and interest rate risk in excess of the amount recognized in the Company’s Consolidated Balance Sheets. The Company’s exposure to credit loss in the event of nonperformance by the other party to the financial instrument for commitments to extend credit and standby letters of credit to our customers is represented by the contractual or notional amount of those instruments. Commitments to extend credit and standby letters of credit are not recorded as an asset or liability by the Company until the instrument is exercised. The contractual or notional amounts of those instruments reflect the extent of involvement we have in particular classes of financial instruments.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Commitments to extend credit are agreements to lend to a customer as long as there is no violation of any condition established in the contract. Commitments generally have fixed expiration dates or other termination clauses and may require payment of a fee. Since many of the commitments are expected to expire without being drawn upon, the total commitment amounts do not necessarily represent future cash requirements. The Company uses the same credit policies in making commitments and conditional obligations as they do for on-balance sheet instruments. The amount and nature of collateral obtained, if deemed necessary by the Company upon extension of credit, is based on management’s credit evaluation of the potential borrower.</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Standby letters of credit are conditional commitments issued by the Company to guarantee the performance of a customer to a third party. Those guarantees are primarily issued to support public and private short-term borrowing arrangements. The credit risk involved in issuing letters of credit is essentially the same as that involved in extending loan facilities to customers. The Company holds collateral supporting those commitments for which collateral is deemed necessary.</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table summarizes commitments we have made as of the dates presented.</w:t>
      </w:r>
    </w:p>
    <w:p>
      <w:pPr>
        <w:pStyle w:val="TextBody"/>
        <w:spacing w:before="0" w:after="0"/>
        <w:jc w:val="left"/>
        <w:rPr/>
      </w:pPr>
      <w:r>
        <w:rPr/>
      </w:r>
    </w:p>
    <w:tbl>
      <w:tblPr>
        <w:tblW w:w="10018" w:type="dxa"/>
        <w:jc w:val="left"/>
        <w:tblInd w:w="0" w:type="dxa"/>
        <w:tblCellMar>
          <w:top w:w="0" w:type="dxa"/>
          <w:left w:w="0" w:type="dxa"/>
          <w:bottom w:w="0" w:type="dxa"/>
          <w:right w:w="0" w:type="dxa"/>
        </w:tblCellMar>
      </w:tblPr>
      <w:tblGrid>
        <w:gridCol w:w="7295"/>
        <w:gridCol w:w="60"/>
        <w:gridCol w:w="159"/>
        <w:gridCol w:w="910"/>
        <w:gridCol w:w="60"/>
        <w:gridCol w:w="60"/>
        <w:gridCol w:w="210"/>
        <w:gridCol w:w="1204"/>
        <w:gridCol w:w="60"/>
      </w:tblGrid>
      <w:tr>
        <w:trPr/>
        <w:tc>
          <w:tcPr>
            <w:tcW w:w="72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69"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March 31,</w:t>
            </w:r>
          </w:p>
          <w:p>
            <w:pPr>
              <w:pStyle w:val="TableContents"/>
              <w:spacing w:before="0" w:after="0"/>
              <w:jc w:val="center"/>
              <w:rPr>
                <w:b/>
              </w:rPr>
            </w:pPr>
            <w:r>
              <w:rPr>
                <w:b/>
              </w:rPr>
              <w:t>2023</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14" w:type="dxa"/>
            <w:gridSpan w:val="2"/>
            <w:tcBorders>
              <w:bottom w:val="single" w:sz="12" w:space="0" w:color="000000"/>
            </w:tcBorders>
            <w:shd w:fill="auto" w:val="clear"/>
            <w:tcMar>
              <w:bottom w:w="28" w:type="dxa"/>
            </w:tcMar>
            <w:vAlign w:val="bottom"/>
          </w:tcPr>
          <w:p>
            <w:pPr>
              <w:pStyle w:val="TableContents"/>
              <w:spacing w:before="0" w:after="0"/>
              <w:jc w:val="center"/>
              <w:rPr>
                <w:b/>
              </w:rPr>
            </w:pPr>
            <w:r>
              <w:rPr>
                <w:b/>
              </w:rPr>
              <w:t>December 31,</w:t>
            </w:r>
          </w:p>
          <w:p>
            <w:pPr>
              <w:pStyle w:val="TableContents"/>
              <w:spacing w:before="0" w:after="0"/>
              <w:jc w:val="center"/>
              <w:rPr>
                <w:b/>
              </w:rPr>
            </w:pPr>
            <w:r>
              <w:rPr>
                <w:b/>
              </w:rPr>
              <w:t>2022</w:t>
            </w:r>
          </w:p>
        </w:tc>
        <w:tc>
          <w:tcPr>
            <w:tcW w:w="60" w:type="dxa"/>
            <w:tcBorders/>
            <w:shd w:fill="auto" w:val="clear"/>
            <w:vAlign w:val="bottom"/>
          </w:tcPr>
          <w:p>
            <w:pPr>
              <w:pStyle w:val="TableContents"/>
              <w:spacing w:before="0" w:after="283"/>
              <w:rPr/>
            </w:pPr>
            <w:r>
              <w:rPr/>
              <w:t> </w:t>
            </w:r>
          </w:p>
        </w:tc>
      </w:tr>
      <w:tr>
        <w:trPr/>
        <w:tc>
          <w:tcPr>
            <w:tcW w:w="72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03" w:type="dxa"/>
            <w:gridSpan w:val="6"/>
            <w:tcBorders/>
            <w:shd w:fill="auto" w:val="clear"/>
            <w:vAlign w:val="bottom"/>
          </w:tcPr>
          <w:p>
            <w:pPr>
              <w:pStyle w:val="TableContents"/>
              <w:spacing w:before="0" w:after="0"/>
              <w:jc w:val="center"/>
              <w:rPr>
                <w:b/>
                <w:color w:val="000000"/>
              </w:rPr>
            </w:pPr>
            <w:r>
              <w:rPr>
                <w:b/>
                <w:color w:val="000000"/>
              </w:rPr>
              <w:t>(Dollars in thousands)</w:t>
            </w:r>
          </w:p>
        </w:tc>
        <w:tc>
          <w:tcPr>
            <w:tcW w:w="60" w:type="dxa"/>
            <w:tcBorders/>
            <w:shd w:fill="auto" w:val="clear"/>
            <w:vAlign w:val="bottom"/>
          </w:tcPr>
          <w:p>
            <w:pPr>
              <w:pStyle w:val="TableContents"/>
              <w:spacing w:before="0" w:after="283"/>
              <w:rPr/>
            </w:pPr>
            <w:r>
              <w:rPr/>
              <w:t> </w:t>
            </w:r>
          </w:p>
        </w:tc>
      </w:tr>
      <w:tr>
        <w:trPr/>
        <w:tc>
          <w:tcPr>
            <w:tcW w:w="7295" w:type="dxa"/>
            <w:tcBorders/>
            <w:shd w:fill="CCEEFF" w:val="clear"/>
            <w:vAlign w:val="bottom"/>
          </w:tcPr>
          <w:p>
            <w:pPr>
              <w:pStyle w:val="TableContents"/>
              <w:spacing w:before="0" w:after="0"/>
              <w:ind w:left="144" w:right="0" w:hanging="144"/>
              <w:rPr>
                <w:color w:val="000000"/>
              </w:rPr>
            </w:pPr>
            <w:r>
              <w:rPr>
                <w:color w:val="000000"/>
              </w:rPr>
              <w:t>Commitments to grant loans and unfunded commitments under lines of credit</w:t>
            </w:r>
          </w:p>
        </w:tc>
        <w:tc>
          <w:tcPr>
            <w:tcW w:w="60"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0"/>
              <w:rPr/>
            </w:pPr>
            <w:r>
              <w:rPr/>
              <w:t>$</w:t>
            </w:r>
          </w:p>
        </w:tc>
        <w:tc>
          <w:tcPr>
            <w:tcW w:w="910" w:type="dxa"/>
            <w:tcBorders/>
            <w:shd w:fill="CCEEFF" w:val="clear"/>
            <w:vAlign w:val="bottom"/>
          </w:tcPr>
          <w:p>
            <w:pPr>
              <w:pStyle w:val="TableContents"/>
              <w:spacing w:before="0" w:after="0"/>
              <w:jc w:val="right"/>
              <w:rPr/>
            </w:pPr>
            <w:r>
              <w:rPr/>
              <w:t>720,851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0"/>
              <w:rPr/>
            </w:pPr>
            <w:r>
              <w:rPr/>
              <w:t>$</w:t>
            </w:r>
          </w:p>
        </w:tc>
        <w:tc>
          <w:tcPr>
            <w:tcW w:w="1204" w:type="dxa"/>
            <w:tcBorders/>
            <w:shd w:fill="CCEEFF" w:val="clear"/>
            <w:vAlign w:val="bottom"/>
          </w:tcPr>
          <w:p>
            <w:pPr>
              <w:pStyle w:val="TableContents"/>
              <w:spacing w:before="0" w:after="0"/>
              <w:jc w:val="right"/>
              <w:rPr/>
            </w:pPr>
            <w:r>
              <w:rPr/>
              <w:t>682,296</w:t>
            </w:r>
          </w:p>
        </w:tc>
        <w:tc>
          <w:tcPr>
            <w:tcW w:w="60" w:type="dxa"/>
            <w:tcBorders/>
            <w:shd w:fill="CCEEFF" w:val="clear"/>
            <w:vAlign w:val="bottom"/>
          </w:tcPr>
          <w:p>
            <w:pPr>
              <w:pStyle w:val="TableContents"/>
              <w:spacing w:before="0" w:after="283"/>
              <w:rPr/>
            </w:pPr>
            <w:r>
              <w:rPr/>
              <w:t> </w:t>
            </w:r>
          </w:p>
        </w:tc>
      </w:tr>
      <w:tr>
        <w:trPr/>
        <w:tc>
          <w:tcPr>
            <w:tcW w:w="7295" w:type="dxa"/>
            <w:tcBorders/>
            <w:shd w:fill="auto" w:val="clear"/>
            <w:vAlign w:val="bottom"/>
          </w:tcPr>
          <w:p>
            <w:pPr>
              <w:pStyle w:val="TableContents"/>
              <w:spacing w:before="0" w:after="0"/>
              <w:ind w:left="144" w:right="0" w:hanging="144"/>
              <w:rPr>
                <w:color w:val="000000"/>
              </w:rPr>
            </w:pPr>
            <w:r>
              <w:rPr>
                <w:color w:val="000000"/>
              </w:rPr>
              <w:t>Standby letters of credit</w:t>
            </w:r>
          </w:p>
        </w:tc>
        <w:tc>
          <w:tcPr>
            <w:tcW w:w="60" w:type="dxa"/>
            <w:tcBorders/>
            <w:shd w:fill="auto" w:val="clear"/>
            <w:vAlign w:val="bottom"/>
          </w:tcPr>
          <w:p>
            <w:pPr>
              <w:pStyle w:val="TableContents"/>
              <w:spacing w:before="0" w:after="283"/>
              <w:rPr/>
            </w:pPr>
            <w:r>
              <w:rPr/>
              <w:t> </w:t>
            </w:r>
          </w:p>
        </w:tc>
        <w:tc>
          <w:tcPr>
            <w:tcW w:w="159" w:type="dxa"/>
            <w:tcBorders>
              <w:bottom w:val="single" w:sz="12" w:space="0" w:color="000000"/>
            </w:tcBorders>
            <w:shd w:fill="auto" w:val="clear"/>
            <w:tcMar>
              <w:bottom w:w="28" w:type="dxa"/>
            </w:tcMar>
            <w:vAlign w:val="bottom"/>
          </w:tcPr>
          <w:p>
            <w:pPr>
              <w:pStyle w:val="TableContents"/>
              <w:spacing w:before="0" w:after="283"/>
              <w:rPr/>
            </w:pPr>
            <w:r>
              <w:rPr/>
              <w:t> </w:t>
            </w:r>
          </w:p>
        </w:tc>
        <w:tc>
          <w:tcPr>
            <w:tcW w:w="910" w:type="dxa"/>
            <w:tcBorders>
              <w:bottom w:val="single" w:sz="12" w:space="0" w:color="000000"/>
            </w:tcBorders>
            <w:shd w:fill="auto" w:val="clear"/>
            <w:tcMar>
              <w:bottom w:w="28" w:type="dxa"/>
            </w:tcMar>
            <w:vAlign w:val="bottom"/>
          </w:tcPr>
          <w:p>
            <w:pPr>
              <w:pStyle w:val="TableContents"/>
              <w:spacing w:before="0" w:after="0"/>
              <w:jc w:val="right"/>
              <w:rPr/>
            </w:pPr>
            <w:r>
              <w:rPr/>
              <w:t>12,821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0" w:type="dxa"/>
            <w:tcBorders>
              <w:bottom w:val="single" w:sz="12" w:space="0" w:color="000000"/>
            </w:tcBorders>
            <w:shd w:fill="auto" w:val="clear"/>
            <w:tcMar>
              <w:bottom w:w="28" w:type="dxa"/>
            </w:tcMar>
            <w:vAlign w:val="bottom"/>
          </w:tcPr>
          <w:p>
            <w:pPr>
              <w:pStyle w:val="TableContents"/>
              <w:spacing w:before="0" w:after="283"/>
              <w:rPr/>
            </w:pPr>
            <w:r>
              <w:rPr/>
              <w:t> </w:t>
            </w:r>
          </w:p>
        </w:tc>
        <w:tc>
          <w:tcPr>
            <w:tcW w:w="1204" w:type="dxa"/>
            <w:tcBorders>
              <w:bottom w:val="single" w:sz="12" w:space="0" w:color="000000"/>
            </w:tcBorders>
            <w:shd w:fill="auto" w:val="clear"/>
            <w:tcMar>
              <w:bottom w:w="28" w:type="dxa"/>
            </w:tcMar>
            <w:vAlign w:val="bottom"/>
          </w:tcPr>
          <w:p>
            <w:pPr>
              <w:pStyle w:val="TableContents"/>
              <w:spacing w:before="0" w:after="0"/>
              <w:jc w:val="right"/>
              <w:rPr/>
            </w:pPr>
            <w:r>
              <w:rPr/>
              <w:t>13,864</w:t>
            </w:r>
          </w:p>
        </w:tc>
        <w:tc>
          <w:tcPr>
            <w:tcW w:w="60" w:type="dxa"/>
            <w:tcBorders/>
            <w:shd w:fill="auto" w:val="clear"/>
            <w:vAlign w:val="bottom"/>
          </w:tcPr>
          <w:p>
            <w:pPr>
              <w:pStyle w:val="TableContents"/>
              <w:spacing w:before="0" w:after="283"/>
              <w:rPr/>
            </w:pPr>
            <w:r>
              <w:rPr/>
              <w:t> </w:t>
            </w:r>
          </w:p>
        </w:tc>
      </w:tr>
      <w:tr>
        <w:trPr/>
        <w:tc>
          <w:tcPr>
            <w:tcW w:w="7295" w:type="dxa"/>
            <w:tcBorders/>
            <w:shd w:fill="CCEEFF" w:val="clear"/>
            <w:vAlign w:val="bottom"/>
          </w:tcPr>
          <w:p>
            <w:pPr>
              <w:pStyle w:val="TableContents"/>
              <w:spacing w:before="0" w:after="0"/>
              <w:ind w:left="324" w:right="0" w:hanging="144"/>
              <w:rPr>
                <w:color w:val="000000"/>
              </w:rPr>
            </w:pPr>
            <w:r>
              <w:rPr>
                <w:color w:val="000000"/>
              </w:rPr>
              <w:t>Total</w:t>
            </w:r>
          </w:p>
        </w:tc>
        <w:tc>
          <w:tcPr>
            <w:tcW w:w="60" w:type="dxa"/>
            <w:tcBorders/>
            <w:shd w:fill="CCEEFF" w:val="clear"/>
            <w:vAlign w:val="bottom"/>
          </w:tcPr>
          <w:p>
            <w:pPr>
              <w:pStyle w:val="TableContents"/>
              <w:spacing w:before="0" w:after="283"/>
              <w:rPr/>
            </w:pPr>
            <w:r>
              <w:rPr/>
              <w:t> </w:t>
            </w:r>
          </w:p>
        </w:tc>
        <w:tc>
          <w:tcPr>
            <w:tcW w:w="159" w:type="dxa"/>
            <w:tcBorders>
              <w:bottom w:val="double" w:sz="8" w:space="0" w:color="000000"/>
            </w:tcBorders>
            <w:shd w:fill="CCEEFF" w:val="clear"/>
            <w:tcMar>
              <w:bottom w:w="28" w:type="dxa"/>
            </w:tcMar>
            <w:vAlign w:val="bottom"/>
          </w:tcPr>
          <w:p>
            <w:pPr>
              <w:pStyle w:val="TableContents"/>
              <w:spacing w:before="0" w:after="0"/>
              <w:rPr/>
            </w:pPr>
            <w:r>
              <w:rPr/>
              <w:t>$</w:t>
            </w:r>
          </w:p>
        </w:tc>
        <w:tc>
          <w:tcPr>
            <w:tcW w:w="910" w:type="dxa"/>
            <w:tcBorders>
              <w:bottom w:val="double" w:sz="8" w:space="0" w:color="000000"/>
            </w:tcBorders>
            <w:shd w:fill="CCEEFF" w:val="clear"/>
            <w:tcMar>
              <w:bottom w:w="28" w:type="dxa"/>
            </w:tcMar>
            <w:vAlign w:val="bottom"/>
          </w:tcPr>
          <w:p>
            <w:pPr>
              <w:pStyle w:val="TableContents"/>
              <w:spacing w:before="0" w:after="0"/>
              <w:jc w:val="right"/>
              <w:rPr/>
            </w:pPr>
            <w:r>
              <w:rPr/>
              <w:t>733,672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0" w:type="dxa"/>
            <w:tcBorders>
              <w:bottom w:val="double" w:sz="8" w:space="0" w:color="000000"/>
            </w:tcBorders>
            <w:shd w:fill="CCEEFF" w:val="clear"/>
            <w:tcMar>
              <w:bottom w:w="28" w:type="dxa"/>
            </w:tcMar>
            <w:vAlign w:val="bottom"/>
          </w:tcPr>
          <w:p>
            <w:pPr>
              <w:pStyle w:val="TableContents"/>
              <w:spacing w:before="0" w:after="0"/>
              <w:rPr/>
            </w:pPr>
            <w:r>
              <w:rPr/>
              <w:t>$</w:t>
            </w:r>
          </w:p>
        </w:tc>
        <w:tc>
          <w:tcPr>
            <w:tcW w:w="1204" w:type="dxa"/>
            <w:tcBorders>
              <w:bottom w:val="double" w:sz="8" w:space="0" w:color="000000"/>
            </w:tcBorders>
            <w:shd w:fill="CCEEFF" w:val="clear"/>
            <w:tcMar>
              <w:bottom w:w="28" w:type="dxa"/>
            </w:tcMar>
            <w:vAlign w:val="bottom"/>
          </w:tcPr>
          <w:p>
            <w:pPr>
              <w:pStyle w:val="TableContents"/>
              <w:spacing w:before="0" w:after="0"/>
              <w:jc w:val="right"/>
              <w:rPr/>
            </w:pPr>
            <w:r>
              <w:rPr/>
              <w:t>696,160</w:t>
            </w:r>
          </w:p>
        </w:tc>
        <w:tc>
          <w:tcPr>
            <w:tcW w:w="60" w:type="dxa"/>
            <w:tcBorders/>
            <w:shd w:fill="CCEEFF" w:val="clear"/>
            <w:vAlign w:val="bottom"/>
          </w:tcPr>
          <w:p>
            <w:pPr>
              <w:pStyle w:val="TableContents"/>
              <w:spacing w:before="0" w:after="283"/>
              <w:rPr/>
            </w:pPr>
            <w:r>
              <w:rPr/>
              <w:t> </w:t>
            </w:r>
          </w:p>
        </w:tc>
      </w:tr>
    </w:tbl>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38</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b w:val="false"/>
            <w:i/>
            <w:color w:val="000000"/>
            <w:sz w:val="16"/>
          </w:rPr>
          <w:t>Table of Contents</w:t>
        </w:r>
      </w:hyperlink>
    </w:p>
    <w:p>
      <w:pPr>
        <w:pStyle w:val="TextBody"/>
        <w:spacing w:before="0" w:after="0"/>
        <w:jc w:val="left"/>
        <w:rPr>
          <w:rFonts w:ascii="Times New Roman" w:hAnsi="Times New Roman"/>
          <w:b/>
          <w:i/>
          <w:color w:val="000000"/>
          <w:sz w:val="20"/>
        </w:rPr>
      </w:pPr>
      <w:r>
        <w:rPr>
          <w:rFonts w:ascii="Times New Roman" w:hAnsi="Times New Roman"/>
          <w:b/>
          <w:i/>
          <w:color w:val="000000"/>
          <w:sz w:val="20"/>
        </w:rPr>
        <w:t>Allowance for Credit Losses for Loans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ACL provides a reserve against which loan losses are charged for current expected credit losses. Management evaluates the appropriate level of the allowance for credit losses on a quarterly basis. The analysis takes into consideration the results of an ongoing loan review process, the purpose of which is to determine the level of credit risk within the portfolio and to ensure proper adherence to underwriting and documentation standards. Additional allowances are provided to those loans which appear to represent a greater than normal exposure to risk. The quality of the loan portfolio and the adequacy of the allowance for credit losses is assessed by regulatory examinations and the Company’s internal and external loan reviews. The allowance for credit losses consists of two elements: (1) specific valuation allowances established for expected losses on specifically analyzed loans and (2) collective valuation allowances calculated using comparable and quantifiable information from both internal and external sources about past events, including historical experience, current conditions, and reasonable and supportable forecasts that affect the collectability of the reported amount. Expected credit losses are estimated over the contractual term of the loans and adjusted for expected prepayments.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To determine the adequacy of the allowance for credit losses on loans, the Company applied a dual credit risk rating (“DCRR”) methodology that estimates each loan’s probability of default and loss given default to calculate the expected credit loss to non-analyzed loans. The DCRR process quantifies the expected credit loss at the loan level for the entire loan portfolio. Loan grades are assigned by a customized scorecard that risk rates each loan based on multiple probability of default and loss given default elements to measure the risk of the loan portfolio. The ACL estimate incorporates the Company’s DCRR loan level risk rating methodology and the expected default rate frequency term structure to derive loan level life of loan estimates of credit losses for every loan in the portfolio. The estimated credit loss for each loan is adjusted based on one-year through the cycle estimate of expected credit loss to a life of loan measurement that reflects current conditions and forecasts. The life of loan expected loss is determined using the contractual weighted average life of the loan adjusted for prepayments. Prepayment speeds are determined by grouping the loans into pools based on segments and risk rating. After the life of loan expected losses are determined, they are adjusted to reflect the Company’s reasonable and supportable economic forecast over a selected range of a one to two years. The Company has developed regression models to project net charge-off rates based on macroeconomic variables (“MEVs”), typically a one-year period is used. MEV’s considered in the analysis consist of data gathered from the St. Louis Federal Reserve Research Database (“FRED”), such as, federal funds rate, 10-year treasury rates, 30-year mortgage rates, crude oil prices, consumer price index, housing price index, unemployment rates, housing starts, gross domestic product, and disposable personal income. These regression models are applied to the Company’s economic forecast to determine the corresponding net charge-off rates. The projected net charge-off rates for the given economic scenario are used to adjust the through the cycle expected losses. Qualitative adjustments are also made to ACL results for additional risk factors that are relevant in assessing the expected credit losses within our loan segments. These qualitative factor (“Q-Factor”) adjustments may increase or decrease management’s estimate of the ACL by a calculated percentage based upon the estimated level of risk within a particular segment. Q-Factor risk decisions consider concentrations of the loan portfolio, expected changes to the economic forecasts, large relationships, and other factors related to credit administration, such as borrower’s risk rating and the potential effect of delayed credit score migrations. Management quantifiably identifies segment percentage Q-Factor adjustments using a scorecard risk rating system scaled to historical loss experience within a segment and management’s perceived risk for that particular segment. In addition to the loan level evaluations, nonaccrual loans with a balance of $250 thousand or more are individually analyzed based on facts and circumstances of the loan to determine if a specific allowance amount may be necessary. Specific allowances may also be established for loans whose outstanding balances are below the above threshold when it is determined that the risk associated with the loan differs significantly from the risk factor amounts established for its loan category.</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Effective January 1, 2023, we adopted the CECL model and recognized a cumulative effect adjustment to the allowance for credit losses for loans and off-balance sheet credit exposures of $1.3 million. The CECL model requires recording life-of-loan projected losses in the loan portfolio based on future economic events and related loan portfolio credit performance. The prior accounting standard recorded reserves based on incurred losses at the balance sheet date.</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allowance for credit losses for loans was $39.6 million at March 31, 2023, compared to $39.3 million at December 31, 2022, an increase of $0.3 million, or 0.7%. The increase is primarily the result of a $0.8 million provision for credit losses on loans recorded in March 2023 due to loan growth experienced during the quarter.</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39</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b w:val="false"/>
            <w:i/>
            <w:color w:val="000000"/>
            <w:sz w:val="16"/>
          </w:rPr>
          <w:t>Table of Contents</w:t>
        </w:r>
      </w:hyperlink>
    </w:p>
    <w:p>
      <w:pPr>
        <w:pStyle w:val="TextBody"/>
        <w:spacing w:before="0" w:after="0"/>
        <w:jc w:val="both"/>
        <w:rPr>
          <w:rFonts w:ascii="Times New Roman" w:hAnsi="Times New Roman"/>
          <w:color w:val="000000"/>
          <w:sz w:val="20"/>
        </w:rPr>
      </w:pPr>
      <w:r>
        <w:rPr>
          <w:rFonts w:ascii="Times New Roman" w:hAnsi="Times New Roman"/>
          <w:color w:val="000000"/>
          <w:sz w:val="20"/>
        </w:rPr>
        <w:t>The following table provides an analysis of the allowance for credit losses and other data during the periods indicated.</w:t>
      </w:r>
    </w:p>
    <w:p>
      <w:pPr>
        <w:pStyle w:val="TextBody"/>
        <w:spacing w:before="0" w:after="0"/>
        <w:jc w:val="left"/>
        <w:rPr/>
      </w:pPr>
      <w:r>
        <w:rPr/>
      </w:r>
    </w:p>
    <w:tbl>
      <w:tblPr>
        <w:tblW w:w="10205" w:type="dxa"/>
        <w:jc w:val="left"/>
        <w:tblInd w:w="0" w:type="dxa"/>
        <w:tblCellMar>
          <w:top w:w="0" w:type="dxa"/>
          <w:left w:w="0" w:type="dxa"/>
          <w:bottom w:w="0" w:type="dxa"/>
          <w:right w:w="0" w:type="dxa"/>
        </w:tblCellMar>
      </w:tblPr>
      <w:tblGrid>
        <w:gridCol w:w="6676"/>
        <w:gridCol w:w="60"/>
        <w:gridCol w:w="175"/>
        <w:gridCol w:w="1234"/>
        <w:gridCol w:w="358"/>
        <w:gridCol w:w="74"/>
        <w:gridCol w:w="175"/>
        <w:gridCol w:w="1234"/>
        <w:gridCol w:w="219"/>
      </w:tblGrid>
      <w:tr>
        <w:trPr/>
        <w:tc>
          <w:tcPr>
            <w:tcW w:w="667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250" w:type="dxa"/>
            <w:gridSpan w:val="6"/>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Three Months Ended March 31,</w:t>
            </w:r>
          </w:p>
        </w:tc>
        <w:tc>
          <w:tcPr>
            <w:tcW w:w="219" w:type="dxa"/>
            <w:tcBorders/>
            <w:shd w:fill="auto" w:val="clear"/>
            <w:vAlign w:val="bottom"/>
          </w:tcPr>
          <w:p>
            <w:pPr>
              <w:pStyle w:val="TableContents"/>
              <w:spacing w:before="0" w:after="283"/>
              <w:rPr/>
            </w:pPr>
            <w:r>
              <w:rPr/>
              <w:t> </w:t>
            </w:r>
          </w:p>
        </w:tc>
      </w:tr>
      <w:tr>
        <w:trPr/>
        <w:tc>
          <w:tcPr>
            <w:tcW w:w="667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9"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2023</w:t>
            </w:r>
          </w:p>
        </w:tc>
        <w:tc>
          <w:tcPr>
            <w:tcW w:w="358"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1409"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2022</w:t>
            </w:r>
          </w:p>
        </w:tc>
        <w:tc>
          <w:tcPr>
            <w:tcW w:w="219" w:type="dxa"/>
            <w:tcBorders/>
            <w:shd w:fill="auto" w:val="clear"/>
            <w:vAlign w:val="bottom"/>
          </w:tcPr>
          <w:p>
            <w:pPr>
              <w:pStyle w:val="TableContents"/>
              <w:spacing w:before="0" w:after="283"/>
              <w:rPr/>
            </w:pPr>
            <w:r>
              <w:rPr/>
              <w:t> </w:t>
            </w:r>
          </w:p>
        </w:tc>
      </w:tr>
      <w:tr>
        <w:trPr/>
        <w:tc>
          <w:tcPr>
            <w:tcW w:w="667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250" w:type="dxa"/>
            <w:gridSpan w:val="6"/>
            <w:tcBorders/>
            <w:shd w:fill="auto" w:val="clear"/>
            <w:vAlign w:val="bottom"/>
          </w:tcPr>
          <w:p>
            <w:pPr>
              <w:pStyle w:val="TableContents"/>
              <w:spacing w:before="0" w:after="0"/>
              <w:jc w:val="center"/>
              <w:rPr>
                <w:b/>
                <w:color w:val="000000"/>
              </w:rPr>
            </w:pPr>
            <w:r>
              <w:rPr>
                <w:b/>
                <w:color w:val="000000"/>
              </w:rPr>
              <w:t>(Dollars in thousands)</w:t>
            </w:r>
          </w:p>
        </w:tc>
        <w:tc>
          <w:tcPr>
            <w:tcW w:w="219" w:type="dxa"/>
            <w:tcBorders/>
            <w:shd w:fill="auto" w:val="clear"/>
            <w:vAlign w:val="bottom"/>
          </w:tcPr>
          <w:p>
            <w:pPr>
              <w:pStyle w:val="TableContents"/>
              <w:spacing w:before="0" w:after="283"/>
              <w:rPr/>
            </w:pPr>
            <w:r>
              <w:rPr/>
              <w:t> </w:t>
            </w:r>
          </w:p>
        </w:tc>
      </w:tr>
      <w:tr>
        <w:trPr/>
        <w:tc>
          <w:tcPr>
            <w:tcW w:w="6676" w:type="dxa"/>
            <w:tcBorders/>
            <w:shd w:fill="auto" w:val="clear"/>
            <w:vAlign w:val="bottom"/>
          </w:tcPr>
          <w:p>
            <w:pPr>
              <w:pStyle w:val="TableContents"/>
              <w:spacing w:before="0" w:after="0"/>
              <w:ind w:left="144" w:right="0" w:hanging="144"/>
              <w:rPr>
                <w:color w:val="000000"/>
              </w:rPr>
            </w:pPr>
            <w:r>
              <w:rPr>
                <w:color w:val="000000"/>
              </w:rPr>
              <w:t>Average loans outstanding during the period</w:t>
            </w:r>
          </w:p>
        </w:tc>
        <w:tc>
          <w:tcPr>
            <w:tcW w:w="60" w:type="dxa"/>
            <w:tcBorders/>
            <w:shd w:fill="auto" w:val="clear"/>
            <w:vAlign w:val="bottom"/>
          </w:tcPr>
          <w:p>
            <w:pPr>
              <w:pStyle w:val="TableContents"/>
              <w:spacing w:before="0" w:after="283"/>
              <w:rPr/>
            </w:pPr>
            <w:r>
              <w:rPr/>
              <w:t> </w:t>
            </w:r>
          </w:p>
        </w:tc>
        <w:tc>
          <w:tcPr>
            <w:tcW w:w="1409" w:type="dxa"/>
            <w:gridSpan w:val="2"/>
            <w:tcBorders/>
            <w:shd w:fill="auto" w:val="clear"/>
            <w:vAlign w:val="bottom"/>
          </w:tcPr>
          <w:p>
            <w:pPr>
              <w:pStyle w:val="TableContents"/>
              <w:spacing w:before="0" w:after="283"/>
              <w:rPr/>
            </w:pPr>
            <w:r>
              <w:rPr/>
              <w:t> </w:t>
            </w:r>
          </w:p>
        </w:tc>
        <w:tc>
          <w:tcPr>
            <w:tcW w:w="358"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1409" w:type="dxa"/>
            <w:gridSpan w:val="2"/>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r>
      <w:tr>
        <w:trPr/>
        <w:tc>
          <w:tcPr>
            <w:tcW w:w="6676" w:type="dxa"/>
            <w:tcBorders/>
            <w:shd w:fill="CCEEFF" w:val="clear"/>
            <w:vAlign w:val="bottom"/>
          </w:tcPr>
          <w:p>
            <w:pPr>
              <w:pStyle w:val="TableContents"/>
              <w:spacing w:before="0" w:after="0"/>
              <w:ind w:left="324" w:right="0" w:hanging="144"/>
              <w:rPr>
                <w:color w:val="000000"/>
              </w:rPr>
            </w:pPr>
            <w:r>
              <w:rPr>
                <w:color w:val="000000"/>
              </w:rPr>
              <w:t>Commercial real estate</w:t>
            </w:r>
          </w:p>
        </w:tc>
        <w:tc>
          <w:tcPr>
            <w:tcW w:w="6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0"/>
              <w:rPr>
                <w:color w:val="000000"/>
              </w:rPr>
            </w:pPr>
            <w:r>
              <w:rPr>
                <w:color w:val="000000"/>
              </w:rPr>
              <w:t>$</w:t>
            </w:r>
          </w:p>
        </w:tc>
        <w:tc>
          <w:tcPr>
            <w:tcW w:w="1234" w:type="dxa"/>
            <w:tcBorders/>
            <w:shd w:fill="CCEEFF" w:val="clear"/>
            <w:vAlign w:val="bottom"/>
          </w:tcPr>
          <w:p>
            <w:pPr>
              <w:pStyle w:val="TableContents"/>
              <w:spacing w:before="0" w:after="0"/>
              <w:jc w:val="right"/>
              <w:rPr>
                <w:color w:val="000000"/>
              </w:rPr>
            </w:pPr>
            <w:r>
              <w:rPr>
                <w:color w:val="000000"/>
              </w:rPr>
              <w:t>916,117</w:t>
            </w:r>
          </w:p>
        </w:tc>
        <w:tc>
          <w:tcPr>
            <w:tcW w:w="358" w:type="dxa"/>
            <w:tcBorders/>
            <w:shd w:fill="CCEEFF" w:val="clear"/>
            <w:vAlign w:val="bottom"/>
          </w:tcPr>
          <w:p>
            <w:pPr>
              <w:pStyle w:val="TableContents"/>
              <w:spacing w:before="0" w:after="283"/>
              <w:rPr/>
            </w:pPr>
            <w:r>
              <w:rPr/>
              <w:t> </w:t>
            </w:r>
          </w:p>
        </w:tc>
        <w:tc>
          <w:tcPr>
            <w:tcW w:w="74"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0"/>
              <w:rPr>
                <w:color w:val="000000"/>
              </w:rPr>
            </w:pPr>
            <w:r>
              <w:rPr>
                <w:color w:val="000000"/>
              </w:rPr>
              <w:t>$</w:t>
            </w:r>
          </w:p>
        </w:tc>
        <w:tc>
          <w:tcPr>
            <w:tcW w:w="1234" w:type="dxa"/>
            <w:tcBorders/>
            <w:shd w:fill="CCEEFF" w:val="clear"/>
            <w:vAlign w:val="bottom"/>
          </w:tcPr>
          <w:p>
            <w:pPr>
              <w:pStyle w:val="TableContents"/>
              <w:spacing w:before="0" w:after="0"/>
              <w:jc w:val="right"/>
              <w:rPr>
                <w:color w:val="000000"/>
              </w:rPr>
            </w:pPr>
            <w:r>
              <w:rPr>
                <w:color w:val="000000"/>
              </w:rPr>
              <w:t>751,017</w:t>
            </w:r>
          </w:p>
        </w:tc>
        <w:tc>
          <w:tcPr>
            <w:tcW w:w="219" w:type="dxa"/>
            <w:tcBorders/>
            <w:shd w:fill="CCEEFF" w:val="clear"/>
            <w:vAlign w:val="bottom"/>
          </w:tcPr>
          <w:p>
            <w:pPr>
              <w:pStyle w:val="TableContents"/>
              <w:spacing w:before="0" w:after="283"/>
              <w:rPr/>
            </w:pPr>
            <w:r>
              <w:rPr/>
              <w:t> </w:t>
            </w:r>
          </w:p>
        </w:tc>
      </w:tr>
      <w:tr>
        <w:trPr/>
        <w:tc>
          <w:tcPr>
            <w:tcW w:w="6676" w:type="dxa"/>
            <w:tcBorders/>
            <w:shd w:fill="auto" w:val="clear"/>
            <w:vAlign w:val="bottom"/>
          </w:tcPr>
          <w:p>
            <w:pPr>
              <w:pStyle w:val="TableContents"/>
              <w:spacing w:before="0" w:after="0"/>
              <w:ind w:left="324" w:right="0" w:hanging="144"/>
              <w:rPr>
                <w:color w:val="000000"/>
              </w:rPr>
            </w:pPr>
            <w:r>
              <w:rPr>
                <w:color w:val="000000"/>
              </w:rPr>
              <w:t>Commercial – specialized</w:t>
            </w:r>
          </w:p>
        </w:tc>
        <w:tc>
          <w:tcPr>
            <w:tcW w:w="6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234" w:type="dxa"/>
            <w:tcBorders/>
            <w:shd w:fill="auto" w:val="clear"/>
            <w:vAlign w:val="bottom"/>
          </w:tcPr>
          <w:p>
            <w:pPr>
              <w:pStyle w:val="TableContents"/>
              <w:spacing w:before="0" w:after="0"/>
              <w:jc w:val="right"/>
              <w:rPr>
                <w:color w:val="000000"/>
              </w:rPr>
            </w:pPr>
            <w:r>
              <w:rPr>
                <w:color w:val="000000"/>
              </w:rPr>
              <w:t>319,288</w:t>
            </w:r>
          </w:p>
        </w:tc>
        <w:tc>
          <w:tcPr>
            <w:tcW w:w="358"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234" w:type="dxa"/>
            <w:tcBorders/>
            <w:shd w:fill="auto" w:val="clear"/>
            <w:vAlign w:val="bottom"/>
          </w:tcPr>
          <w:p>
            <w:pPr>
              <w:pStyle w:val="TableContents"/>
              <w:spacing w:before="0" w:after="0"/>
              <w:jc w:val="right"/>
              <w:rPr>
                <w:color w:val="000000"/>
              </w:rPr>
            </w:pPr>
            <w:r>
              <w:rPr>
                <w:color w:val="000000"/>
              </w:rPr>
              <w:t>354,119</w:t>
            </w:r>
          </w:p>
        </w:tc>
        <w:tc>
          <w:tcPr>
            <w:tcW w:w="219" w:type="dxa"/>
            <w:tcBorders/>
            <w:shd w:fill="auto" w:val="clear"/>
            <w:vAlign w:val="bottom"/>
          </w:tcPr>
          <w:p>
            <w:pPr>
              <w:pStyle w:val="TableContents"/>
              <w:spacing w:before="0" w:after="283"/>
              <w:rPr/>
            </w:pPr>
            <w:r>
              <w:rPr/>
              <w:t> </w:t>
            </w:r>
          </w:p>
        </w:tc>
      </w:tr>
      <w:tr>
        <w:trPr/>
        <w:tc>
          <w:tcPr>
            <w:tcW w:w="6676" w:type="dxa"/>
            <w:tcBorders/>
            <w:shd w:fill="CCEEFF" w:val="clear"/>
            <w:vAlign w:val="bottom"/>
          </w:tcPr>
          <w:p>
            <w:pPr>
              <w:pStyle w:val="TableContents"/>
              <w:spacing w:before="0" w:after="0"/>
              <w:ind w:left="324" w:right="0" w:hanging="144"/>
              <w:rPr>
                <w:color w:val="000000"/>
              </w:rPr>
            </w:pPr>
            <w:r>
              <w:rPr>
                <w:color w:val="000000"/>
              </w:rPr>
              <w:t>Commercial – general</w:t>
            </w:r>
          </w:p>
        </w:tc>
        <w:tc>
          <w:tcPr>
            <w:tcW w:w="6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1234" w:type="dxa"/>
            <w:tcBorders/>
            <w:shd w:fill="CCEEFF" w:val="clear"/>
            <w:vAlign w:val="bottom"/>
          </w:tcPr>
          <w:p>
            <w:pPr>
              <w:pStyle w:val="TableContents"/>
              <w:spacing w:before="0" w:after="0"/>
              <w:jc w:val="right"/>
              <w:rPr>
                <w:color w:val="000000"/>
              </w:rPr>
            </w:pPr>
            <w:r>
              <w:rPr>
                <w:color w:val="000000"/>
              </w:rPr>
              <w:t>492,442</w:t>
            </w:r>
          </w:p>
        </w:tc>
        <w:tc>
          <w:tcPr>
            <w:tcW w:w="358" w:type="dxa"/>
            <w:tcBorders/>
            <w:shd w:fill="CCEEFF" w:val="clear"/>
            <w:vAlign w:val="bottom"/>
          </w:tcPr>
          <w:p>
            <w:pPr>
              <w:pStyle w:val="TableContents"/>
              <w:spacing w:before="0" w:after="283"/>
              <w:rPr/>
            </w:pPr>
            <w:r>
              <w:rPr/>
              <w:t> </w:t>
            </w:r>
          </w:p>
        </w:tc>
        <w:tc>
          <w:tcPr>
            <w:tcW w:w="74"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1234" w:type="dxa"/>
            <w:tcBorders/>
            <w:shd w:fill="CCEEFF" w:val="clear"/>
            <w:vAlign w:val="bottom"/>
          </w:tcPr>
          <w:p>
            <w:pPr>
              <w:pStyle w:val="TableContents"/>
              <w:spacing w:before="0" w:after="0"/>
              <w:jc w:val="right"/>
              <w:rPr>
                <w:color w:val="000000"/>
              </w:rPr>
            </w:pPr>
            <w:r>
              <w:rPr>
                <w:color w:val="000000"/>
              </w:rPr>
              <w:t>472,498</w:t>
            </w:r>
          </w:p>
        </w:tc>
        <w:tc>
          <w:tcPr>
            <w:tcW w:w="219" w:type="dxa"/>
            <w:tcBorders/>
            <w:shd w:fill="CCEEFF" w:val="clear"/>
            <w:vAlign w:val="bottom"/>
          </w:tcPr>
          <w:p>
            <w:pPr>
              <w:pStyle w:val="TableContents"/>
              <w:spacing w:before="0" w:after="283"/>
              <w:rPr/>
            </w:pPr>
            <w:r>
              <w:rPr/>
              <w:t> </w:t>
            </w:r>
          </w:p>
        </w:tc>
      </w:tr>
      <w:tr>
        <w:trPr/>
        <w:tc>
          <w:tcPr>
            <w:tcW w:w="6676" w:type="dxa"/>
            <w:tcBorders/>
            <w:shd w:fill="auto" w:val="clear"/>
            <w:vAlign w:val="bottom"/>
          </w:tcPr>
          <w:p>
            <w:pPr>
              <w:pStyle w:val="TableContents"/>
              <w:spacing w:before="0" w:after="0"/>
              <w:ind w:left="324" w:right="0" w:hanging="144"/>
              <w:rPr>
                <w:color w:val="000000"/>
              </w:rPr>
            </w:pPr>
            <w:r>
              <w:rPr>
                <w:color w:val="000000"/>
              </w:rPr>
              <w:t>Consumer:</w:t>
            </w:r>
          </w:p>
        </w:tc>
        <w:tc>
          <w:tcPr>
            <w:tcW w:w="6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234" w:type="dxa"/>
            <w:tcBorders/>
            <w:shd w:fill="auto" w:val="clear"/>
            <w:vAlign w:val="bottom"/>
          </w:tcPr>
          <w:p>
            <w:pPr>
              <w:pStyle w:val="TableContents"/>
              <w:spacing w:before="0" w:after="283"/>
              <w:jc w:val="right"/>
              <w:rPr/>
            </w:pPr>
            <w:r>
              <w:rPr/>
              <w:t> </w:t>
            </w:r>
          </w:p>
        </w:tc>
        <w:tc>
          <w:tcPr>
            <w:tcW w:w="358"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234" w:type="dxa"/>
            <w:tcBorders/>
            <w:shd w:fill="auto" w:val="clear"/>
            <w:vAlign w:val="bottom"/>
          </w:tcPr>
          <w:p>
            <w:pPr>
              <w:pStyle w:val="TableContents"/>
              <w:spacing w:before="0" w:after="283"/>
              <w:jc w:val="right"/>
              <w:rPr/>
            </w:pPr>
            <w:r>
              <w:rPr/>
              <w:t> </w:t>
            </w:r>
          </w:p>
        </w:tc>
        <w:tc>
          <w:tcPr>
            <w:tcW w:w="219" w:type="dxa"/>
            <w:tcBorders/>
            <w:shd w:fill="auto" w:val="clear"/>
            <w:vAlign w:val="bottom"/>
          </w:tcPr>
          <w:p>
            <w:pPr>
              <w:pStyle w:val="TableContents"/>
              <w:spacing w:before="0" w:after="283"/>
              <w:rPr/>
            </w:pPr>
            <w:r>
              <w:rPr/>
              <w:t> </w:t>
            </w:r>
          </w:p>
        </w:tc>
      </w:tr>
      <w:tr>
        <w:trPr/>
        <w:tc>
          <w:tcPr>
            <w:tcW w:w="6676" w:type="dxa"/>
            <w:tcBorders/>
            <w:shd w:fill="CCEEFF" w:val="clear"/>
            <w:vAlign w:val="bottom"/>
          </w:tcPr>
          <w:p>
            <w:pPr>
              <w:pStyle w:val="TableContents"/>
              <w:spacing w:before="0" w:after="0"/>
              <w:ind w:left="504" w:right="0" w:hanging="144"/>
              <w:rPr>
                <w:color w:val="000000"/>
              </w:rPr>
            </w:pPr>
            <w:r>
              <w:rPr>
                <w:color w:val="000000"/>
              </w:rPr>
              <w:t>1-4 family residential</w:t>
            </w:r>
          </w:p>
        </w:tc>
        <w:tc>
          <w:tcPr>
            <w:tcW w:w="6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1234" w:type="dxa"/>
            <w:tcBorders/>
            <w:shd w:fill="CCEEFF" w:val="clear"/>
            <w:vAlign w:val="bottom"/>
          </w:tcPr>
          <w:p>
            <w:pPr>
              <w:pStyle w:val="TableContents"/>
              <w:spacing w:before="0" w:after="0"/>
              <w:jc w:val="right"/>
              <w:rPr>
                <w:color w:val="000000"/>
              </w:rPr>
            </w:pPr>
            <w:r>
              <w:rPr>
                <w:color w:val="000000"/>
              </w:rPr>
              <w:t>476,168</w:t>
            </w:r>
          </w:p>
        </w:tc>
        <w:tc>
          <w:tcPr>
            <w:tcW w:w="358" w:type="dxa"/>
            <w:tcBorders/>
            <w:shd w:fill="CCEEFF" w:val="clear"/>
            <w:vAlign w:val="bottom"/>
          </w:tcPr>
          <w:p>
            <w:pPr>
              <w:pStyle w:val="TableContents"/>
              <w:spacing w:before="0" w:after="283"/>
              <w:rPr/>
            </w:pPr>
            <w:r>
              <w:rPr/>
              <w:t> </w:t>
            </w:r>
          </w:p>
        </w:tc>
        <w:tc>
          <w:tcPr>
            <w:tcW w:w="74"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1234" w:type="dxa"/>
            <w:tcBorders/>
            <w:shd w:fill="CCEEFF" w:val="clear"/>
            <w:vAlign w:val="bottom"/>
          </w:tcPr>
          <w:p>
            <w:pPr>
              <w:pStyle w:val="TableContents"/>
              <w:spacing w:before="0" w:after="0"/>
              <w:jc w:val="right"/>
              <w:rPr>
                <w:color w:val="000000"/>
              </w:rPr>
            </w:pPr>
            <w:r>
              <w:rPr>
                <w:color w:val="000000"/>
              </w:rPr>
              <w:t>387,987</w:t>
            </w:r>
          </w:p>
        </w:tc>
        <w:tc>
          <w:tcPr>
            <w:tcW w:w="219" w:type="dxa"/>
            <w:tcBorders/>
            <w:shd w:fill="CCEEFF" w:val="clear"/>
            <w:vAlign w:val="bottom"/>
          </w:tcPr>
          <w:p>
            <w:pPr>
              <w:pStyle w:val="TableContents"/>
              <w:spacing w:before="0" w:after="283"/>
              <w:rPr/>
            </w:pPr>
            <w:r>
              <w:rPr/>
              <w:t> </w:t>
            </w:r>
          </w:p>
        </w:tc>
      </w:tr>
      <w:tr>
        <w:trPr/>
        <w:tc>
          <w:tcPr>
            <w:tcW w:w="6676" w:type="dxa"/>
            <w:tcBorders/>
            <w:shd w:fill="auto" w:val="clear"/>
            <w:vAlign w:val="bottom"/>
          </w:tcPr>
          <w:p>
            <w:pPr>
              <w:pStyle w:val="TableContents"/>
              <w:spacing w:before="0" w:after="0"/>
              <w:ind w:left="504" w:right="0" w:hanging="144"/>
              <w:rPr>
                <w:color w:val="000000"/>
              </w:rPr>
            </w:pPr>
            <w:r>
              <w:rPr>
                <w:color w:val="000000"/>
              </w:rPr>
              <w:t>Auto loans</w:t>
            </w:r>
          </w:p>
        </w:tc>
        <w:tc>
          <w:tcPr>
            <w:tcW w:w="6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234" w:type="dxa"/>
            <w:tcBorders/>
            <w:shd w:fill="auto" w:val="clear"/>
            <w:vAlign w:val="bottom"/>
          </w:tcPr>
          <w:p>
            <w:pPr>
              <w:pStyle w:val="TableContents"/>
              <w:spacing w:before="0" w:after="0"/>
              <w:jc w:val="right"/>
              <w:rPr>
                <w:color w:val="000000"/>
              </w:rPr>
            </w:pPr>
            <w:r>
              <w:rPr>
                <w:color w:val="000000"/>
              </w:rPr>
              <w:t>319,982</w:t>
            </w:r>
          </w:p>
        </w:tc>
        <w:tc>
          <w:tcPr>
            <w:tcW w:w="358"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234" w:type="dxa"/>
            <w:tcBorders/>
            <w:shd w:fill="auto" w:val="clear"/>
            <w:vAlign w:val="bottom"/>
          </w:tcPr>
          <w:p>
            <w:pPr>
              <w:pStyle w:val="TableContents"/>
              <w:spacing w:before="0" w:after="0"/>
              <w:jc w:val="right"/>
              <w:rPr>
                <w:color w:val="000000"/>
              </w:rPr>
            </w:pPr>
            <w:r>
              <w:rPr>
                <w:color w:val="000000"/>
              </w:rPr>
              <w:t>244,097</w:t>
            </w:r>
          </w:p>
        </w:tc>
        <w:tc>
          <w:tcPr>
            <w:tcW w:w="219" w:type="dxa"/>
            <w:tcBorders/>
            <w:shd w:fill="auto" w:val="clear"/>
            <w:vAlign w:val="bottom"/>
          </w:tcPr>
          <w:p>
            <w:pPr>
              <w:pStyle w:val="TableContents"/>
              <w:spacing w:before="0" w:after="283"/>
              <w:rPr/>
            </w:pPr>
            <w:r>
              <w:rPr/>
              <w:t> </w:t>
            </w:r>
          </w:p>
        </w:tc>
      </w:tr>
      <w:tr>
        <w:trPr/>
        <w:tc>
          <w:tcPr>
            <w:tcW w:w="6676" w:type="dxa"/>
            <w:tcBorders/>
            <w:shd w:fill="CCEEFF" w:val="clear"/>
            <w:vAlign w:val="bottom"/>
          </w:tcPr>
          <w:p>
            <w:pPr>
              <w:pStyle w:val="TableContents"/>
              <w:spacing w:before="0" w:after="0"/>
              <w:ind w:left="504" w:right="0" w:hanging="144"/>
              <w:rPr>
                <w:color w:val="000000"/>
              </w:rPr>
            </w:pPr>
            <w:r>
              <w:rPr>
                <w:color w:val="000000"/>
              </w:rPr>
              <w:t>Other consumer</w:t>
            </w:r>
          </w:p>
        </w:tc>
        <w:tc>
          <w:tcPr>
            <w:tcW w:w="6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1234" w:type="dxa"/>
            <w:tcBorders/>
            <w:shd w:fill="CCEEFF" w:val="clear"/>
            <w:vAlign w:val="bottom"/>
          </w:tcPr>
          <w:p>
            <w:pPr>
              <w:pStyle w:val="TableContents"/>
              <w:spacing w:before="0" w:after="0"/>
              <w:jc w:val="right"/>
              <w:rPr>
                <w:color w:val="000000"/>
              </w:rPr>
            </w:pPr>
            <w:r>
              <w:rPr>
                <w:color w:val="000000"/>
              </w:rPr>
              <w:t>82,287</w:t>
            </w:r>
          </w:p>
        </w:tc>
        <w:tc>
          <w:tcPr>
            <w:tcW w:w="358" w:type="dxa"/>
            <w:tcBorders/>
            <w:shd w:fill="CCEEFF" w:val="clear"/>
            <w:vAlign w:val="bottom"/>
          </w:tcPr>
          <w:p>
            <w:pPr>
              <w:pStyle w:val="TableContents"/>
              <w:spacing w:before="0" w:after="283"/>
              <w:rPr/>
            </w:pPr>
            <w:r>
              <w:rPr/>
              <w:t> </w:t>
            </w:r>
          </w:p>
        </w:tc>
        <w:tc>
          <w:tcPr>
            <w:tcW w:w="74"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1234" w:type="dxa"/>
            <w:tcBorders/>
            <w:shd w:fill="CCEEFF" w:val="clear"/>
            <w:vAlign w:val="bottom"/>
          </w:tcPr>
          <w:p>
            <w:pPr>
              <w:pStyle w:val="TableContents"/>
              <w:spacing w:before="0" w:after="0"/>
              <w:jc w:val="right"/>
              <w:rPr>
                <w:color w:val="000000"/>
              </w:rPr>
            </w:pPr>
            <w:r>
              <w:rPr>
                <w:color w:val="000000"/>
              </w:rPr>
              <w:t>79,044</w:t>
            </w:r>
          </w:p>
        </w:tc>
        <w:tc>
          <w:tcPr>
            <w:tcW w:w="219" w:type="dxa"/>
            <w:tcBorders/>
            <w:shd w:fill="CCEEFF" w:val="clear"/>
            <w:vAlign w:val="bottom"/>
          </w:tcPr>
          <w:p>
            <w:pPr>
              <w:pStyle w:val="TableContents"/>
              <w:spacing w:before="0" w:after="283"/>
              <w:rPr/>
            </w:pPr>
            <w:r>
              <w:rPr/>
              <w:t> </w:t>
            </w:r>
          </w:p>
        </w:tc>
      </w:tr>
      <w:tr>
        <w:trPr/>
        <w:tc>
          <w:tcPr>
            <w:tcW w:w="6676" w:type="dxa"/>
            <w:tcBorders/>
            <w:shd w:fill="auto" w:val="clear"/>
            <w:vAlign w:val="bottom"/>
          </w:tcPr>
          <w:p>
            <w:pPr>
              <w:pStyle w:val="TableContents"/>
              <w:spacing w:before="0" w:after="0"/>
              <w:ind w:left="324" w:right="0" w:hanging="144"/>
              <w:rPr>
                <w:color w:val="000000"/>
              </w:rPr>
            </w:pPr>
            <w:r>
              <w:rPr>
                <w:color w:val="000000"/>
              </w:rPr>
              <w:t>Construction</w:t>
            </w:r>
          </w:p>
        </w:tc>
        <w:tc>
          <w:tcPr>
            <w:tcW w:w="6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234" w:type="dxa"/>
            <w:tcBorders/>
            <w:shd w:fill="auto" w:val="clear"/>
            <w:vAlign w:val="bottom"/>
          </w:tcPr>
          <w:p>
            <w:pPr>
              <w:pStyle w:val="TableContents"/>
              <w:spacing w:before="0" w:after="0"/>
              <w:jc w:val="right"/>
              <w:rPr>
                <w:color w:val="000000"/>
              </w:rPr>
            </w:pPr>
            <w:r>
              <w:rPr>
                <w:color w:val="000000"/>
              </w:rPr>
              <w:t>148,317</w:t>
            </w:r>
          </w:p>
        </w:tc>
        <w:tc>
          <w:tcPr>
            <w:tcW w:w="358"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234" w:type="dxa"/>
            <w:tcBorders/>
            <w:shd w:fill="auto" w:val="clear"/>
            <w:vAlign w:val="bottom"/>
          </w:tcPr>
          <w:p>
            <w:pPr>
              <w:pStyle w:val="TableContents"/>
              <w:spacing w:before="0" w:after="0"/>
              <w:jc w:val="right"/>
              <w:rPr>
                <w:color w:val="000000"/>
              </w:rPr>
            </w:pPr>
            <w:r>
              <w:rPr>
                <w:color w:val="000000"/>
              </w:rPr>
              <w:t>144,928</w:t>
            </w:r>
          </w:p>
        </w:tc>
        <w:tc>
          <w:tcPr>
            <w:tcW w:w="219" w:type="dxa"/>
            <w:tcBorders/>
            <w:shd w:fill="auto" w:val="clear"/>
            <w:vAlign w:val="bottom"/>
          </w:tcPr>
          <w:p>
            <w:pPr>
              <w:pStyle w:val="TableContents"/>
              <w:spacing w:before="0" w:after="283"/>
              <w:rPr/>
            </w:pPr>
            <w:r>
              <w:rPr/>
              <w:t> </w:t>
            </w:r>
          </w:p>
        </w:tc>
      </w:tr>
      <w:tr>
        <w:trPr/>
        <w:tc>
          <w:tcPr>
            <w:tcW w:w="6676" w:type="dxa"/>
            <w:tcBorders/>
            <w:shd w:fill="CCEEFF" w:val="clear"/>
            <w:vAlign w:val="bottom"/>
          </w:tcPr>
          <w:p>
            <w:pPr>
              <w:pStyle w:val="TableContents"/>
              <w:spacing w:before="0" w:after="0"/>
              <w:ind w:left="324" w:right="0" w:hanging="144"/>
              <w:rPr>
                <w:color w:val="000000"/>
              </w:rPr>
            </w:pPr>
            <w:r>
              <w:rPr>
                <w:color w:val="000000"/>
              </w:rPr>
              <w:t>Loans held for sale</w:t>
            </w:r>
          </w:p>
        </w:tc>
        <w:tc>
          <w:tcPr>
            <w:tcW w:w="60" w:type="dxa"/>
            <w:tcBorders/>
            <w:shd w:fill="CCEEFF" w:val="clear"/>
            <w:vAlign w:val="bottom"/>
          </w:tcPr>
          <w:p>
            <w:pPr>
              <w:pStyle w:val="TableContents"/>
              <w:spacing w:before="0" w:after="283"/>
              <w:rPr/>
            </w:pPr>
            <w:r>
              <w:rPr/>
              <w:t> </w:t>
            </w:r>
          </w:p>
        </w:tc>
        <w:tc>
          <w:tcPr>
            <w:tcW w:w="175" w:type="dxa"/>
            <w:tcBorders>
              <w:bottom w:val="single" w:sz="12" w:space="0" w:color="000000"/>
            </w:tcBorders>
            <w:shd w:fill="CCEEFF" w:val="clear"/>
            <w:tcMar>
              <w:bottom w:w="28" w:type="dxa"/>
            </w:tcMar>
            <w:vAlign w:val="bottom"/>
          </w:tcPr>
          <w:p>
            <w:pPr>
              <w:pStyle w:val="TableContents"/>
              <w:spacing w:before="0" w:after="283"/>
              <w:rPr/>
            </w:pPr>
            <w:r>
              <w:rPr/>
              <w:t> </w:t>
            </w:r>
          </w:p>
        </w:tc>
        <w:tc>
          <w:tcPr>
            <w:tcW w:w="1234"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24,275</w:t>
            </w:r>
          </w:p>
        </w:tc>
        <w:tc>
          <w:tcPr>
            <w:tcW w:w="358" w:type="dxa"/>
            <w:tcBorders/>
            <w:shd w:fill="CCEEFF" w:val="clear"/>
            <w:vAlign w:val="bottom"/>
          </w:tcPr>
          <w:p>
            <w:pPr>
              <w:pStyle w:val="TableContents"/>
              <w:spacing w:before="0" w:after="283"/>
              <w:rPr/>
            </w:pPr>
            <w:r>
              <w:rPr/>
              <w:t> </w:t>
            </w:r>
          </w:p>
        </w:tc>
        <w:tc>
          <w:tcPr>
            <w:tcW w:w="74" w:type="dxa"/>
            <w:tcBorders/>
            <w:shd w:fill="CCEEFF" w:val="clear"/>
            <w:vAlign w:val="bottom"/>
          </w:tcPr>
          <w:p>
            <w:pPr>
              <w:pStyle w:val="TableContents"/>
              <w:spacing w:before="0" w:after="283"/>
              <w:rPr/>
            </w:pPr>
            <w:r>
              <w:rPr/>
              <w:t> </w:t>
            </w:r>
          </w:p>
        </w:tc>
        <w:tc>
          <w:tcPr>
            <w:tcW w:w="175" w:type="dxa"/>
            <w:tcBorders>
              <w:bottom w:val="single" w:sz="12" w:space="0" w:color="000000"/>
            </w:tcBorders>
            <w:shd w:fill="CCEEFF" w:val="clear"/>
            <w:tcMar>
              <w:bottom w:w="28" w:type="dxa"/>
            </w:tcMar>
            <w:vAlign w:val="bottom"/>
          </w:tcPr>
          <w:p>
            <w:pPr>
              <w:pStyle w:val="TableContents"/>
              <w:spacing w:before="0" w:after="283"/>
              <w:rPr/>
            </w:pPr>
            <w:r>
              <w:rPr/>
              <w:t> </w:t>
            </w:r>
          </w:p>
        </w:tc>
        <w:tc>
          <w:tcPr>
            <w:tcW w:w="1234"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48,913</w:t>
            </w:r>
          </w:p>
        </w:tc>
        <w:tc>
          <w:tcPr>
            <w:tcW w:w="219" w:type="dxa"/>
            <w:tcBorders/>
            <w:shd w:fill="CCEEFF" w:val="clear"/>
            <w:vAlign w:val="bottom"/>
          </w:tcPr>
          <w:p>
            <w:pPr>
              <w:pStyle w:val="TableContents"/>
              <w:spacing w:before="0" w:after="283"/>
              <w:rPr/>
            </w:pPr>
            <w:r>
              <w:rPr/>
              <w:t> </w:t>
            </w:r>
          </w:p>
        </w:tc>
      </w:tr>
      <w:tr>
        <w:trPr/>
        <w:tc>
          <w:tcPr>
            <w:tcW w:w="6676" w:type="dxa"/>
            <w:tcBorders/>
            <w:shd w:fill="auto" w:val="clear"/>
            <w:vAlign w:val="bottom"/>
          </w:tcPr>
          <w:p>
            <w:pPr>
              <w:pStyle w:val="TableContents"/>
              <w:spacing w:before="0" w:after="0"/>
              <w:ind w:left="144" w:right="0" w:hanging="144"/>
              <w:rPr>
                <w:color w:val="000000"/>
              </w:rPr>
            </w:pPr>
            <w:r>
              <w:rPr>
                <w:color w:val="000000"/>
              </w:rPr>
              <w:t>Total average loans outstanding during the period</w:t>
            </w:r>
          </w:p>
        </w:tc>
        <w:tc>
          <w:tcPr>
            <w:tcW w:w="60" w:type="dxa"/>
            <w:tcBorders/>
            <w:shd w:fill="auto" w:val="clear"/>
            <w:vAlign w:val="bottom"/>
          </w:tcPr>
          <w:p>
            <w:pPr>
              <w:pStyle w:val="TableContents"/>
              <w:spacing w:before="0" w:after="283"/>
              <w:rPr/>
            </w:pPr>
            <w:r>
              <w:rPr/>
              <w:t> </w:t>
            </w:r>
          </w:p>
        </w:tc>
        <w:tc>
          <w:tcPr>
            <w:tcW w:w="175" w:type="dxa"/>
            <w:tcBorders>
              <w:bottom w:val="double" w:sz="8" w:space="0" w:color="000000"/>
            </w:tcBorders>
            <w:shd w:fill="auto" w:val="clear"/>
            <w:tcMar>
              <w:bottom w:w="28" w:type="dxa"/>
            </w:tcMar>
            <w:vAlign w:val="bottom"/>
          </w:tcPr>
          <w:p>
            <w:pPr>
              <w:pStyle w:val="TableContents"/>
              <w:spacing w:before="0" w:after="0"/>
              <w:rPr>
                <w:color w:val="000000"/>
              </w:rPr>
            </w:pPr>
            <w:r>
              <w:rPr>
                <w:color w:val="000000"/>
              </w:rPr>
              <w:t>$</w:t>
            </w:r>
          </w:p>
        </w:tc>
        <w:tc>
          <w:tcPr>
            <w:tcW w:w="1234" w:type="dxa"/>
            <w:tcBorders>
              <w:bottom w:val="double" w:sz="8" w:space="0" w:color="000000"/>
            </w:tcBorders>
            <w:shd w:fill="auto" w:val="clear"/>
            <w:tcMar>
              <w:bottom w:w="28" w:type="dxa"/>
            </w:tcMar>
            <w:vAlign w:val="bottom"/>
          </w:tcPr>
          <w:p>
            <w:pPr>
              <w:pStyle w:val="TableContents"/>
              <w:spacing w:before="0" w:after="0"/>
              <w:jc w:val="right"/>
              <w:rPr>
                <w:color w:val="000000"/>
              </w:rPr>
            </w:pPr>
            <w:r>
              <w:rPr>
                <w:color w:val="000000"/>
              </w:rPr>
              <w:t>2,778,876</w:t>
            </w:r>
          </w:p>
        </w:tc>
        <w:tc>
          <w:tcPr>
            <w:tcW w:w="358"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175" w:type="dxa"/>
            <w:tcBorders>
              <w:bottom w:val="double" w:sz="8" w:space="0" w:color="000000"/>
            </w:tcBorders>
            <w:shd w:fill="auto" w:val="clear"/>
            <w:tcMar>
              <w:bottom w:w="28" w:type="dxa"/>
            </w:tcMar>
            <w:vAlign w:val="bottom"/>
          </w:tcPr>
          <w:p>
            <w:pPr>
              <w:pStyle w:val="TableContents"/>
              <w:spacing w:before="0" w:after="0"/>
              <w:rPr>
                <w:color w:val="000000"/>
              </w:rPr>
            </w:pPr>
            <w:r>
              <w:rPr>
                <w:color w:val="000000"/>
              </w:rPr>
              <w:t>$</w:t>
            </w:r>
          </w:p>
        </w:tc>
        <w:tc>
          <w:tcPr>
            <w:tcW w:w="1234" w:type="dxa"/>
            <w:tcBorders>
              <w:bottom w:val="double" w:sz="8" w:space="0" w:color="000000"/>
            </w:tcBorders>
            <w:shd w:fill="auto" w:val="clear"/>
            <w:tcMar>
              <w:bottom w:w="28" w:type="dxa"/>
            </w:tcMar>
            <w:vAlign w:val="bottom"/>
          </w:tcPr>
          <w:p>
            <w:pPr>
              <w:pStyle w:val="TableContents"/>
              <w:spacing w:before="0" w:after="0"/>
              <w:jc w:val="right"/>
              <w:rPr>
                <w:color w:val="000000"/>
              </w:rPr>
            </w:pPr>
            <w:r>
              <w:rPr>
                <w:color w:val="000000"/>
              </w:rPr>
              <w:t>2,482,603</w:t>
            </w:r>
          </w:p>
        </w:tc>
        <w:tc>
          <w:tcPr>
            <w:tcW w:w="219" w:type="dxa"/>
            <w:tcBorders/>
            <w:shd w:fill="auto" w:val="clear"/>
            <w:vAlign w:val="bottom"/>
          </w:tcPr>
          <w:p>
            <w:pPr>
              <w:pStyle w:val="TableContents"/>
              <w:spacing w:before="0" w:after="283"/>
              <w:rPr/>
            </w:pPr>
            <w:r>
              <w:rPr/>
              <w:t> </w:t>
            </w:r>
          </w:p>
        </w:tc>
      </w:tr>
      <w:tr>
        <w:trPr/>
        <w:tc>
          <w:tcPr>
            <w:tcW w:w="667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1234" w:type="dxa"/>
            <w:tcBorders/>
            <w:shd w:fill="CCEEFF" w:val="clear"/>
            <w:vAlign w:val="bottom"/>
          </w:tcPr>
          <w:p>
            <w:pPr>
              <w:pStyle w:val="TableContents"/>
              <w:spacing w:before="0" w:after="283"/>
              <w:jc w:val="right"/>
              <w:rPr/>
            </w:pPr>
            <w:r>
              <w:rPr/>
              <w:t> </w:t>
            </w:r>
          </w:p>
        </w:tc>
        <w:tc>
          <w:tcPr>
            <w:tcW w:w="358" w:type="dxa"/>
            <w:tcBorders/>
            <w:shd w:fill="CCEEFF" w:val="clear"/>
            <w:vAlign w:val="bottom"/>
          </w:tcPr>
          <w:p>
            <w:pPr>
              <w:pStyle w:val="TableContents"/>
              <w:spacing w:before="0" w:after="283"/>
              <w:rPr/>
            </w:pPr>
            <w:r>
              <w:rPr/>
              <w:t> </w:t>
            </w:r>
          </w:p>
        </w:tc>
        <w:tc>
          <w:tcPr>
            <w:tcW w:w="74"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1234" w:type="dxa"/>
            <w:tcBorders/>
            <w:shd w:fill="CCEEFF" w:val="clear"/>
            <w:vAlign w:val="bottom"/>
          </w:tcPr>
          <w:p>
            <w:pPr>
              <w:pStyle w:val="TableContents"/>
              <w:spacing w:before="0" w:after="283"/>
              <w:jc w:val="right"/>
              <w:rPr/>
            </w:pPr>
            <w:r>
              <w:rPr/>
              <w:t> </w:t>
            </w:r>
          </w:p>
        </w:tc>
        <w:tc>
          <w:tcPr>
            <w:tcW w:w="219" w:type="dxa"/>
            <w:tcBorders/>
            <w:shd w:fill="CCEEFF" w:val="clear"/>
            <w:vAlign w:val="bottom"/>
          </w:tcPr>
          <w:p>
            <w:pPr>
              <w:pStyle w:val="TableContents"/>
              <w:spacing w:before="0" w:after="283"/>
              <w:rPr/>
            </w:pPr>
            <w:r>
              <w:rPr/>
              <w:t> </w:t>
            </w:r>
          </w:p>
        </w:tc>
      </w:tr>
      <w:tr>
        <w:trPr/>
        <w:tc>
          <w:tcPr>
            <w:tcW w:w="6676" w:type="dxa"/>
            <w:tcBorders/>
            <w:shd w:fill="auto" w:val="clear"/>
            <w:vAlign w:val="bottom"/>
          </w:tcPr>
          <w:p>
            <w:pPr>
              <w:pStyle w:val="TableContents"/>
              <w:spacing w:before="0" w:after="0"/>
              <w:ind w:left="144" w:right="0" w:hanging="144"/>
              <w:rPr>
                <w:color w:val="000000"/>
              </w:rPr>
            </w:pPr>
            <w:r>
              <w:rPr>
                <w:color w:val="000000"/>
              </w:rPr>
              <w:t>Net charge-offs (recoveries) during the period</w:t>
            </w:r>
          </w:p>
        </w:tc>
        <w:tc>
          <w:tcPr>
            <w:tcW w:w="6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234" w:type="dxa"/>
            <w:tcBorders/>
            <w:shd w:fill="auto" w:val="clear"/>
            <w:vAlign w:val="bottom"/>
          </w:tcPr>
          <w:p>
            <w:pPr>
              <w:pStyle w:val="TableContents"/>
              <w:spacing w:before="0" w:after="283"/>
              <w:jc w:val="right"/>
              <w:rPr/>
            </w:pPr>
            <w:r>
              <w:rPr/>
              <w:t> </w:t>
            </w:r>
          </w:p>
        </w:tc>
        <w:tc>
          <w:tcPr>
            <w:tcW w:w="358"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234" w:type="dxa"/>
            <w:tcBorders/>
            <w:shd w:fill="auto" w:val="clear"/>
            <w:vAlign w:val="bottom"/>
          </w:tcPr>
          <w:p>
            <w:pPr>
              <w:pStyle w:val="TableContents"/>
              <w:spacing w:before="0" w:after="283"/>
              <w:jc w:val="right"/>
              <w:rPr/>
            </w:pPr>
            <w:r>
              <w:rPr/>
              <w:t> </w:t>
            </w:r>
          </w:p>
        </w:tc>
        <w:tc>
          <w:tcPr>
            <w:tcW w:w="219" w:type="dxa"/>
            <w:tcBorders/>
            <w:shd w:fill="auto" w:val="clear"/>
            <w:vAlign w:val="bottom"/>
          </w:tcPr>
          <w:p>
            <w:pPr>
              <w:pStyle w:val="TableContents"/>
              <w:spacing w:before="0" w:after="283"/>
              <w:rPr/>
            </w:pPr>
            <w:r>
              <w:rPr/>
              <w:t> </w:t>
            </w:r>
          </w:p>
        </w:tc>
      </w:tr>
      <w:tr>
        <w:trPr/>
        <w:tc>
          <w:tcPr>
            <w:tcW w:w="6676" w:type="dxa"/>
            <w:tcBorders/>
            <w:shd w:fill="CCEEFF" w:val="clear"/>
            <w:vAlign w:val="bottom"/>
          </w:tcPr>
          <w:p>
            <w:pPr>
              <w:pStyle w:val="TableContents"/>
              <w:spacing w:before="0" w:after="0"/>
              <w:ind w:left="324" w:right="0" w:hanging="144"/>
              <w:rPr>
                <w:color w:val="000000"/>
              </w:rPr>
            </w:pPr>
            <w:r>
              <w:rPr>
                <w:color w:val="000000"/>
              </w:rPr>
              <w:t>Commercial real estate</w:t>
            </w:r>
          </w:p>
        </w:tc>
        <w:tc>
          <w:tcPr>
            <w:tcW w:w="6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0"/>
              <w:rPr>
                <w:color w:val="000000"/>
              </w:rPr>
            </w:pPr>
            <w:r>
              <w:rPr>
                <w:color w:val="000000"/>
              </w:rPr>
              <w:t>$</w:t>
            </w:r>
          </w:p>
        </w:tc>
        <w:tc>
          <w:tcPr>
            <w:tcW w:w="1234" w:type="dxa"/>
            <w:tcBorders/>
            <w:shd w:fill="CCEEFF" w:val="clear"/>
            <w:vAlign w:val="bottom"/>
          </w:tcPr>
          <w:p>
            <w:pPr>
              <w:pStyle w:val="TableContents"/>
              <w:spacing w:before="0" w:after="0"/>
              <w:jc w:val="right"/>
              <w:rPr>
                <w:color w:val="000000"/>
              </w:rPr>
            </w:pPr>
            <w:r>
              <w:rPr>
                <w:color w:val="000000"/>
              </w:rPr>
              <w:t>—</w:t>
            </w:r>
          </w:p>
        </w:tc>
        <w:tc>
          <w:tcPr>
            <w:tcW w:w="358" w:type="dxa"/>
            <w:tcBorders/>
            <w:shd w:fill="CCEEFF" w:val="clear"/>
            <w:vAlign w:val="bottom"/>
          </w:tcPr>
          <w:p>
            <w:pPr>
              <w:pStyle w:val="TableContents"/>
              <w:spacing w:before="0" w:after="283"/>
              <w:rPr/>
            </w:pPr>
            <w:r>
              <w:rPr/>
              <w:t> </w:t>
            </w:r>
          </w:p>
        </w:tc>
        <w:tc>
          <w:tcPr>
            <w:tcW w:w="74"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0"/>
              <w:rPr>
                <w:color w:val="000000"/>
              </w:rPr>
            </w:pPr>
            <w:r>
              <w:rPr>
                <w:color w:val="000000"/>
              </w:rPr>
              <w:t>$</w:t>
            </w:r>
          </w:p>
        </w:tc>
        <w:tc>
          <w:tcPr>
            <w:tcW w:w="1234" w:type="dxa"/>
            <w:tcBorders/>
            <w:shd w:fill="CCEEFF" w:val="clear"/>
            <w:vAlign w:val="bottom"/>
          </w:tcPr>
          <w:p>
            <w:pPr>
              <w:pStyle w:val="TableContents"/>
              <w:spacing w:before="0" w:after="0"/>
              <w:jc w:val="right"/>
              <w:rPr>
                <w:color w:val="000000"/>
              </w:rPr>
            </w:pPr>
            <w:r>
              <w:rPr>
                <w:color w:val="000000"/>
              </w:rPr>
              <w:t>(25</w:t>
            </w:r>
          </w:p>
        </w:tc>
        <w:tc>
          <w:tcPr>
            <w:tcW w:w="219" w:type="dxa"/>
            <w:tcBorders/>
            <w:shd w:fill="CCEEFF" w:val="clear"/>
            <w:vAlign w:val="bottom"/>
          </w:tcPr>
          <w:p>
            <w:pPr>
              <w:pStyle w:val="TableContents"/>
              <w:spacing w:before="0" w:after="0"/>
              <w:rPr>
                <w:color w:val="000000"/>
              </w:rPr>
            </w:pPr>
            <w:r>
              <w:rPr>
                <w:color w:val="000000"/>
              </w:rPr>
              <w:t>)</w:t>
            </w:r>
          </w:p>
        </w:tc>
      </w:tr>
      <w:tr>
        <w:trPr/>
        <w:tc>
          <w:tcPr>
            <w:tcW w:w="6676" w:type="dxa"/>
            <w:tcBorders/>
            <w:shd w:fill="auto" w:val="clear"/>
            <w:vAlign w:val="bottom"/>
          </w:tcPr>
          <w:p>
            <w:pPr>
              <w:pStyle w:val="TableContents"/>
              <w:spacing w:before="0" w:after="0"/>
              <w:ind w:left="324" w:right="0" w:hanging="144"/>
              <w:rPr>
                <w:color w:val="000000"/>
              </w:rPr>
            </w:pPr>
            <w:r>
              <w:rPr>
                <w:color w:val="000000"/>
              </w:rPr>
              <w:t>Commercial – specialized</w:t>
            </w:r>
          </w:p>
        </w:tc>
        <w:tc>
          <w:tcPr>
            <w:tcW w:w="6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234" w:type="dxa"/>
            <w:tcBorders/>
            <w:shd w:fill="auto" w:val="clear"/>
            <w:vAlign w:val="bottom"/>
          </w:tcPr>
          <w:p>
            <w:pPr>
              <w:pStyle w:val="TableContents"/>
              <w:spacing w:before="0" w:after="0"/>
              <w:jc w:val="right"/>
              <w:rPr>
                <w:color w:val="000000"/>
              </w:rPr>
            </w:pPr>
            <w:r>
              <w:rPr>
                <w:color w:val="000000"/>
              </w:rPr>
              <w:t>(63</w:t>
            </w:r>
          </w:p>
        </w:tc>
        <w:tc>
          <w:tcPr>
            <w:tcW w:w="358" w:type="dxa"/>
            <w:tcBorders/>
            <w:shd w:fill="auto" w:val="clear"/>
            <w:vAlign w:val="bottom"/>
          </w:tcPr>
          <w:p>
            <w:pPr>
              <w:pStyle w:val="TableContents"/>
              <w:spacing w:before="0" w:after="0"/>
              <w:rPr>
                <w:color w:val="000000"/>
              </w:rPr>
            </w:pPr>
            <w:r>
              <w:rPr>
                <w:color w:val="000000"/>
              </w:rPr>
              <w:t>)</w:t>
            </w:r>
          </w:p>
        </w:tc>
        <w:tc>
          <w:tcPr>
            <w:tcW w:w="74"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234" w:type="dxa"/>
            <w:tcBorders/>
            <w:shd w:fill="auto" w:val="clear"/>
            <w:vAlign w:val="bottom"/>
          </w:tcPr>
          <w:p>
            <w:pPr>
              <w:pStyle w:val="TableContents"/>
              <w:spacing w:before="0" w:after="0"/>
              <w:jc w:val="right"/>
              <w:rPr>
                <w:color w:val="000000"/>
              </w:rPr>
            </w:pPr>
            <w:r>
              <w:rPr>
                <w:color w:val="000000"/>
              </w:rPr>
              <w:t>5</w:t>
            </w:r>
          </w:p>
        </w:tc>
        <w:tc>
          <w:tcPr>
            <w:tcW w:w="219" w:type="dxa"/>
            <w:tcBorders/>
            <w:shd w:fill="auto" w:val="clear"/>
            <w:vAlign w:val="bottom"/>
          </w:tcPr>
          <w:p>
            <w:pPr>
              <w:pStyle w:val="TableContents"/>
              <w:spacing w:before="0" w:after="283"/>
              <w:rPr/>
            </w:pPr>
            <w:r>
              <w:rPr/>
              <w:t> </w:t>
            </w:r>
          </w:p>
        </w:tc>
      </w:tr>
      <w:tr>
        <w:trPr/>
        <w:tc>
          <w:tcPr>
            <w:tcW w:w="6676" w:type="dxa"/>
            <w:tcBorders/>
            <w:shd w:fill="CCEEFF" w:val="clear"/>
            <w:vAlign w:val="bottom"/>
          </w:tcPr>
          <w:p>
            <w:pPr>
              <w:pStyle w:val="TableContents"/>
              <w:spacing w:before="0" w:after="0"/>
              <w:ind w:left="324" w:right="0" w:hanging="144"/>
              <w:rPr>
                <w:color w:val="000000"/>
              </w:rPr>
            </w:pPr>
            <w:r>
              <w:rPr>
                <w:color w:val="000000"/>
              </w:rPr>
              <w:t>Commercial – general</w:t>
            </w:r>
          </w:p>
        </w:tc>
        <w:tc>
          <w:tcPr>
            <w:tcW w:w="6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1234" w:type="dxa"/>
            <w:tcBorders/>
            <w:shd w:fill="CCEEFF" w:val="clear"/>
            <w:vAlign w:val="bottom"/>
          </w:tcPr>
          <w:p>
            <w:pPr>
              <w:pStyle w:val="TableContents"/>
              <w:spacing w:before="0" w:after="0"/>
              <w:jc w:val="right"/>
              <w:rPr>
                <w:color w:val="000000"/>
              </w:rPr>
            </w:pPr>
            <w:r>
              <w:rPr>
                <w:color w:val="000000"/>
              </w:rPr>
              <w:t>137</w:t>
            </w:r>
          </w:p>
        </w:tc>
        <w:tc>
          <w:tcPr>
            <w:tcW w:w="358" w:type="dxa"/>
            <w:tcBorders/>
            <w:shd w:fill="CCEEFF" w:val="clear"/>
            <w:vAlign w:val="bottom"/>
          </w:tcPr>
          <w:p>
            <w:pPr>
              <w:pStyle w:val="TableContents"/>
              <w:spacing w:before="0" w:after="283"/>
              <w:rPr/>
            </w:pPr>
            <w:r>
              <w:rPr/>
              <w:t> </w:t>
            </w:r>
          </w:p>
        </w:tc>
        <w:tc>
          <w:tcPr>
            <w:tcW w:w="74"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1234" w:type="dxa"/>
            <w:tcBorders/>
            <w:shd w:fill="CCEEFF" w:val="clear"/>
            <w:vAlign w:val="bottom"/>
          </w:tcPr>
          <w:p>
            <w:pPr>
              <w:pStyle w:val="TableContents"/>
              <w:spacing w:before="0" w:after="0"/>
              <w:jc w:val="right"/>
              <w:rPr>
                <w:color w:val="000000"/>
              </w:rPr>
            </w:pPr>
            <w:r>
              <w:rPr>
                <w:color w:val="000000"/>
              </w:rPr>
              <w:t>185</w:t>
            </w:r>
          </w:p>
        </w:tc>
        <w:tc>
          <w:tcPr>
            <w:tcW w:w="219" w:type="dxa"/>
            <w:tcBorders/>
            <w:shd w:fill="CCEEFF" w:val="clear"/>
            <w:vAlign w:val="bottom"/>
          </w:tcPr>
          <w:p>
            <w:pPr>
              <w:pStyle w:val="TableContents"/>
              <w:spacing w:before="0" w:after="283"/>
              <w:rPr/>
            </w:pPr>
            <w:r>
              <w:rPr/>
              <w:t> </w:t>
            </w:r>
          </w:p>
        </w:tc>
      </w:tr>
      <w:tr>
        <w:trPr/>
        <w:tc>
          <w:tcPr>
            <w:tcW w:w="6676" w:type="dxa"/>
            <w:tcBorders/>
            <w:shd w:fill="auto" w:val="clear"/>
            <w:vAlign w:val="bottom"/>
          </w:tcPr>
          <w:p>
            <w:pPr>
              <w:pStyle w:val="TableContents"/>
              <w:spacing w:before="0" w:after="0"/>
              <w:ind w:left="324" w:right="0" w:hanging="144"/>
              <w:rPr>
                <w:color w:val="000000"/>
              </w:rPr>
            </w:pPr>
            <w:r>
              <w:rPr>
                <w:color w:val="000000"/>
              </w:rPr>
              <w:t>Consumer:</w:t>
            </w:r>
          </w:p>
        </w:tc>
        <w:tc>
          <w:tcPr>
            <w:tcW w:w="6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234" w:type="dxa"/>
            <w:tcBorders/>
            <w:shd w:fill="auto" w:val="clear"/>
            <w:vAlign w:val="bottom"/>
          </w:tcPr>
          <w:p>
            <w:pPr>
              <w:pStyle w:val="TableContents"/>
              <w:spacing w:before="0" w:after="283"/>
              <w:jc w:val="right"/>
              <w:rPr/>
            </w:pPr>
            <w:r>
              <w:rPr/>
              <w:t> </w:t>
            </w:r>
          </w:p>
        </w:tc>
        <w:tc>
          <w:tcPr>
            <w:tcW w:w="358"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234" w:type="dxa"/>
            <w:tcBorders/>
            <w:shd w:fill="auto" w:val="clear"/>
            <w:vAlign w:val="bottom"/>
          </w:tcPr>
          <w:p>
            <w:pPr>
              <w:pStyle w:val="TableContents"/>
              <w:spacing w:before="0" w:after="283"/>
              <w:jc w:val="right"/>
              <w:rPr/>
            </w:pPr>
            <w:r>
              <w:rPr/>
              <w:t> </w:t>
            </w:r>
          </w:p>
        </w:tc>
        <w:tc>
          <w:tcPr>
            <w:tcW w:w="219" w:type="dxa"/>
            <w:tcBorders/>
            <w:shd w:fill="auto" w:val="clear"/>
            <w:vAlign w:val="bottom"/>
          </w:tcPr>
          <w:p>
            <w:pPr>
              <w:pStyle w:val="TableContents"/>
              <w:spacing w:before="0" w:after="283"/>
              <w:rPr/>
            </w:pPr>
            <w:r>
              <w:rPr/>
              <w:t> </w:t>
            </w:r>
          </w:p>
        </w:tc>
      </w:tr>
      <w:tr>
        <w:trPr/>
        <w:tc>
          <w:tcPr>
            <w:tcW w:w="6676" w:type="dxa"/>
            <w:tcBorders/>
            <w:shd w:fill="CCEEFF" w:val="clear"/>
            <w:vAlign w:val="bottom"/>
          </w:tcPr>
          <w:p>
            <w:pPr>
              <w:pStyle w:val="TableContents"/>
              <w:spacing w:before="0" w:after="0"/>
              <w:ind w:left="504" w:right="0" w:hanging="144"/>
              <w:rPr>
                <w:color w:val="000000"/>
              </w:rPr>
            </w:pPr>
            <w:r>
              <w:rPr>
                <w:color w:val="000000"/>
              </w:rPr>
              <w:t>1-4 family residential</w:t>
            </w:r>
          </w:p>
        </w:tc>
        <w:tc>
          <w:tcPr>
            <w:tcW w:w="6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1234" w:type="dxa"/>
            <w:tcBorders/>
            <w:shd w:fill="CCEEFF" w:val="clear"/>
            <w:vAlign w:val="bottom"/>
          </w:tcPr>
          <w:p>
            <w:pPr>
              <w:pStyle w:val="TableContents"/>
              <w:spacing w:before="0" w:after="0"/>
              <w:jc w:val="right"/>
              <w:rPr>
                <w:color w:val="000000"/>
              </w:rPr>
            </w:pPr>
            <w:r>
              <w:rPr>
                <w:color w:val="000000"/>
              </w:rPr>
              <w:t>(2</w:t>
            </w:r>
          </w:p>
        </w:tc>
        <w:tc>
          <w:tcPr>
            <w:tcW w:w="358" w:type="dxa"/>
            <w:tcBorders/>
            <w:shd w:fill="CCEEFF" w:val="clear"/>
            <w:vAlign w:val="bottom"/>
          </w:tcPr>
          <w:p>
            <w:pPr>
              <w:pStyle w:val="TableContents"/>
              <w:spacing w:before="0" w:after="0"/>
              <w:rPr>
                <w:color w:val="000000"/>
              </w:rPr>
            </w:pPr>
            <w:r>
              <w:rPr>
                <w:color w:val="000000"/>
              </w:rPr>
              <w:t>)</w:t>
            </w:r>
          </w:p>
        </w:tc>
        <w:tc>
          <w:tcPr>
            <w:tcW w:w="74"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1234" w:type="dxa"/>
            <w:tcBorders/>
            <w:shd w:fill="CCEEFF" w:val="clear"/>
            <w:vAlign w:val="bottom"/>
          </w:tcPr>
          <w:p>
            <w:pPr>
              <w:pStyle w:val="TableContents"/>
              <w:spacing w:before="0" w:after="0"/>
              <w:jc w:val="right"/>
              <w:rPr>
                <w:color w:val="000000"/>
              </w:rPr>
            </w:pPr>
            <w:r>
              <w:rPr>
                <w:color w:val="000000"/>
              </w:rPr>
              <w:t>39</w:t>
            </w:r>
          </w:p>
        </w:tc>
        <w:tc>
          <w:tcPr>
            <w:tcW w:w="219" w:type="dxa"/>
            <w:tcBorders/>
            <w:shd w:fill="CCEEFF" w:val="clear"/>
            <w:vAlign w:val="bottom"/>
          </w:tcPr>
          <w:p>
            <w:pPr>
              <w:pStyle w:val="TableContents"/>
              <w:spacing w:before="0" w:after="283"/>
              <w:rPr/>
            </w:pPr>
            <w:r>
              <w:rPr/>
              <w:t> </w:t>
            </w:r>
          </w:p>
        </w:tc>
      </w:tr>
      <w:tr>
        <w:trPr/>
        <w:tc>
          <w:tcPr>
            <w:tcW w:w="6676" w:type="dxa"/>
            <w:tcBorders/>
            <w:shd w:fill="auto" w:val="clear"/>
            <w:vAlign w:val="bottom"/>
          </w:tcPr>
          <w:p>
            <w:pPr>
              <w:pStyle w:val="TableContents"/>
              <w:spacing w:before="0" w:after="0"/>
              <w:ind w:left="504" w:right="0" w:hanging="144"/>
              <w:rPr>
                <w:color w:val="000000"/>
              </w:rPr>
            </w:pPr>
            <w:r>
              <w:rPr>
                <w:color w:val="000000"/>
              </w:rPr>
              <w:t>Auto loans</w:t>
            </w:r>
          </w:p>
        </w:tc>
        <w:tc>
          <w:tcPr>
            <w:tcW w:w="6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234" w:type="dxa"/>
            <w:tcBorders/>
            <w:shd w:fill="auto" w:val="clear"/>
            <w:vAlign w:val="bottom"/>
          </w:tcPr>
          <w:p>
            <w:pPr>
              <w:pStyle w:val="TableContents"/>
              <w:spacing w:before="0" w:after="0"/>
              <w:jc w:val="right"/>
              <w:rPr>
                <w:color w:val="000000"/>
              </w:rPr>
            </w:pPr>
            <w:r>
              <w:rPr>
                <w:color w:val="000000"/>
              </w:rPr>
              <w:t>178</w:t>
            </w:r>
          </w:p>
        </w:tc>
        <w:tc>
          <w:tcPr>
            <w:tcW w:w="358"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234" w:type="dxa"/>
            <w:tcBorders/>
            <w:shd w:fill="auto" w:val="clear"/>
            <w:vAlign w:val="bottom"/>
          </w:tcPr>
          <w:p>
            <w:pPr>
              <w:pStyle w:val="TableContents"/>
              <w:spacing w:before="0" w:after="0"/>
              <w:jc w:val="right"/>
              <w:rPr>
                <w:color w:val="000000"/>
              </w:rPr>
            </w:pPr>
            <w:r>
              <w:rPr>
                <w:color w:val="000000"/>
              </w:rPr>
              <w:t>40</w:t>
            </w:r>
          </w:p>
        </w:tc>
        <w:tc>
          <w:tcPr>
            <w:tcW w:w="219" w:type="dxa"/>
            <w:tcBorders/>
            <w:shd w:fill="auto" w:val="clear"/>
            <w:vAlign w:val="bottom"/>
          </w:tcPr>
          <w:p>
            <w:pPr>
              <w:pStyle w:val="TableContents"/>
              <w:spacing w:before="0" w:after="283"/>
              <w:rPr/>
            </w:pPr>
            <w:r>
              <w:rPr/>
              <w:t> </w:t>
            </w:r>
          </w:p>
        </w:tc>
      </w:tr>
      <w:tr>
        <w:trPr/>
        <w:tc>
          <w:tcPr>
            <w:tcW w:w="6676" w:type="dxa"/>
            <w:tcBorders/>
            <w:shd w:fill="CCEEFF" w:val="clear"/>
            <w:vAlign w:val="bottom"/>
          </w:tcPr>
          <w:p>
            <w:pPr>
              <w:pStyle w:val="TableContents"/>
              <w:spacing w:before="0" w:after="0"/>
              <w:ind w:left="504" w:right="0" w:hanging="144"/>
              <w:rPr>
                <w:color w:val="000000"/>
              </w:rPr>
            </w:pPr>
            <w:r>
              <w:rPr>
                <w:color w:val="000000"/>
              </w:rPr>
              <w:t>Other consumer</w:t>
            </w:r>
          </w:p>
        </w:tc>
        <w:tc>
          <w:tcPr>
            <w:tcW w:w="6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1234" w:type="dxa"/>
            <w:tcBorders/>
            <w:shd w:fill="CCEEFF" w:val="clear"/>
            <w:vAlign w:val="bottom"/>
          </w:tcPr>
          <w:p>
            <w:pPr>
              <w:pStyle w:val="TableContents"/>
              <w:spacing w:before="0" w:after="0"/>
              <w:jc w:val="right"/>
              <w:rPr>
                <w:color w:val="000000"/>
              </w:rPr>
            </w:pPr>
            <w:r>
              <w:rPr>
                <w:color w:val="000000"/>
              </w:rPr>
              <w:t>108</w:t>
            </w:r>
          </w:p>
        </w:tc>
        <w:tc>
          <w:tcPr>
            <w:tcW w:w="358" w:type="dxa"/>
            <w:tcBorders/>
            <w:shd w:fill="CCEEFF" w:val="clear"/>
            <w:vAlign w:val="bottom"/>
          </w:tcPr>
          <w:p>
            <w:pPr>
              <w:pStyle w:val="TableContents"/>
              <w:spacing w:before="0" w:after="283"/>
              <w:rPr/>
            </w:pPr>
            <w:r>
              <w:rPr/>
              <w:t> </w:t>
            </w:r>
          </w:p>
        </w:tc>
        <w:tc>
          <w:tcPr>
            <w:tcW w:w="74"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1234" w:type="dxa"/>
            <w:tcBorders/>
            <w:shd w:fill="CCEEFF" w:val="clear"/>
            <w:vAlign w:val="bottom"/>
          </w:tcPr>
          <w:p>
            <w:pPr>
              <w:pStyle w:val="TableContents"/>
              <w:spacing w:before="0" w:after="0"/>
              <w:jc w:val="right"/>
              <w:rPr>
                <w:color w:val="000000"/>
              </w:rPr>
            </w:pPr>
            <w:r>
              <w:rPr>
                <w:color w:val="000000"/>
              </w:rPr>
              <w:t>120</w:t>
            </w:r>
          </w:p>
        </w:tc>
        <w:tc>
          <w:tcPr>
            <w:tcW w:w="219" w:type="dxa"/>
            <w:tcBorders/>
            <w:shd w:fill="CCEEFF" w:val="clear"/>
            <w:vAlign w:val="bottom"/>
          </w:tcPr>
          <w:p>
            <w:pPr>
              <w:pStyle w:val="TableContents"/>
              <w:spacing w:before="0" w:after="283"/>
              <w:rPr/>
            </w:pPr>
            <w:r>
              <w:rPr/>
              <w:t> </w:t>
            </w:r>
          </w:p>
        </w:tc>
      </w:tr>
      <w:tr>
        <w:trPr/>
        <w:tc>
          <w:tcPr>
            <w:tcW w:w="6676" w:type="dxa"/>
            <w:tcBorders/>
            <w:shd w:fill="auto" w:val="clear"/>
            <w:vAlign w:val="bottom"/>
          </w:tcPr>
          <w:p>
            <w:pPr>
              <w:pStyle w:val="TableContents"/>
              <w:spacing w:before="0" w:after="0"/>
              <w:ind w:left="324" w:right="0" w:hanging="144"/>
              <w:rPr>
                <w:color w:val="000000"/>
              </w:rPr>
            </w:pPr>
            <w:r>
              <w:rPr>
                <w:color w:val="000000"/>
              </w:rPr>
              <w:t>Construction</w:t>
            </w:r>
          </w:p>
        </w:tc>
        <w:tc>
          <w:tcPr>
            <w:tcW w:w="60" w:type="dxa"/>
            <w:tcBorders/>
            <w:shd w:fill="auto" w:val="clear"/>
            <w:vAlign w:val="bottom"/>
          </w:tcPr>
          <w:p>
            <w:pPr>
              <w:pStyle w:val="TableContents"/>
              <w:spacing w:before="0" w:after="283"/>
              <w:rPr/>
            </w:pPr>
            <w:r>
              <w:rPr/>
              <w:t> </w:t>
            </w:r>
          </w:p>
        </w:tc>
        <w:tc>
          <w:tcPr>
            <w:tcW w:w="175" w:type="dxa"/>
            <w:tcBorders>
              <w:bottom w:val="single" w:sz="12" w:space="0" w:color="000000"/>
            </w:tcBorders>
            <w:shd w:fill="auto" w:val="clear"/>
            <w:tcMar>
              <w:bottom w:w="28" w:type="dxa"/>
            </w:tcMar>
            <w:vAlign w:val="bottom"/>
          </w:tcPr>
          <w:p>
            <w:pPr>
              <w:pStyle w:val="TableContents"/>
              <w:spacing w:before="0" w:after="283"/>
              <w:rPr/>
            </w:pPr>
            <w:r>
              <w:rPr/>
              <w:t> </w:t>
            </w:r>
          </w:p>
        </w:tc>
        <w:tc>
          <w:tcPr>
            <w:tcW w:w="1234"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272</w:t>
            </w:r>
          </w:p>
        </w:tc>
        <w:tc>
          <w:tcPr>
            <w:tcW w:w="358"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175" w:type="dxa"/>
            <w:tcBorders>
              <w:bottom w:val="single" w:sz="12" w:space="0" w:color="000000"/>
            </w:tcBorders>
            <w:shd w:fill="auto" w:val="clear"/>
            <w:tcMar>
              <w:bottom w:w="28" w:type="dxa"/>
            </w:tcMar>
            <w:vAlign w:val="bottom"/>
          </w:tcPr>
          <w:p>
            <w:pPr>
              <w:pStyle w:val="TableContents"/>
              <w:spacing w:before="0" w:after="283"/>
              <w:rPr/>
            </w:pPr>
            <w:r>
              <w:rPr/>
              <w:t> </w:t>
            </w:r>
          </w:p>
        </w:tc>
        <w:tc>
          <w:tcPr>
            <w:tcW w:w="1234"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w:t>
            </w:r>
          </w:p>
        </w:tc>
        <w:tc>
          <w:tcPr>
            <w:tcW w:w="219" w:type="dxa"/>
            <w:tcBorders/>
            <w:shd w:fill="auto" w:val="clear"/>
            <w:vAlign w:val="bottom"/>
          </w:tcPr>
          <w:p>
            <w:pPr>
              <w:pStyle w:val="TableContents"/>
              <w:spacing w:before="0" w:after="283"/>
              <w:rPr/>
            </w:pPr>
            <w:r>
              <w:rPr/>
              <w:t> </w:t>
            </w:r>
          </w:p>
        </w:tc>
      </w:tr>
      <w:tr>
        <w:trPr/>
        <w:tc>
          <w:tcPr>
            <w:tcW w:w="6676" w:type="dxa"/>
            <w:tcBorders/>
            <w:shd w:fill="CCEEFF" w:val="clear"/>
            <w:vAlign w:val="bottom"/>
          </w:tcPr>
          <w:p>
            <w:pPr>
              <w:pStyle w:val="TableContents"/>
              <w:spacing w:before="0" w:after="0"/>
              <w:ind w:left="144" w:right="0" w:hanging="144"/>
              <w:rPr>
                <w:color w:val="000000"/>
              </w:rPr>
            </w:pPr>
            <w:r>
              <w:rPr>
                <w:color w:val="000000"/>
              </w:rPr>
              <w:t>Total net charge-offs (recoveries) during the period</w:t>
            </w:r>
          </w:p>
        </w:tc>
        <w:tc>
          <w:tcPr>
            <w:tcW w:w="60" w:type="dxa"/>
            <w:tcBorders/>
            <w:shd w:fill="CCEEFF" w:val="clear"/>
            <w:vAlign w:val="bottom"/>
          </w:tcPr>
          <w:p>
            <w:pPr>
              <w:pStyle w:val="TableContents"/>
              <w:spacing w:before="0" w:after="283"/>
              <w:rPr/>
            </w:pPr>
            <w:r>
              <w:rPr/>
              <w:t> </w:t>
            </w:r>
          </w:p>
        </w:tc>
        <w:tc>
          <w:tcPr>
            <w:tcW w:w="175" w:type="dxa"/>
            <w:tcBorders>
              <w:bottom w:val="double" w:sz="8" w:space="0" w:color="000000"/>
            </w:tcBorders>
            <w:shd w:fill="CCEEFF" w:val="clear"/>
            <w:tcMar>
              <w:bottom w:w="28" w:type="dxa"/>
            </w:tcMar>
            <w:vAlign w:val="bottom"/>
          </w:tcPr>
          <w:p>
            <w:pPr>
              <w:pStyle w:val="TableContents"/>
              <w:spacing w:before="0" w:after="0"/>
              <w:rPr>
                <w:color w:val="000000"/>
              </w:rPr>
            </w:pPr>
            <w:r>
              <w:rPr>
                <w:color w:val="000000"/>
              </w:rPr>
              <w:t>$</w:t>
            </w:r>
          </w:p>
        </w:tc>
        <w:tc>
          <w:tcPr>
            <w:tcW w:w="1234"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630</w:t>
            </w:r>
          </w:p>
        </w:tc>
        <w:tc>
          <w:tcPr>
            <w:tcW w:w="358" w:type="dxa"/>
            <w:tcBorders/>
            <w:shd w:fill="CCEEFF" w:val="clear"/>
            <w:vAlign w:val="bottom"/>
          </w:tcPr>
          <w:p>
            <w:pPr>
              <w:pStyle w:val="TableContents"/>
              <w:spacing w:before="0" w:after="283"/>
              <w:rPr/>
            </w:pPr>
            <w:r>
              <w:rPr/>
              <w:t> </w:t>
            </w:r>
          </w:p>
        </w:tc>
        <w:tc>
          <w:tcPr>
            <w:tcW w:w="74" w:type="dxa"/>
            <w:tcBorders/>
            <w:shd w:fill="CCEEFF" w:val="clear"/>
            <w:vAlign w:val="bottom"/>
          </w:tcPr>
          <w:p>
            <w:pPr>
              <w:pStyle w:val="TableContents"/>
              <w:spacing w:before="0" w:after="283"/>
              <w:rPr/>
            </w:pPr>
            <w:r>
              <w:rPr/>
              <w:t> </w:t>
            </w:r>
          </w:p>
        </w:tc>
        <w:tc>
          <w:tcPr>
            <w:tcW w:w="175" w:type="dxa"/>
            <w:tcBorders>
              <w:bottom w:val="double" w:sz="8" w:space="0" w:color="000000"/>
            </w:tcBorders>
            <w:shd w:fill="CCEEFF" w:val="clear"/>
            <w:tcMar>
              <w:bottom w:w="28" w:type="dxa"/>
            </w:tcMar>
            <w:vAlign w:val="bottom"/>
          </w:tcPr>
          <w:p>
            <w:pPr>
              <w:pStyle w:val="TableContents"/>
              <w:spacing w:before="0" w:after="0"/>
              <w:rPr>
                <w:color w:val="000000"/>
              </w:rPr>
            </w:pPr>
            <w:r>
              <w:rPr>
                <w:color w:val="000000"/>
              </w:rPr>
              <w:t>$</w:t>
            </w:r>
          </w:p>
        </w:tc>
        <w:tc>
          <w:tcPr>
            <w:tcW w:w="1234"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364</w:t>
            </w:r>
          </w:p>
        </w:tc>
        <w:tc>
          <w:tcPr>
            <w:tcW w:w="219" w:type="dxa"/>
            <w:tcBorders/>
            <w:shd w:fill="CCEEFF" w:val="clear"/>
            <w:vAlign w:val="bottom"/>
          </w:tcPr>
          <w:p>
            <w:pPr>
              <w:pStyle w:val="TableContents"/>
              <w:spacing w:before="0" w:after="283"/>
              <w:rPr/>
            </w:pPr>
            <w:r>
              <w:rPr/>
              <w:t> </w:t>
            </w:r>
          </w:p>
        </w:tc>
      </w:tr>
      <w:tr>
        <w:trPr/>
        <w:tc>
          <w:tcPr>
            <w:tcW w:w="667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234" w:type="dxa"/>
            <w:tcBorders/>
            <w:shd w:fill="auto" w:val="clear"/>
            <w:vAlign w:val="bottom"/>
          </w:tcPr>
          <w:p>
            <w:pPr>
              <w:pStyle w:val="TableContents"/>
              <w:spacing w:before="0" w:after="283"/>
              <w:jc w:val="right"/>
              <w:rPr/>
            </w:pPr>
            <w:r>
              <w:rPr/>
              <w:t> </w:t>
            </w:r>
          </w:p>
        </w:tc>
        <w:tc>
          <w:tcPr>
            <w:tcW w:w="358"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234" w:type="dxa"/>
            <w:tcBorders/>
            <w:shd w:fill="auto" w:val="clear"/>
            <w:vAlign w:val="bottom"/>
          </w:tcPr>
          <w:p>
            <w:pPr>
              <w:pStyle w:val="TableContents"/>
              <w:spacing w:before="0" w:after="283"/>
              <w:jc w:val="right"/>
              <w:rPr/>
            </w:pPr>
            <w:r>
              <w:rPr/>
              <w:t> </w:t>
            </w:r>
          </w:p>
        </w:tc>
        <w:tc>
          <w:tcPr>
            <w:tcW w:w="219" w:type="dxa"/>
            <w:tcBorders/>
            <w:shd w:fill="auto" w:val="clear"/>
            <w:vAlign w:val="bottom"/>
          </w:tcPr>
          <w:p>
            <w:pPr>
              <w:pStyle w:val="TableContents"/>
              <w:spacing w:before="0" w:after="283"/>
              <w:rPr/>
            </w:pPr>
            <w:r>
              <w:rPr/>
              <w:t> </w:t>
            </w:r>
          </w:p>
        </w:tc>
      </w:tr>
      <w:tr>
        <w:trPr/>
        <w:tc>
          <w:tcPr>
            <w:tcW w:w="6676" w:type="dxa"/>
            <w:tcBorders/>
            <w:shd w:fill="CCEEFF" w:val="clear"/>
            <w:vAlign w:val="bottom"/>
          </w:tcPr>
          <w:p>
            <w:pPr>
              <w:pStyle w:val="TableContents"/>
              <w:spacing w:before="0" w:after="0"/>
              <w:ind w:left="144" w:right="0" w:hanging="144"/>
              <w:rPr>
                <w:color w:val="000000"/>
              </w:rPr>
            </w:pPr>
            <w:r>
              <w:rPr>
                <w:color w:val="000000"/>
              </w:rPr>
              <w:t>Ratio of net charge-offs (recoveries) to average loans during the period</w:t>
            </w:r>
          </w:p>
        </w:tc>
        <w:tc>
          <w:tcPr>
            <w:tcW w:w="6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1234" w:type="dxa"/>
            <w:tcBorders/>
            <w:shd w:fill="CCEEFF" w:val="clear"/>
            <w:vAlign w:val="bottom"/>
          </w:tcPr>
          <w:p>
            <w:pPr>
              <w:pStyle w:val="TableContents"/>
              <w:spacing w:before="0" w:after="283"/>
              <w:jc w:val="right"/>
              <w:rPr/>
            </w:pPr>
            <w:r>
              <w:rPr/>
              <w:t> </w:t>
            </w:r>
          </w:p>
        </w:tc>
        <w:tc>
          <w:tcPr>
            <w:tcW w:w="358" w:type="dxa"/>
            <w:tcBorders/>
            <w:shd w:fill="CCEEFF" w:val="clear"/>
            <w:vAlign w:val="bottom"/>
          </w:tcPr>
          <w:p>
            <w:pPr>
              <w:pStyle w:val="TableContents"/>
              <w:spacing w:before="0" w:after="283"/>
              <w:rPr/>
            </w:pPr>
            <w:r>
              <w:rPr/>
              <w:t> </w:t>
            </w:r>
          </w:p>
        </w:tc>
        <w:tc>
          <w:tcPr>
            <w:tcW w:w="74"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1234" w:type="dxa"/>
            <w:tcBorders/>
            <w:shd w:fill="CCEEFF" w:val="clear"/>
            <w:vAlign w:val="bottom"/>
          </w:tcPr>
          <w:p>
            <w:pPr>
              <w:pStyle w:val="TableContents"/>
              <w:spacing w:before="0" w:after="283"/>
              <w:jc w:val="right"/>
              <w:rPr/>
            </w:pPr>
            <w:r>
              <w:rPr/>
              <w:t> </w:t>
            </w:r>
          </w:p>
        </w:tc>
        <w:tc>
          <w:tcPr>
            <w:tcW w:w="219" w:type="dxa"/>
            <w:tcBorders/>
            <w:shd w:fill="CCEEFF" w:val="clear"/>
            <w:vAlign w:val="bottom"/>
          </w:tcPr>
          <w:p>
            <w:pPr>
              <w:pStyle w:val="TableContents"/>
              <w:spacing w:before="0" w:after="283"/>
              <w:rPr/>
            </w:pPr>
            <w:r>
              <w:rPr/>
              <w:t> </w:t>
            </w:r>
          </w:p>
        </w:tc>
      </w:tr>
      <w:tr>
        <w:trPr/>
        <w:tc>
          <w:tcPr>
            <w:tcW w:w="6676" w:type="dxa"/>
            <w:tcBorders/>
            <w:shd w:fill="auto" w:val="clear"/>
            <w:vAlign w:val="bottom"/>
          </w:tcPr>
          <w:p>
            <w:pPr>
              <w:pStyle w:val="TableContents"/>
              <w:spacing w:before="0" w:after="0"/>
              <w:ind w:left="324" w:right="0" w:hanging="144"/>
              <w:rPr>
                <w:color w:val="000000"/>
              </w:rPr>
            </w:pPr>
            <w:r>
              <w:rPr>
                <w:color w:val="000000"/>
              </w:rPr>
              <w:t>Commercial real estate</w:t>
            </w:r>
          </w:p>
        </w:tc>
        <w:tc>
          <w:tcPr>
            <w:tcW w:w="6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234" w:type="dxa"/>
            <w:tcBorders/>
            <w:shd w:fill="auto" w:val="clear"/>
            <w:vAlign w:val="bottom"/>
          </w:tcPr>
          <w:p>
            <w:pPr>
              <w:pStyle w:val="TableContents"/>
              <w:spacing w:before="0" w:after="0"/>
              <w:jc w:val="right"/>
              <w:rPr>
                <w:color w:val="000000"/>
              </w:rPr>
            </w:pPr>
            <w:r>
              <w:rPr>
                <w:color w:val="000000"/>
              </w:rPr>
              <w:t>0.00</w:t>
            </w:r>
          </w:p>
        </w:tc>
        <w:tc>
          <w:tcPr>
            <w:tcW w:w="358" w:type="dxa"/>
            <w:tcBorders/>
            <w:shd w:fill="auto" w:val="clear"/>
            <w:vAlign w:val="bottom"/>
          </w:tcPr>
          <w:p>
            <w:pPr>
              <w:pStyle w:val="TableContents"/>
              <w:spacing w:before="0" w:after="0"/>
              <w:rPr>
                <w:color w:val="000000"/>
              </w:rPr>
            </w:pPr>
            <w:r>
              <w:rPr>
                <w:color w:val="000000"/>
              </w:rPr>
              <w:t>%</w:t>
            </w:r>
          </w:p>
        </w:tc>
        <w:tc>
          <w:tcPr>
            <w:tcW w:w="74"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234" w:type="dxa"/>
            <w:tcBorders/>
            <w:shd w:fill="auto" w:val="clear"/>
            <w:vAlign w:val="bottom"/>
          </w:tcPr>
          <w:p>
            <w:pPr>
              <w:pStyle w:val="TableContents"/>
              <w:spacing w:before="0" w:after="0"/>
              <w:jc w:val="right"/>
              <w:rPr>
                <w:color w:val="000000"/>
              </w:rPr>
            </w:pPr>
            <w:r>
              <w:rPr>
                <w:color w:val="000000"/>
              </w:rPr>
              <w:t>0.00</w:t>
            </w:r>
          </w:p>
        </w:tc>
        <w:tc>
          <w:tcPr>
            <w:tcW w:w="219" w:type="dxa"/>
            <w:tcBorders/>
            <w:shd w:fill="auto" w:val="clear"/>
            <w:vAlign w:val="bottom"/>
          </w:tcPr>
          <w:p>
            <w:pPr>
              <w:pStyle w:val="TableContents"/>
              <w:spacing w:before="0" w:after="0"/>
              <w:rPr>
                <w:color w:val="000000"/>
              </w:rPr>
            </w:pPr>
            <w:r>
              <w:rPr>
                <w:color w:val="000000"/>
              </w:rPr>
              <w:t>%</w:t>
            </w:r>
          </w:p>
        </w:tc>
      </w:tr>
      <w:tr>
        <w:trPr/>
        <w:tc>
          <w:tcPr>
            <w:tcW w:w="6676" w:type="dxa"/>
            <w:tcBorders/>
            <w:shd w:fill="CCEEFF" w:val="clear"/>
            <w:vAlign w:val="bottom"/>
          </w:tcPr>
          <w:p>
            <w:pPr>
              <w:pStyle w:val="TableContents"/>
              <w:spacing w:before="0" w:after="0"/>
              <w:ind w:left="324" w:right="0" w:hanging="144"/>
              <w:rPr>
                <w:color w:val="000000"/>
              </w:rPr>
            </w:pPr>
            <w:r>
              <w:rPr>
                <w:color w:val="000000"/>
              </w:rPr>
              <w:t>Commercial – specialized</w:t>
            </w:r>
          </w:p>
        </w:tc>
        <w:tc>
          <w:tcPr>
            <w:tcW w:w="6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1234" w:type="dxa"/>
            <w:tcBorders/>
            <w:shd w:fill="CCEEFF" w:val="clear"/>
            <w:vAlign w:val="bottom"/>
          </w:tcPr>
          <w:p>
            <w:pPr>
              <w:pStyle w:val="TableContents"/>
              <w:spacing w:before="0" w:after="0"/>
              <w:jc w:val="right"/>
              <w:rPr>
                <w:color w:val="000000"/>
              </w:rPr>
            </w:pPr>
            <w:r>
              <w:rPr>
                <w:color w:val="000000"/>
              </w:rPr>
              <w:t>(0.02</w:t>
            </w:r>
          </w:p>
        </w:tc>
        <w:tc>
          <w:tcPr>
            <w:tcW w:w="358" w:type="dxa"/>
            <w:tcBorders/>
            <w:shd w:fill="CCEEFF" w:val="clear"/>
            <w:vAlign w:val="bottom"/>
          </w:tcPr>
          <w:p>
            <w:pPr>
              <w:pStyle w:val="TableContents"/>
              <w:spacing w:before="0" w:after="0"/>
              <w:rPr>
                <w:color w:val="000000"/>
              </w:rPr>
            </w:pPr>
            <w:r>
              <w:rPr>
                <w:color w:val="000000"/>
              </w:rPr>
              <w:t>)%</w:t>
            </w:r>
          </w:p>
        </w:tc>
        <w:tc>
          <w:tcPr>
            <w:tcW w:w="74"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1234" w:type="dxa"/>
            <w:tcBorders/>
            <w:shd w:fill="CCEEFF" w:val="clear"/>
            <w:vAlign w:val="bottom"/>
          </w:tcPr>
          <w:p>
            <w:pPr>
              <w:pStyle w:val="TableContents"/>
              <w:spacing w:before="0" w:after="0"/>
              <w:jc w:val="right"/>
              <w:rPr>
                <w:color w:val="000000"/>
              </w:rPr>
            </w:pPr>
            <w:r>
              <w:rPr>
                <w:color w:val="000000"/>
              </w:rPr>
              <w:t>0.00</w:t>
            </w:r>
          </w:p>
        </w:tc>
        <w:tc>
          <w:tcPr>
            <w:tcW w:w="219" w:type="dxa"/>
            <w:tcBorders/>
            <w:shd w:fill="CCEEFF" w:val="clear"/>
            <w:vAlign w:val="bottom"/>
          </w:tcPr>
          <w:p>
            <w:pPr>
              <w:pStyle w:val="TableContents"/>
              <w:spacing w:before="0" w:after="0"/>
              <w:rPr>
                <w:color w:val="000000"/>
              </w:rPr>
            </w:pPr>
            <w:r>
              <w:rPr>
                <w:color w:val="000000"/>
              </w:rPr>
              <w:t>%</w:t>
            </w:r>
          </w:p>
        </w:tc>
      </w:tr>
      <w:tr>
        <w:trPr/>
        <w:tc>
          <w:tcPr>
            <w:tcW w:w="6676" w:type="dxa"/>
            <w:tcBorders/>
            <w:shd w:fill="auto" w:val="clear"/>
            <w:vAlign w:val="bottom"/>
          </w:tcPr>
          <w:p>
            <w:pPr>
              <w:pStyle w:val="TableContents"/>
              <w:spacing w:before="0" w:after="0"/>
              <w:ind w:left="324" w:right="0" w:hanging="144"/>
              <w:rPr>
                <w:color w:val="000000"/>
              </w:rPr>
            </w:pPr>
            <w:r>
              <w:rPr>
                <w:color w:val="000000"/>
              </w:rPr>
              <w:t>Commercial – general</w:t>
            </w:r>
          </w:p>
        </w:tc>
        <w:tc>
          <w:tcPr>
            <w:tcW w:w="6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234" w:type="dxa"/>
            <w:tcBorders/>
            <w:shd w:fill="auto" w:val="clear"/>
            <w:vAlign w:val="bottom"/>
          </w:tcPr>
          <w:p>
            <w:pPr>
              <w:pStyle w:val="TableContents"/>
              <w:spacing w:before="0" w:after="0"/>
              <w:jc w:val="right"/>
              <w:rPr>
                <w:color w:val="000000"/>
              </w:rPr>
            </w:pPr>
            <w:r>
              <w:rPr>
                <w:color w:val="000000"/>
              </w:rPr>
              <w:t>0.03</w:t>
            </w:r>
          </w:p>
        </w:tc>
        <w:tc>
          <w:tcPr>
            <w:tcW w:w="358" w:type="dxa"/>
            <w:tcBorders/>
            <w:shd w:fill="auto" w:val="clear"/>
            <w:vAlign w:val="bottom"/>
          </w:tcPr>
          <w:p>
            <w:pPr>
              <w:pStyle w:val="TableContents"/>
              <w:spacing w:before="0" w:after="0"/>
              <w:rPr>
                <w:color w:val="000000"/>
              </w:rPr>
            </w:pPr>
            <w:r>
              <w:rPr>
                <w:color w:val="000000"/>
              </w:rPr>
              <w:t>%</w:t>
            </w:r>
          </w:p>
        </w:tc>
        <w:tc>
          <w:tcPr>
            <w:tcW w:w="74"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234" w:type="dxa"/>
            <w:tcBorders/>
            <w:shd w:fill="auto" w:val="clear"/>
            <w:vAlign w:val="bottom"/>
          </w:tcPr>
          <w:p>
            <w:pPr>
              <w:pStyle w:val="TableContents"/>
              <w:spacing w:before="0" w:after="0"/>
              <w:jc w:val="right"/>
              <w:rPr>
                <w:color w:val="000000"/>
              </w:rPr>
            </w:pPr>
            <w:r>
              <w:rPr>
                <w:color w:val="000000"/>
              </w:rPr>
              <w:t>0.04</w:t>
            </w:r>
          </w:p>
        </w:tc>
        <w:tc>
          <w:tcPr>
            <w:tcW w:w="219" w:type="dxa"/>
            <w:tcBorders/>
            <w:shd w:fill="auto" w:val="clear"/>
            <w:vAlign w:val="bottom"/>
          </w:tcPr>
          <w:p>
            <w:pPr>
              <w:pStyle w:val="TableContents"/>
              <w:spacing w:before="0" w:after="0"/>
              <w:rPr>
                <w:color w:val="000000"/>
              </w:rPr>
            </w:pPr>
            <w:r>
              <w:rPr>
                <w:color w:val="000000"/>
              </w:rPr>
              <w:t>%</w:t>
            </w:r>
          </w:p>
        </w:tc>
      </w:tr>
      <w:tr>
        <w:trPr/>
        <w:tc>
          <w:tcPr>
            <w:tcW w:w="6676" w:type="dxa"/>
            <w:tcBorders/>
            <w:shd w:fill="CCEEFF" w:val="clear"/>
            <w:vAlign w:val="bottom"/>
          </w:tcPr>
          <w:p>
            <w:pPr>
              <w:pStyle w:val="TableContents"/>
              <w:spacing w:before="0" w:after="0"/>
              <w:ind w:left="324" w:right="0" w:hanging="144"/>
              <w:rPr>
                <w:color w:val="000000"/>
              </w:rPr>
            </w:pPr>
            <w:r>
              <w:rPr>
                <w:color w:val="000000"/>
              </w:rPr>
              <w:t>Consumer:</w:t>
            </w:r>
          </w:p>
        </w:tc>
        <w:tc>
          <w:tcPr>
            <w:tcW w:w="6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1234" w:type="dxa"/>
            <w:tcBorders/>
            <w:shd w:fill="CCEEFF" w:val="clear"/>
            <w:vAlign w:val="bottom"/>
          </w:tcPr>
          <w:p>
            <w:pPr>
              <w:pStyle w:val="TableContents"/>
              <w:spacing w:before="0" w:after="283"/>
              <w:jc w:val="right"/>
              <w:rPr/>
            </w:pPr>
            <w:r>
              <w:rPr/>
              <w:t> </w:t>
            </w:r>
          </w:p>
        </w:tc>
        <w:tc>
          <w:tcPr>
            <w:tcW w:w="358" w:type="dxa"/>
            <w:tcBorders/>
            <w:shd w:fill="CCEEFF" w:val="clear"/>
            <w:vAlign w:val="bottom"/>
          </w:tcPr>
          <w:p>
            <w:pPr>
              <w:pStyle w:val="TableContents"/>
              <w:spacing w:before="0" w:after="283"/>
              <w:rPr/>
            </w:pPr>
            <w:r>
              <w:rPr/>
              <w:t> </w:t>
            </w:r>
          </w:p>
        </w:tc>
        <w:tc>
          <w:tcPr>
            <w:tcW w:w="74"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1234" w:type="dxa"/>
            <w:tcBorders/>
            <w:shd w:fill="CCEEFF" w:val="clear"/>
            <w:vAlign w:val="bottom"/>
          </w:tcPr>
          <w:p>
            <w:pPr>
              <w:pStyle w:val="TableContents"/>
              <w:spacing w:before="0" w:after="283"/>
              <w:jc w:val="right"/>
              <w:rPr/>
            </w:pPr>
            <w:r>
              <w:rPr/>
              <w:t> </w:t>
            </w:r>
          </w:p>
        </w:tc>
        <w:tc>
          <w:tcPr>
            <w:tcW w:w="219" w:type="dxa"/>
            <w:tcBorders/>
            <w:shd w:fill="CCEEFF" w:val="clear"/>
            <w:vAlign w:val="bottom"/>
          </w:tcPr>
          <w:p>
            <w:pPr>
              <w:pStyle w:val="TableContents"/>
              <w:spacing w:before="0" w:after="283"/>
              <w:rPr/>
            </w:pPr>
            <w:r>
              <w:rPr/>
              <w:t> </w:t>
            </w:r>
          </w:p>
        </w:tc>
      </w:tr>
      <w:tr>
        <w:trPr/>
        <w:tc>
          <w:tcPr>
            <w:tcW w:w="6676" w:type="dxa"/>
            <w:tcBorders/>
            <w:shd w:fill="auto" w:val="clear"/>
            <w:vAlign w:val="bottom"/>
          </w:tcPr>
          <w:p>
            <w:pPr>
              <w:pStyle w:val="TableContents"/>
              <w:spacing w:before="0" w:after="0"/>
              <w:ind w:left="504" w:right="0" w:hanging="144"/>
              <w:rPr>
                <w:color w:val="000000"/>
              </w:rPr>
            </w:pPr>
            <w:r>
              <w:rPr>
                <w:color w:val="000000"/>
              </w:rPr>
              <w:t>1-4 family residential</w:t>
            </w:r>
          </w:p>
        </w:tc>
        <w:tc>
          <w:tcPr>
            <w:tcW w:w="6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234" w:type="dxa"/>
            <w:tcBorders/>
            <w:shd w:fill="auto" w:val="clear"/>
            <w:vAlign w:val="bottom"/>
          </w:tcPr>
          <w:p>
            <w:pPr>
              <w:pStyle w:val="TableContents"/>
              <w:spacing w:before="0" w:after="0"/>
              <w:jc w:val="right"/>
              <w:rPr>
                <w:color w:val="000000"/>
              </w:rPr>
            </w:pPr>
            <w:r>
              <w:rPr>
                <w:color w:val="000000"/>
              </w:rPr>
              <w:t>0.00</w:t>
            </w:r>
          </w:p>
        </w:tc>
        <w:tc>
          <w:tcPr>
            <w:tcW w:w="358" w:type="dxa"/>
            <w:tcBorders/>
            <w:shd w:fill="auto" w:val="clear"/>
            <w:vAlign w:val="bottom"/>
          </w:tcPr>
          <w:p>
            <w:pPr>
              <w:pStyle w:val="TableContents"/>
              <w:spacing w:before="0" w:after="0"/>
              <w:rPr>
                <w:color w:val="000000"/>
              </w:rPr>
            </w:pPr>
            <w:r>
              <w:rPr>
                <w:color w:val="000000"/>
              </w:rPr>
              <w:t>%</w:t>
            </w:r>
          </w:p>
        </w:tc>
        <w:tc>
          <w:tcPr>
            <w:tcW w:w="74"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234" w:type="dxa"/>
            <w:tcBorders/>
            <w:shd w:fill="auto" w:val="clear"/>
            <w:vAlign w:val="bottom"/>
          </w:tcPr>
          <w:p>
            <w:pPr>
              <w:pStyle w:val="TableContents"/>
              <w:spacing w:before="0" w:after="0"/>
              <w:jc w:val="right"/>
              <w:rPr>
                <w:color w:val="000000"/>
              </w:rPr>
            </w:pPr>
            <w:r>
              <w:rPr>
                <w:color w:val="000000"/>
              </w:rPr>
              <w:t>0.01</w:t>
            </w:r>
          </w:p>
        </w:tc>
        <w:tc>
          <w:tcPr>
            <w:tcW w:w="219" w:type="dxa"/>
            <w:tcBorders/>
            <w:shd w:fill="auto" w:val="clear"/>
            <w:vAlign w:val="bottom"/>
          </w:tcPr>
          <w:p>
            <w:pPr>
              <w:pStyle w:val="TableContents"/>
              <w:spacing w:before="0" w:after="0"/>
              <w:rPr>
                <w:color w:val="000000"/>
              </w:rPr>
            </w:pPr>
            <w:r>
              <w:rPr>
                <w:color w:val="000000"/>
              </w:rPr>
              <w:t>%</w:t>
            </w:r>
          </w:p>
        </w:tc>
      </w:tr>
      <w:tr>
        <w:trPr/>
        <w:tc>
          <w:tcPr>
            <w:tcW w:w="6676" w:type="dxa"/>
            <w:tcBorders/>
            <w:shd w:fill="CCEEFF" w:val="clear"/>
            <w:vAlign w:val="bottom"/>
          </w:tcPr>
          <w:p>
            <w:pPr>
              <w:pStyle w:val="TableContents"/>
              <w:spacing w:before="0" w:after="0"/>
              <w:ind w:left="504" w:right="0" w:hanging="144"/>
              <w:rPr>
                <w:color w:val="000000"/>
              </w:rPr>
            </w:pPr>
            <w:r>
              <w:rPr>
                <w:color w:val="000000"/>
              </w:rPr>
              <w:t>Auto loans</w:t>
            </w:r>
          </w:p>
        </w:tc>
        <w:tc>
          <w:tcPr>
            <w:tcW w:w="6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1234" w:type="dxa"/>
            <w:tcBorders/>
            <w:shd w:fill="CCEEFF" w:val="clear"/>
            <w:vAlign w:val="bottom"/>
          </w:tcPr>
          <w:p>
            <w:pPr>
              <w:pStyle w:val="TableContents"/>
              <w:spacing w:before="0" w:after="0"/>
              <w:jc w:val="right"/>
              <w:rPr>
                <w:color w:val="000000"/>
              </w:rPr>
            </w:pPr>
            <w:r>
              <w:rPr>
                <w:color w:val="000000"/>
              </w:rPr>
              <w:t>0.06</w:t>
            </w:r>
          </w:p>
        </w:tc>
        <w:tc>
          <w:tcPr>
            <w:tcW w:w="358" w:type="dxa"/>
            <w:tcBorders/>
            <w:shd w:fill="CCEEFF" w:val="clear"/>
            <w:vAlign w:val="bottom"/>
          </w:tcPr>
          <w:p>
            <w:pPr>
              <w:pStyle w:val="TableContents"/>
              <w:spacing w:before="0" w:after="0"/>
              <w:rPr>
                <w:color w:val="000000"/>
              </w:rPr>
            </w:pPr>
            <w:r>
              <w:rPr>
                <w:color w:val="000000"/>
              </w:rPr>
              <w:t>%</w:t>
            </w:r>
          </w:p>
        </w:tc>
        <w:tc>
          <w:tcPr>
            <w:tcW w:w="74"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1234" w:type="dxa"/>
            <w:tcBorders/>
            <w:shd w:fill="CCEEFF" w:val="clear"/>
            <w:vAlign w:val="bottom"/>
          </w:tcPr>
          <w:p>
            <w:pPr>
              <w:pStyle w:val="TableContents"/>
              <w:spacing w:before="0" w:after="0"/>
              <w:jc w:val="right"/>
              <w:rPr>
                <w:color w:val="000000"/>
              </w:rPr>
            </w:pPr>
            <w:r>
              <w:rPr>
                <w:color w:val="000000"/>
              </w:rPr>
              <w:t>0.02</w:t>
            </w:r>
          </w:p>
        </w:tc>
        <w:tc>
          <w:tcPr>
            <w:tcW w:w="219" w:type="dxa"/>
            <w:tcBorders/>
            <w:shd w:fill="CCEEFF" w:val="clear"/>
            <w:vAlign w:val="bottom"/>
          </w:tcPr>
          <w:p>
            <w:pPr>
              <w:pStyle w:val="TableContents"/>
              <w:spacing w:before="0" w:after="0"/>
              <w:rPr>
                <w:color w:val="000000"/>
              </w:rPr>
            </w:pPr>
            <w:r>
              <w:rPr>
                <w:color w:val="000000"/>
              </w:rPr>
              <w:t>%</w:t>
            </w:r>
          </w:p>
        </w:tc>
      </w:tr>
      <w:tr>
        <w:trPr/>
        <w:tc>
          <w:tcPr>
            <w:tcW w:w="6676" w:type="dxa"/>
            <w:tcBorders/>
            <w:shd w:fill="auto" w:val="clear"/>
            <w:vAlign w:val="bottom"/>
          </w:tcPr>
          <w:p>
            <w:pPr>
              <w:pStyle w:val="TableContents"/>
              <w:spacing w:before="0" w:after="0"/>
              <w:ind w:left="504" w:right="0" w:hanging="144"/>
              <w:rPr>
                <w:color w:val="000000"/>
              </w:rPr>
            </w:pPr>
            <w:r>
              <w:rPr>
                <w:color w:val="000000"/>
              </w:rPr>
              <w:t>Other consumer</w:t>
            </w:r>
          </w:p>
        </w:tc>
        <w:tc>
          <w:tcPr>
            <w:tcW w:w="6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234" w:type="dxa"/>
            <w:tcBorders/>
            <w:shd w:fill="auto" w:val="clear"/>
            <w:vAlign w:val="bottom"/>
          </w:tcPr>
          <w:p>
            <w:pPr>
              <w:pStyle w:val="TableContents"/>
              <w:spacing w:before="0" w:after="0"/>
              <w:jc w:val="right"/>
              <w:rPr>
                <w:color w:val="000000"/>
              </w:rPr>
            </w:pPr>
            <w:r>
              <w:rPr>
                <w:color w:val="000000"/>
              </w:rPr>
              <w:t>0.13</w:t>
            </w:r>
          </w:p>
        </w:tc>
        <w:tc>
          <w:tcPr>
            <w:tcW w:w="358" w:type="dxa"/>
            <w:tcBorders/>
            <w:shd w:fill="auto" w:val="clear"/>
            <w:vAlign w:val="bottom"/>
          </w:tcPr>
          <w:p>
            <w:pPr>
              <w:pStyle w:val="TableContents"/>
              <w:spacing w:before="0" w:after="0"/>
              <w:rPr>
                <w:color w:val="000000"/>
              </w:rPr>
            </w:pPr>
            <w:r>
              <w:rPr>
                <w:color w:val="000000"/>
              </w:rPr>
              <w:t>%</w:t>
            </w:r>
          </w:p>
        </w:tc>
        <w:tc>
          <w:tcPr>
            <w:tcW w:w="74"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234" w:type="dxa"/>
            <w:tcBorders/>
            <w:shd w:fill="auto" w:val="clear"/>
            <w:vAlign w:val="bottom"/>
          </w:tcPr>
          <w:p>
            <w:pPr>
              <w:pStyle w:val="TableContents"/>
              <w:spacing w:before="0" w:after="0"/>
              <w:jc w:val="right"/>
              <w:rPr>
                <w:color w:val="000000"/>
              </w:rPr>
            </w:pPr>
            <w:r>
              <w:rPr>
                <w:color w:val="000000"/>
              </w:rPr>
              <w:t>0.15</w:t>
            </w:r>
          </w:p>
        </w:tc>
        <w:tc>
          <w:tcPr>
            <w:tcW w:w="219" w:type="dxa"/>
            <w:tcBorders/>
            <w:shd w:fill="auto" w:val="clear"/>
            <w:vAlign w:val="bottom"/>
          </w:tcPr>
          <w:p>
            <w:pPr>
              <w:pStyle w:val="TableContents"/>
              <w:spacing w:before="0" w:after="0"/>
              <w:rPr>
                <w:color w:val="000000"/>
              </w:rPr>
            </w:pPr>
            <w:r>
              <w:rPr>
                <w:color w:val="000000"/>
              </w:rPr>
              <w:t>%</w:t>
            </w:r>
          </w:p>
        </w:tc>
      </w:tr>
      <w:tr>
        <w:trPr/>
        <w:tc>
          <w:tcPr>
            <w:tcW w:w="6676" w:type="dxa"/>
            <w:tcBorders/>
            <w:shd w:fill="CCEEFF" w:val="clear"/>
            <w:vAlign w:val="bottom"/>
          </w:tcPr>
          <w:p>
            <w:pPr>
              <w:pStyle w:val="TableContents"/>
              <w:spacing w:before="0" w:after="0"/>
              <w:ind w:left="324" w:right="0" w:hanging="144"/>
              <w:rPr>
                <w:color w:val="000000"/>
              </w:rPr>
            </w:pPr>
            <w:r>
              <w:rPr>
                <w:color w:val="000000"/>
              </w:rPr>
              <w:t>Construction</w:t>
            </w:r>
          </w:p>
        </w:tc>
        <w:tc>
          <w:tcPr>
            <w:tcW w:w="6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1234" w:type="dxa"/>
            <w:tcBorders/>
            <w:shd w:fill="CCEEFF" w:val="clear"/>
            <w:vAlign w:val="bottom"/>
          </w:tcPr>
          <w:p>
            <w:pPr>
              <w:pStyle w:val="TableContents"/>
              <w:spacing w:before="0" w:after="0"/>
              <w:jc w:val="right"/>
              <w:rPr>
                <w:color w:val="000000"/>
              </w:rPr>
            </w:pPr>
            <w:r>
              <w:rPr>
                <w:color w:val="000000"/>
              </w:rPr>
              <w:t>0.18</w:t>
            </w:r>
          </w:p>
        </w:tc>
        <w:tc>
          <w:tcPr>
            <w:tcW w:w="358" w:type="dxa"/>
            <w:tcBorders/>
            <w:shd w:fill="CCEEFF" w:val="clear"/>
            <w:vAlign w:val="bottom"/>
          </w:tcPr>
          <w:p>
            <w:pPr>
              <w:pStyle w:val="TableContents"/>
              <w:spacing w:before="0" w:after="0"/>
              <w:rPr>
                <w:color w:val="000000"/>
              </w:rPr>
            </w:pPr>
            <w:r>
              <w:rPr>
                <w:color w:val="000000"/>
              </w:rPr>
              <w:t>%</w:t>
            </w:r>
          </w:p>
        </w:tc>
        <w:tc>
          <w:tcPr>
            <w:tcW w:w="74"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1234" w:type="dxa"/>
            <w:tcBorders/>
            <w:shd w:fill="CCEEFF" w:val="clear"/>
            <w:vAlign w:val="bottom"/>
          </w:tcPr>
          <w:p>
            <w:pPr>
              <w:pStyle w:val="TableContents"/>
              <w:spacing w:before="0" w:after="0"/>
              <w:jc w:val="right"/>
              <w:rPr>
                <w:color w:val="000000"/>
              </w:rPr>
            </w:pPr>
            <w:r>
              <w:rPr>
                <w:color w:val="000000"/>
              </w:rPr>
              <w:t>0.00</w:t>
            </w:r>
          </w:p>
        </w:tc>
        <w:tc>
          <w:tcPr>
            <w:tcW w:w="219" w:type="dxa"/>
            <w:tcBorders/>
            <w:shd w:fill="CCEEFF" w:val="clear"/>
            <w:vAlign w:val="bottom"/>
          </w:tcPr>
          <w:p>
            <w:pPr>
              <w:pStyle w:val="TableContents"/>
              <w:spacing w:before="0" w:after="0"/>
              <w:rPr>
                <w:color w:val="000000"/>
              </w:rPr>
            </w:pPr>
            <w:r>
              <w:rPr>
                <w:color w:val="000000"/>
              </w:rPr>
              <w:t>%</w:t>
            </w:r>
          </w:p>
        </w:tc>
      </w:tr>
      <w:tr>
        <w:trPr/>
        <w:tc>
          <w:tcPr>
            <w:tcW w:w="6676" w:type="dxa"/>
            <w:tcBorders/>
            <w:shd w:fill="auto" w:val="clear"/>
            <w:vAlign w:val="bottom"/>
          </w:tcPr>
          <w:p>
            <w:pPr>
              <w:pStyle w:val="TableContents"/>
              <w:spacing w:before="0" w:after="0"/>
              <w:ind w:left="144" w:right="0" w:hanging="144"/>
              <w:rPr>
                <w:color w:val="000000"/>
              </w:rPr>
            </w:pPr>
            <w:r>
              <w:rPr>
                <w:color w:val="000000"/>
              </w:rPr>
              <w:t>Total ratio of net charge-offs (recoveries) to average loans during the period</w:t>
            </w:r>
          </w:p>
        </w:tc>
        <w:tc>
          <w:tcPr>
            <w:tcW w:w="6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234" w:type="dxa"/>
            <w:tcBorders/>
            <w:shd w:fill="auto" w:val="clear"/>
            <w:vAlign w:val="bottom"/>
          </w:tcPr>
          <w:p>
            <w:pPr>
              <w:pStyle w:val="TableContents"/>
              <w:spacing w:before="0" w:after="0"/>
              <w:jc w:val="right"/>
              <w:rPr>
                <w:color w:val="000000"/>
              </w:rPr>
            </w:pPr>
            <w:r>
              <w:rPr>
                <w:color w:val="000000"/>
              </w:rPr>
              <w:t>0.02</w:t>
            </w:r>
          </w:p>
        </w:tc>
        <w:tc>
          <w:tcPr>
            <w:tcW w:w="358" w:type="dxa"/>
            <w:tcBorders/>
            <w:shd w:fill="auto" w:val="clear"/>
            <w:vAlign w:val="bottom"/>
          </w:tcPr>
          <w:p>
            <w:pPr>
              <w:pStyle w:val="TableContents"/>
              <w:spacing w:before="0" w:after="0"/>
              <w:rPr>
                <w:color w:val="000000"/>
              </w:rPr>
            </w:pPr>
            <w:r>
              <w:rPr>
                <w:color w:val="000000"/>
              </w:rPr>
              <w:t>%</w:t>
            </w:r>
          </w:p>
        </w:tc>
        <w:tc>
          <w:tcPr>
            <w:tcW w:w="74"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1234" w:type="dxa"/>
            <w:tcBorders/>
            <w:shd w:fill="auto" w:val="clear"/>
            <w:vAlign w:val="bottom"/>
          </w:tcPr>
          <w:p>
            <w:pPr>
              <w:pStyle w:val="TableContents"/>
              <w:spacing w:before="0" w:after="0"/>
              <w:jc w:val="right"/>
              <w:rPr>
                <w:color w:val="000000"/>
              </w:rPr>
            </w:pPr>
            <w:r>
              <w:rPr>
                <w:color w:val="000000"/>
              </w:rPr>
              <w:t>0.01</w:t>
            </w:r>
          </w:p>
        </w:tc>
        <w:tc>
          <w:tcPr>
            <w:tcW w:w="219" w:type="dxa"/>
            <w:tcBorders/>
            <w:shd w:fill="auto" w:val="clear"/>
            <w:vAlign w:val="bottom"/>
          </w:tcPr>
          <w:p>
            <w:pPr>
              <w:pStyle w:val="TableContents"/>
              <w:spacing w:before="0" w:after="0"/>
              <w:rPr>
                <w:color w:val="000000"/>
              </w:rPr>
            </w:pPr>
            <w:r>
              <w:rPr>
                <w:color w:val="000000"/>
              </w:rPr>
              <w:t>%</w:t>
            </w:r>
          </w:p>
        </w:tc>
      </w:tr>
      <w:tr>
        <w:trPr/>
        <w:tc>
          <w:tcPr>
            <w:tcW w:w="667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1234" w:type="dxa"/>
            <w:tcBorders/>
            <w:shd w:fill="CCEEFF" w:val="clear"/>
            <w:vAlign w:val="bottom"/>
          </w:tcPr>
          <w:p>
            <w:pPr>
              <w:pStyle w:val="TableContents"/>
              <w:spacing w:before="0" w:after="283"/>
              <w:jc w:val="right"/>
              <w:rPr/>
            </w:pPr>
            <w:r>
              <w:rPr/>
              <w:t> </w:t>
            </w:r>
          </w:p>
        </w:tc>
        <w:tc>
          <w:tcPr>
            <w:tcW w:w="358" w:type="dxa"/>
            <w:tcBorders/>
            <w:shd w:fill="CCEEFF" w:val="clear"/>
            <w:vAlign w:val="bottom"/>
          </w:tcPr>
          <w:p>
            <w:pPr>
              <w:pStyle w:val="TableContents"/>
              <w:spacing w:before="0" w:after="283"/>
              <w:rPr/>
            </w:pPr>
            <w:r>
              <w:rPr/>
              <w:t> </w:t>
            </w:r>
          </w:p>
        </w:tc>
        <w:tc>
          <w:tcPr>
            <w:tcW w:w="74"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1234" w:type="dxa"/>
            <w:tcBorders/>
            <w:shd w:fill="CCEEFF" w:val="clear"/>
            <w:vAlign w:val="bottom"/>
          </w:tcPr>
          <w:p>
            <w:pPr>
              <w:pStyle w:val="TableContents"/>
              <w:spacing w:before="0" w:after="283"/>
              <w:jc w:val="right"/>
              <w:rPr/>
            </w:pPr>
            <w:r>
              <w:rPr/>
              <w:t> </w:t>
            </w:r>
          </w:p>
        </w:tc>
        <w:tc>
          <w:tcPr>
            <w:tcW w:w="219" w:type="dxa"/>
            <w:tcBorders/>
            <w:shd w:fill="CCEEFF" w:val="clear"/>
            <w:vAlign w:val="bottom"/>
          </w:tcPr>
          <w:p>
            <w:pPr>
              <w:pStyle w:val="TableContents"/>
              <w:spacing w:before="0" w:after="283"/>
              <w:rPr/>
            </w:pPr>
            <w:r>
              <w:rPr/>
              <w:t> </w:t>
            </w:r>
          </w:p>
        </w:tc>
      </w:tr>
    </w:tbl>
    <w:p>
      <w:pPr>
        <w:pStyle w:val="TextBody"/>
        <w:spacing w:before="0" w:after="0"/>
        <w:jc w:val="left"/>
        <w:rPr/>
      </w:pPr>
      <w:r>
        <w:rPr/>
      </w:r>
    </w:p>
    <w:p>
      <w:pPr>
        <w:pStyle w:val="TextBody"/>
        <w:spacing w:before="0" w:after="0"/>
        <w:jc w:val="left"/>
        <w:rPr>
          <w:rFonts w:ascii="Times New Roman" w:hAnsi="Times New Roman"/>
          <w:color w:val="000000"/>
          <w:sz w:val="20"/>
        </w:rPr>
      </w:pPr>
      <w:r>
        <w:rPr>
          <w:rFonts w:ascii="Times New Roman" w:hAnsi="Times New Roman"/>
          <w:color w:val="000000"/>
          <w:sz w:val="20"/>
        </w:rPr>
        <w:t>The following table provides other loan data as of the dates indicated.</w:t>
      </w:r>
    </w:p>
    <w:p>
      <w:pPr>
        <w:pStyle w:val="TextBody"/>
        <w:spacing w:before="0" w:after="0"/>
        <w:jc w:val="left"/>
        <w:rPr/>
      </w:pPr>
      <w:r>
        <w:rPr/>
      </w:r>
    </w:p>
    <w:tbl>
      <w:tblPr>
        <w:tblW w:w="8654" w:type="dxa"/>
        <w:jc w:val="left"/>
        <w:tblInd w:w="0" w:type="dxa"/>
        <w:tblCellMar>
          <w:top w:w="0" w:type="dxa"/>
          <w:left w:w="0" w:type="dxa"/>
          <w:bottom w:w="0" w:type="dxa"/>
          <w:right w:w="0" w:type="dxa"/>
        </w:tblCellMar>
      </w:tblPr>
      <w:tblGrid>
        <w:gridCol w:w="5570"/>
        <w:gridCol w:w="60"/>
        <w:gridCol w:w="140"/>
        <w:gridCol w:w="980"/>
        <w:gridCol w:w="215"/>
        <w:gridCol w:w="60"/>
        <w:gridCol w:w="176"/>
        <w:gridCol w:w="1238"/>
        <w:gridCol w:w="215"/>
      </w:tblGrid>
      <w:tr>
        <w:trPr/>
        <w:tc>
          <w:tcPr>
            <w:tcW w:w="557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0" w:type="dxa"/>
            <w:gridSpan w:val="2"/>
            <w:tcBorders/>
            <w:shd w:fill="auto" w:val="clear"/>
            <w:vAlign w:val="bottom"/>
          </w:tcPr>
          <w:p>
            <w:pPr>
              <w:pStyle w:val="TableContents"/>
              <w:spacing w:before="0" w:after="0"/>
              <w:jc w:val="center"/>
              <w:rPr>
                <w:b/>
                <w:color w:val="000000"/>
              </w:rPr>
            </w:pPr>
            <w:r>
              <w:rPr>
                <w:b/>
                <w:color w:val="000000"/>
              </w:rPr>
              <w:t>March 31,</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14" w:type="dxa"/>
            <w:gridSpan w:val="2"/>
            <w:tcBorders/>
            <w:shd w:fill="auto" w:val="clear"/>
            <w:vAlign w:val="bottom"/>
          </w:tcPr>
          <w:p>
            <w:pPr>
              <w:pStyle w:val="TableContents"/>
              <w:spacing w:before="0" w:after="0"/>
              <w:jc w:val="center"/>
              <w:rPr>
                <w:b/>
                <w:color w:val="000000"/>
              </w:rPr>
            </w:pPr>
            <w:r>
              <w:rPr>
                <w:b/>
                <w:color w:val="000000"/>
              </w:rPr>
              <w:t>December 31,</w:t>
            </w:r>
          </w:p>
        </w:tc>
        <w:tc>
          <w:tcPr>
            <w:tcW w:w="215" w:type="dxa"/>
            <w:tcBorders/>
            <w:shd w:fill="auto" w:val="clear"/>
            <w:vAlign w:val="bottom"/>
          </w:tcPr>
          <w:p>
            <w:pPr>
              <w:pStyle w:val="TableContents"/>
              <w:spacing w:before="0" w:after="283"/>
              <w:rPr/>
            </w:pPr>
            <w:r>
              <w:rPr/>
              <w:t> </w:t>
            </w:r>
          </w:p>
        </w:tc>
      </w:tr>
      <w:tr>
        <w:trPr/>
        <w:tc>
          <w:tcPr>
            <w:tcW w:w="557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2023</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14"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2022</w:t>
            </w:r>
          </w:p>
        </w:tc>
        <w:tc>
          <w:tcPr>
            <w:tcW w:w="215" w:type="dxa"/>
            <w:tcBorders/>
            <w:shd w:fill="auto" w:val="clear"/>
            <w:vAlign w:val="bottom"/>
          </w:tcPr>
          <w:p>
            <w:pPr>
              <w:pStyle w:val="TableContents"/>
              <w:spacing w:before="0" w:after="283"/>
              <w:rPr/>
            </w:pPr>
            <w:r>
              <w:rPr/>
              <w:t> </w:t>
            </w:r>
          </w:p>
        </w:tc>
      </w:tr>
      <w:tr>
        <w:trPr/>
        <w:tc>
          <w:tcPr>
            <w:tcW w:w="557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809" w:type="dxa"/>
            <w:gridSpan w:val="6"/>
            <w:tcBorders/>
            <w:shd w:fill="auto" w:val="clear"/>
            <w:vAlign w:val="bottom"/>
          </w:tcPr>
          <w:p>
            <w:pPr>
              <w:pStyle w:val="TableContents"/>
              <w:spacing w:before="0" w:after="0"/>
              <w:jc w:val="center"/>
              <w:rPr>
                <w:b/>
                <w:color w:val="000000"/>
              </w:rPr>
            </w:pPr>
            <w:r>
              <w:rPr>
                <w:b/>
                <w:color w:val="000000"/>
              </w:rPr>
              <w:t>(Dollars in thousands)</w:t>
            </w:r>
          </w:p>
        </w:tc>
        <w:tc>
          <w:tcPr>
            <w:tcW w:w="215" w:type="dxa"/>
            <w:tcBorders/>
            <w:shd w:fill="auto" w:val="clear"/>
            <w:vAlign w:val="bottom"/>
          </w:tcPr>
          <w:p>
            <w:pPr>
              <w:pStyle w:val="TableContents"/>
              <w:spacing w:before="0" w:after="283"/>
              <w:rPr/>
            </w:pPr>
            <w:r>
              <w:rPr/>
              <w:t> </w:t>
            </w:r>
          </w:p>
        </w:tc>
      </w:tr>
      <w:tr>
        <w:trPr/>
        <w:tc>
          <w:tcPr>
            <w:tcW w:w="557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0" w:type="dxa"/>
            <w:gridSpan w:val="2"/>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14" w:type="dxa"/>
            <w:gridSpan w:val="2"/>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r>
      <w:tr>
        <w:trPr/>
        <w:tc>
          <w:tcPr>
            <w:tcW w:w="5570" w:type="dxa"/>
            <w:tcBorders/>
            <w:shd w:fill="CCEEFF" w:val="clear"/>
            <w:vAlign w:val="bottom"/>
          </w:tcPr>
          <w:p>
            <w:pPr>
              <w:pStyle w:val="TableContents"/>
              <w:spacing w:before="0" w:after="0"/>
              <w:ind w:left="144" w:right="0" w:hanging="144"/>
              <w:rPr>
                <w:color w:val="000000"/>
              </w:rPr>
            </w:pPr>
            <w:r>
              <w:rPr>
                <w:color w:val="000000"/>
              </w:rPr>
              <w:t>Total loans held for investment outstanding</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color w:val="000000"/>
              </w:rPr>
            </w:pPr>
            <w:r>
              <w:rPr>
                <w:color w:val="000000"/>
              </w:rPr>
              <w:t>$</w:t>
            </w:r>
          </w:p>
        </w:tc>
        <w:tc>
          <w:tcPr>
            <w:tcW w:w="980" w:type="dxa"/>
            <w:tcBorders/>
            <w:shd w:fill="CCEEFF" w:val="clear"/>
            <w:vAlign w:val="bottom"/>
          </w:tcPr>
          <w:p>
            <w:pPr>
              <w:pStyle w:val="TableContents"/>
              <w:spacing w:before="0" w:after="0"/>
              <w:jc w:val="right"/>
              <w:rPr>
                <w:color w:val="000000"/>
              </w:rPr>
            </w:pPr>
            <w:r>
              <w:rPr>
                <w:color w:val="000000"/>
              </w:rPr>
              <w:t>2,788,640</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0"/>
              <w:rPr>
                <w:color w:val="000000"/>
              </w:rPr>
            </w:pPr>
            <w:r>
              <w:rPr>
                <w:color w:val="000000"/>
              </w:rPr>
              <w:t>$</w:t>
            </w:r>
          </w:p>
        </w:tc>
        <w:tc>
          <w:tcPr>
            <w:tcW w:w="1238" w:type="dxa"/>
            <w:tcBorders/>
            <w:shd w:fill="CCEEFF" w:val="clear"/>
            <w:vAlign w:val="bottom"/>
          </w:tcPr>
          <w:p>
            <w:pPr>
              <w:pStyle w:val="TableContents"/>
              <w:spacing w:before="0" w:after="0"/>
              <w:jc w:val="right"/>
              <w:rPr>
                <w:color w:val="000000"/>
              </w:rPr>
            </w:pPr>
            <w:r>
              <w:rPr>
                <w:color w:val="000000"/>
              </w:rPr>
              <w:t>2,748,081</w:t>
            </w:r>
          </w:p>
        </w:tc>
        <w:tc>
          <w:tcPr>
            <w:tcW w:w="215" w:type="dxa"/>
            <w:tcBorders/>
            <w:shd w:fill="CCEEFF" w:val="clear"/>
            <w:vAlign w:val="bottom"/>
          </w:tcPr>
          <w:p>
            <w:pPr>
              <w:pStyle w:val="TableContents"/>
              <w:spacing w:before="0" w:after="283"/>
              <w:rPr/>
            </w:pPr>
            <w:r>
              <w:rPr/>
              <w:t> </w:t>
            </w:r>
          </w:p>
        </w:tc>
      </w:tr>
      <w:tr>
        <w:trPr/>
        <w:tc>
          <w:tcPr>
            <w:tcW w:w="5570" w:type="dxa"/>
            <w:tcBorders/>
            <w:shd w:fill="auto" w:val="clear"/>
            <w:vAlign w:val="bottom"/>
          </w:tcPr>
          <w:p>
            <w:pPr>
              <w:pStyle w:val="TableContents"/>
              <w:spacing w:before="0" w:after="0"/>
              <w:ind w:left="144" w:right="0" w:hanging="144"/>
              <w:rPr>
                <w:color w:val="000000"/>
              </w:rPr>
            </w:pPr>
            <w:r>
              <w:rPr>
                <w:color w:val="000000"/>
              </w:rPr>
              <w:t>Nonaccrual loans</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0"/>
              <w:rPr>
                <w:color w:val="000000"/>
              </w:rPr>
            </w:pPr>
            <w:r>
              <w:rPr>
                <w:color w:val="000000"/>
              </w:rPr>
              <w:t>$</w:t>
            </w:r>
          </w:p>
        </w:tc>
        <w:tc>
          <w:tcPr>
            <w:tcW w:w="980" w:type="dxa"/>
            <w:tcBorders/>
            <w:shd w:fill="auto" w:val="clear"/>
            <w:vAlign w:val="bottom"/>
          </w:tcPr>
          <w:p>
            <w:pPr>
              <w:pStyle w:val="TableContents"/>
              <w:spacing w:before="0" w:after="0"/>
              <w:jc w:val="right"/>
              <w:rPr>
                <w:color w:val="000000"/>
              </w:rPr>
            </w:pPr>
            <w:r>
              <w:rPr>
                <w:color w:val="000000"/>
              </w:rPr>
              <w:t>5,148</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0"/>
              <w:rPr>
                <w:color w:val="000000"/>
              </w:rPr>
            </w:pPr>
            <w:r>
              <w:rPr>
                <w:color w:val="000000"/>
              </w:rPr>
              <w:t>$</w:t>
            </w:r>
          </w:p>
        </w:tc>
        <w:tc>
          <w:tcPr>
            <w:tcW w:w="1238" w:type="dxa"/>
            <w:tcBorders/>
            <w:shd w:fill="auto" w:val="clear"/>
            <w:vAlign w:val="bottom"/>
          </w:tcPr>
          <w:p>
            <w:pPr>
              <w:pStyle w:val="TableContents"/>
              <w:spacing w:before="0" w:after="0"/>
              <w:jc w:val="right"/>
              <w:rPr>
                <w:color w:val="000000"/>
              </w:rPr>
            </w:pPr>
            <w:r>
              <w:rPr>
                <w:color w:val="000000"/>
              </w:rPr>
              <w:t>5,802</w:t>
            </w:r>
          </w:p>
        </w:tc>
        <w:tc>
          <w:tcPr>
            <w:tcW w:w="215" w:type="dxa"/>
            <w:tcBorders/>
            <w:shd w:fill="auto" w:val="clear"/>
            <w:vAlign w:val="bottom"/>
          </w:tcPr>
          <w:p>
            <w:pPr>
              <w:pStyle w:val="TableContents"/>
              <w:spacing w:before="0" w:after="283"/>
              <w:rPr/>
            </w:pPr>
            <w:r>
              <w:rPr/>
              <w:t> </w:t>
            </w:r>
          </w:p>
        </w:tc>
      </w:tr>
      <w:tr>
        <w:trPr/>
        <w:tc>
          <w:tcPr>
            <w:tcW w:w="5570" w:type="dxa"/>
            <w:tcBorders/>
            <w:shd w:fill="CCEEFF" w:val="clear"/>
            <w:vAlign w:val="bottom"/>
          </w:tcPr>
          <w:p>
            <w:pPr>
              <w:pStyle w:val="TableContents"/>
              <w:spacing w:before="0" w:after="0"/>
              <w:ind w:left="144" w:right="0" w:hanging="144"/>
              <w:rPr>
                <w:color w:val="000000"/>
              </w:rPr>
            </w:pPr>
            <w:r>
              <w:rPr>
                <w:color w:val="000000"/>
              </w:rPr>
              <w:t>Allowance for credit losses</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color w:val="000000"/>
              </w:rPr>
            </w:pPr>
            <w:r>
              <w:rPr>
                <w:color w:val="000000"/>
              </w:rPr>
              <w:t>$</w:t>
            </w:r>
          </w:p>
        </w:tc>
        <w:tc>
          <w:tcPr>
            <w:tcW w:w="980" w:type="dxa"/>
            <w:tcBorders/>
            <w:shd w:fill="CCEEFF" w:val="clear"/>
            <w:vAlign w:val="bottom"/>
          </w:tcPr>
          <w:p>
            <w:pPr>
              <w:pStyle w:val="TableContents"/>
              <w:spacing w:before="0" w:after="0"/>
              <w:jc w:val="right"/>
              <w:rPr>
                <w:color w:val="000000"/>
              </w:rPr>
            </w:pPr>
            <w:r>
              <w:rPr>
                <w:color w:val="000000"/>
              </w:rPr>
              <w:t>39,560</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0"/>
              <w:rPr>
                <w:color w:val="000000"/>
              </w:rPr>
            </w:pPr>
            <w:r>
              <w:rPr>
                <w:color w:val="000000"/>
              </w:rPr>
              <w:t>$</w:t>
            </w:r>
          </w:p>
        </w:tc>
        <w:tc>
          <w:tcPr>
            <w:tcW w:w="1238" w:type="dxa"/>
            <w:tcBorders/>
            <w:shd w:fill="CCEEFF" w:val="clear"/>
            <w:vAlign w:val="bottom"/>
          </w:tcPr>
          <w:p>
            <w:pPr>
              <w:pStyle w:val="TableContents"/>
              <w:spacing w:before="0" w:after="0"/>
              <w:jc w:val="right"/>
              <w:rPr>
                <w:color w:val="000000"/>
              </w:rPr>
            </w:pPr>
            <w:r>
              <w:rPr>
                <w:color w:val="000000"/>
              </w:rPr>
              <w:t>39,288</w:t>
            </w:r>
          </w:p>
        </w:tc>
        <w:tc>
          <w:tcPr>
            <w:tcW w:w="215" w:type="dxa"/>
            <w:tcBorders/>
            <w:shd w:fill="CCEEFF" w:val="clear"/>
            <w:vAlign w:val="bottom"/>
          </w:tcPr>
          <w:p>
            <w:pPr>
              <w:pStyle w:val="TableContents"/>
              <w:spacing w:before="0" w:after="283"/>
              <w:rPr/>
            </w:pPr>
            <w:r>
              <w:rPr/>
              <w:t> </w:t>
            </w:r>
          </w:p>
        </w:tc>
      </w:tr>
      <w:tr>
        <w:trPr/>
        <w:tc>
          <w:tcPr>
            <w:tcW w:w="5570" w:type="dxa"/>
            <w:tcBorders/>
            <w:shd w:fill="auto" w:val="clear"/>
            <w:vAlign w:val="bottom"/>
          </w:tcPr>
          <w:p>
            <w:pPr>
              <w:pStyle w:val="TableContents"/>
              <w:spacing w:before="0" w:after="0"/>
              <w:ind w:left="144" w:right="0" w:hanging="144"/>
              <w:rPr>
                <w:color w:val="000000"/>
              </w:rPr>
            </w:pPr>
            <w:r>
              <w:rPr>
                <w:color w:val="000000"/>
              </w:rPr>
              <w:t>Ratio of allowance to total loans held for investment</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0"/>
              <w:jc w:val="right"/>
              <w:rPr>
                <w:color w:val="000000"/>
              </w:rPr>
            </w:pPr>
            <w:r>
              <w:rPr>
                <w:color w:val="000000"/>
              </w:rPr>
              <w:t>1.42</w:t>
            </w:r>
          </w:p>
        </w:tc>
        <w:tc>
          <w:tcPr>
            <w:tcW w:w="215" w:type="dxa"/>
            <w:tcBorders/>
            <w:shd w:fill="auto" w:val="clear"/>
            <w:vAlign w:val="bottom"/>
          </w:tcPr>
          <w:p>
            <w:pPr>
              <w:pStyle w:val="TableContents"/>
              <w:spacing w:before="0" w:after="0"/>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1238" w:type="dxa"/>
            <w:tcBorders/>
            <w:shd w:fill="auto" w:val="clear"/>
            <w:vAlign w:val="bottom"/>
          </w:tcPr>
          <w:p>
            <w:pPr>
              <w:pStyle w:val="TableContents"/>
              <w:spacing w:before="0" w:after="0"/>
              <w:jc w:val="right"/>
              <w:rPr>
                <w:color w:val="000000"/>
              </w:rPr>
            </w:pPr>
            <w:r>
              <w:rPr>
                <w:color w:val="000000"/>
              </w:rPr>
              <w:t>1.43</w:t>
            </w:r>
          </w:p>
        </w:tc>
        <w:tc>
          <w:tcPr>
            <w:tcW w:w="215" w:type="dxa"/>
            <w:tcBorders/>
            <w:shd w:fill="auto" w:val="clear"/>
            <w:vAlign w:val="bottom"/>
          </w:tcPr>
          <w:p>
            <w:pPr>
              <w:pStyle w:val="TableContents"/>
              <w:spacing w:before="0" w:after="0"/>
              <w:rPr>
                <w:color w:val="000000"/>
              </w:rPr>
            </w:pPr>
            <w:r>
              <w:rPr>
                <w:color w:val="000000"/>
              </w:rPr>
              <w:t>%</w:t>
            </w:r>
          </w:p>
        </w:tc>
      </w:tr>
      <w:tr>
        <w:trPr/>
        <w:tc>
          <w:tcPr>
            <w:tcW w:w="5570" w:type="dxa"/>
            <w:tcBorders/>
            <w:shd w:fill="CCEEFF" w:val="clear"/>
            <w:vAlign w:val="bottom"/>
          </w:tcPr>
          <w:p>
            <w:pPr>
              <w:pStyle w:val="TableContents"/>
              <w:spacing w:before="0" w:after="0"/>
              <w:ind w:left="144" w:right="0" w:hanging="144"/>
              <w:rPr>
                <w:color w:val="000000"/>
              </w:rPr>
            </w:pPr>
            <w:r>
              <w:rPr>
                <w:color w:val="000000"/>
              </w:rPr>
              <w:t>Ratio of allowance to nonaccrual loans</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color w:val="000000"/>
              </w:rPr>
            </w:pPr>
            <w:r>
              <w:rPr>
                <w:color w:val="000000"/>
              </w:rPr>
              <w:t>768.45</w:t>
            </w:r>
          </w:p>
        </w:tc>
        <w:tc>
          <w:tcPr>
            <w:tcW w:w="215" w:type="dxa"/>
            <w:tcBorders/>
            <w:shd w:fill="CCEEFF" w:val="clear"/>
            <w:vAlign w:val="bottom"/>
          </w:tcPr>
          <w:p>
            <w:pPr>
              <w:pStyle w:val="TableContents"/>
              <w:spacing w:before="0" w:after="0"/>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pPr>
            <w:r>
              <w:rPr/>
              <w:t> </w:t>
            </w:r>
          </w:p>
        </w:tc>
        <w:tc>
          <w:tcPr>
            <w:tcW w:w="1238" w:type="dxa"/>
            <w:tcBorders/>
            <w:shd w:fill="CCEEFF" w:val="clear"/>
            <w:vAlign w:val="bottom"/>
          </w:tcPr>
          <w:p>
            <w:pPr>
              <w:pStyle w:val="TableContents"/>
              <w:spacing w:before="0" w:after="0"/>
              <w:jc w:val="right"/>
              <w:rPr>
                <w:color w:val="000000"/>
              </w:rPr>
            </w:pPr>
            <w:r>
              <w:rPr>
                <w:color w:val="000000"/>
              </w:rPr>
              <w:t>677.15</w:t>
            </w:r>
          </w:p>
        </w:tc>
        <w:tc>
          <w:tcPr>
            <w:tcW w:w="215" w:type="dxa"/>
            <w:tcBorders/>
            <w:shd w:fill="CCEEFF" w:val="clear"/>
            <w:vAlign w:val="bottom"/>
          </w:tcPr>
          <w:p>
            <w:pPr>
              <w:pStyle w:val="TableContents"/>
              <w:spacing w:before="0" w:after="0"/>
              <w:rPr>
                <w:color w:val="000000"/>
              </w:rPr>
            </w:pPr>
            <w:r>
              <w:rPr>
                <w:color w:val="000000"/>
              </w:rPr>
              <w:t>%</w:t>
            </w:r>
          </w:p>
        </w:tc>
      </w:tr>
      <w:tr>
        <w:trPr/>
        <w:tc>
          <w:tcPr>
            <w:tcW w:w="5570" w:type="dxa"/>
            <w:tcBorders/>
            <w:shd w:fill="auto" w:val="clear"/>
            <w:vAlign w:val="bottom"/>
          </w:tcPr>
          <w:p>
            <w:pPr>
              <w:pStyle w:val="TableContents"/>
              <w:spacing w:before="0" w:after="0"/>
              <w:ind w:left="144" w:right="0" w:hanging="144"/>
              <w:rPr>
                <w:color w:val="000000"/>
              </w:rPr>
            </w:pPr>
            <w:r>
              <w:rPr>
                <w:color w:val="000000"/>
              </w:rPr>
              <w:t>Ratio of nonaccrual loans to total loans held for investment</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0"/>
              <w:jc w:val="right"/>
              <w:rPr>
                <w:color w:val="000000"/>
              </w:rPr>
            </w:pPr>
            <w:r>
              <w:rPr>
                <w:color w:val="000000"/>
              </w:rPr>
              <w:t>0.18</w:t>
            </w:r>
          </w:p>
        </w:tc>
        <w:tc>
          <w:tcPr>
            <w:tcW w:w="215" w:type="dxa"/>
            <w:tcBorders/>
            <w:shd w:fill="auto" w:val="clear"/>
            <w:vAlign w:val="bottom"/>
          </w:tcPr>
          <w:p>
            <w:pPr>
              <w:pStyle w:val="TableContents"/>
              <w:spacing w:before="0" w:after="0"/>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1238" w:type="dxa"/>
            <w:tcBorders/>
            <w:shd w:fill="auto" w:val="clear"/>
            <w:vAlign w:val="bottom"/>
          </w:tcPr>
          <w:p>
            <w:pPr>
              <w:pStyle w:val="TableContents"/>
              <w:spacing w:before="0" w:after="0"/>
              <w:jc w:val="right"/>
              <w:rPr>
                <w:color w:val="000000"/>
              </w:rPr>
            </w:pPr>
            <w:r>
              <w:rPr>
                <w:color w:val="000000"/>
              </w:rPr>
              <w:t>0.21</w:t>
            </w:r>
          </w:p>
        </w:tc>
        <w:tc>
          <w:tcPr>
            <w:tcW w:w="215" w:type="dxa"/>
            <w:tcBorders/>
            <w:shd w:fill="auto" w:val="clear"/>
            <w:vAlign w:val="bottom"/>
          </w:tcPr>
          <w:p>
            <w:pPr>
              <w:pStyle w:val="TableContents"/>
              <w:spacing w:before="0" w:after="0"/>
              <w:rPr>
                <w:color w:val="000000"/>
              </w:rPr>
            </w:pPr>
            <w:r>
              <w:rPr>
                <w:color w:val="000000"/>
              </w:rPr>
              <w:t>%</w:t>
            </w:r>
          </w:p>
        </w:tc>
      </w:tr>
    </w:tbl>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Net charge-offs totaled $630 thousand and were 0.09% (annualized) of average loans outstanding for the three months ended March 31, 2023, compared to $364 thousand and 0.06% for the three months ended March 31, 2022. The increase in net charge-offs in the first quarter of 2023 was primarily the result of an increase of $272 thousand in residential construction net charge-offs in the first quarter of 2023 compared to the same period in 2022. The allowance for credit losses as a percentage of loans held for investment was 1.42% at March 31, 2023 and 1.43% at December 31, 2022.</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While the entire allowance for credit losses is available to absorb losses from any part of our loan portfolio, the following table sets forth the allocation of the allowance for credit losses for the periods presented and the percentage of allowance in each classification to total allowance:</w:t>
      </w:r>
    </w:p>
    <w:p>
      <w:pPr>
        <w:pStyle w:val="TextBody"/>
        <w:spacing w:before="0" w:after="0"/>
        <w:jc w:val="left"/>
        <w:rPr/>
      </w:pPr>
      <w:r>
        <w:rPr/>
      </w:r>
    </w:p>
    <w:tbl>
      <w:tblPr>
        <w:tblW w:w="8002" w:type="dxa"/>
        <w:jc w:val="left"/>
        <w:tblInd w:w="0" w:type="dxa"/>
        <w:tblCellMar>
          <w:top w:w="0" w:type="dxa"/>
          <w:left w:w="0" w:type="dxa"/>
          <w:bottom w:w="0" w:type="dxa"/>
          <w:right w:w="0" w:type="dxa"/>
        </w:tblCellMar>
      </w:tblPr>
      <w:tblGrid>
        <w:gridCol w:w="3065"/>
        <w:gridCol w:w="60"/>
        <w:gridCol w:w="146"/>
        <w:gridCol w:w="714"/>
        <w:gridCol w:w="61"/>
        <w:gridCol w:w="61"/>
        <w:gridCol w:w="106"/>
        <w:gridCol w:w="1008"/>
        <w:gridCol w:w="215"/>
        <w:gridCol w:w="60"/>
        <w:gridCol w:w="175"/>
        <w:gridCol w:w="852"/>
        <w:gridCol w:w="75"/>
        <w:gridCol w:w="75"/>
        <w:gridCol w:w="107"/>
        <w:gridCol w:w="1007"/>
        <w:gridCol w:w="215"/>
      </w:tblGrid>
      <w:tr>
        <w:trPr/>
        <w:tc>
          <w:tcPr>
            <w:tcW w:w="30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96" w:type="dxa"/>
            <w:gridSpan w:val="6"/>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March 31, 2023</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91" w:type="dxa"/>
            <w:gridSpan w:val="6"/>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December 31, 2022</w:t>
            </w:r>
          </w:p>
        </w:tc>
        <w:tc>
          <w:tcPr>
            <w:tcW w:w="215" w:type="dxa"/>
            <w:tcBorders/>
            <w:shd w:fill="auto" w:val="clear"/>
            <w:vAlign w:val="bottom"/>
          </w:tcPr>
          <w:p>
            <w:pPr>
              <w:pStyle w:val="TableContents"/>
              <w:spacing w:before="0" w:after="283"/>
              <w:rPr/>
            </w:pPr>
            <w:r>
              <w:rPr/>
              <w:t> </w:t>
            </w:r>
          </w:p>
        </w:tc>
      </w:tr>
      <w:tr>
        <w:trPr/>
        <w:tc>
          <w:tcPr>
            <w:tcW w:w="30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6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Amount</w:t>
            </w:r>
          </w:p>
        </w:tc>
        <w:tc>
          <w:tcPr>
            <w:tcW w:w="61"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1114"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 of Total</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27"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Amount</w:t>
            </w:r>
          </w:p>
        </w:tc>
        <w:tc>
          <w:tcPr>
            <w:tcW w:w="75"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1114"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 of Total</w:t>
            </w:r>
          </w:p>
        </w:tc>
        <w:tc>
          <w:tcPr>
            <w:tcW w:w="215" w:type="dxa"/>
            <w:tcBorders/>
            <w:shd w:fill="auto" w:val="clear"/>
            <w:vAlign w:val="bottom"/>
          </w:tcPr>
          <w:p>
            <w:pPr>
              <w:pStyle w:val="TableContents"/>
              <w:spacing w:before="0" w:after="283"/>
              <w:rPr/>
            </w:pPr>
            <w:r>
              <w:rPr/>
              <w:t> </w:t>
            </w:r>
          </w:p>
        </w:tc>
      </w:tr>
      <w:tr>
        <w:trPr/>
        <w:tc>
          <w:tcPr>
            <w:tcW w:w="30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662" w:type="dxa"/>
            <w:gridSpan w:val="14"/>
            <w:tcBorders/>
            <w:shd w:fill="auto" w:val="clear"/>
            <w:vAlign w:val="bottom"/>
          </w:tcPr>
          <w:p>
            <w:pPr>
              <w:pStyle w:val="TableContents"/>
              <w:spacing w:before="0" w:after="0"/>
              <w:jc w:val="center"/>
              <w:rPr>
                <w:b/>
                <w:color w:val="000000"/>
              </w:rPr>
            </w:pPr>
            <w:r>
              <w:rPr>
                <w:b/>
                <w:color w:val="000000"/>
              </w:rPr>
              <w:t>(Dollars in thousands)</w:t>
            </w:r>
          </w:p>
        </w:tc>
        <w:tc>
          <w:tcPr>
            <w:tcW w:w="215" w:type="dxa"/>
            <w:tcBorders/>
            <w:shd w:fill="auto" w:val="clear"/>
            <w:vAlign w:val="bottom"/>
          </w:tcPr>
          <w:p>
            <w:pPr>
              <w:pStyle w:val="TableContents"/>
              <w:spacing w:before="0" w:after="283"/>
              <w:rPr/>
            </w:pPr>
            <w:r>
              <w:rPr/>
              <w:t> </w:t>
            </w:r>
          </w:p>
        </w:tc>
      </w:tr>
      <w:tr>
        <w:trPr/>
        <w:tc>
          <w:tcPr>
            <w:tcW w:w="3065" w:type="dxa"/>
            <w:tcBorders/>
            <w:shd w:fill="CCEEFF" w:val="clear"/>
            <w:vAlign w:val="bottom"/>
          </w:tcPr>
          <w:p>
            <w:pPr>
              <w:pStyle w:val="TableContents"/>
              <w:spacing w:before="0" w:after="0"/>
              <w:ind w:left="144" w:right="0" w:hanging="144"/>
              <w:rPr>
                <w:color w:val="000000"/>
              </w:rPr>
            </w:pPr>
            <w:r>
              <w:rPr>
                <w:color w:val="000000"/>
              </w:rPr>
              <w:t>Commercial real estate</w:t>
            </w:r>
          </w:p>
        </w:tc>
        <w:tc>
          <w:tcPr>
            <w:tcW w:w="60"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0"/>
              <w:rPr/>
            </w:pPr>
            <w:r>
              <w:rPr/>
              <w:t>$</w:t>
            </w:r>
          </w:p>
        </w:tc>
        <w:tc>
          <w:tcPr>
            <w:tcW w:w="714" w:type="dxa"/>
            <w:tcBorders/>
            <w:shd w:fill="CCEEFF" w:val="clear"/>
            <w:vAlign w:val="bottom"/>
          </w:tcPr>
          <w:p>
            <w:pPr>
              <w:pStyle w:val="TableContents"/>
              <w:spacing w:before="0" w:after="0"/>
              <w:jc w:val="right"/>
              <w:rPr/>
            </w:pPr>
            <w:r>
              <w:rPr/>
              <w:t>13,381</w:t>
            </w:r>
          </w:p>
        </w:tc>
        <w:tc>
          <w:tcPr>
            <w:tcW w:w="61"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1008" w:type="dxa"/>
            <w:tcBorders/>
            <w:shd w:fill="CCEEFF" w:val="clear"/>
            <w:vAlign w:val="bottom"/>
          </w:tcPr>
          <w:p>
            <w:pPr>
              <w:pStyle w:val="TableContents"/>
              <w:spacing w:before="0" w:after="0"/>
              <w:jc w:val="right"/>
              <w:rPr/>
            </w:pPr>
            <w:r>
              <w:rPr/>
              <w:t>33.8</w:t>
            </w:r>
          </w:p>
        </w:tc>
        <w:tc>
          <w:tcPr>
            <w:tcW w:w="21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0"/>
              <w:rPr/>
            </w:pPr>
            <w:r>
              <w:rPr/>
              <w:t>$</w:t>
            </w:r>
          </w:p>
        </w:tc>
        <w:tc>
          <w:tcPr>
            <w:tcW w:w="852" w:type="dxa"/>
            <w:tcBorders/>
            <w:shd w:fill="CCEEFF" w:val="clear"/>
            <w:vAlign w:val="bottom"/>
          </w:tcPr>
          <w:p>
            <w:pPr>
              <w:pStyle w:val="TableContents"/>
              <w:spacing w:before="0" w:after="0"/>
              <w:jc w:val="right"/>
              <w:rPr/>
            </w:pPr>
            <w:r>
              <w:rPr/>
              <w:t>13,029</w:t>
            </w:r>
          </w:p>
        </w:tc>
        <w:tc>
          <w:tcPr>
            <w:tcW w:w="75"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c>
          <w:tcPr>
            <w:tcW w:w="1007" w:type="dxa"/>
            <w:tcBorders/>
            <w:shd w:fill="CCEEFF" w:val="clear"/>
            <w:vAlign w:val="bottom"/>
          </w:tcPr>
          <w:p>
            <w:pPr>
              <w:pStyle w:val="TableContents"/>
              <w:spacing w:before="0" w:after="0"/>
              <w:jc w:val="right"/>
              <w:rPr/>
            </w:pPr>
            <w:r>
              <w:rPr/>
              <w:t>33.1</w:t>
            </w:r>
          </w:p>
        </w:tc>
        <w:tc>
          <w:tcPr>
            <w:tcW w:w="215" w:type="dxa"/>
            <w:tcBorders/>
            <w:shd w:fill="CCEEFF" w:val="clear"/>
            <w:vAlign w:val="bottom"/>
          </w:tcPr>
          <w:p>
            <w:pPr>
              <w:pStyle w:val="TableContents"/>
              <w:spacing w:before="0" w:after="0"/>
              <w:rPr/>
            </w:pPr>
            <w:r>
              <w:rPr/>
              <w:t>%</w:t>
            </w:r>
          </w:p>
        </w:tc>
      </w:tr>
      <w:tr>
        <w:trPr/>
        <w:tc>
          <w:tcPr>
            <w:tcW w:w="3065" w:type="dxa"/>
            <w:tcBorders/>
            <w:shd w:fill="auto" w:val="clear"/>
            <w:vAlign w:val="bottom"/>
          </w:tcPr>
          <w:p>
            <w:pPr>
              <w:pStyle w:val="TableContents"/>
              <w:spacing w:before="0" w:after="0"/>
              <w:ind w:left="144" w:right="0" w:hanging="144"/>
              <w:rPr>
                <w:color w:val="000000"/>
              </w:rPr>
            </w:pPr>
            <w:r>
              <w:rPr>
                <w:color w:val="000000"/>
              </w:rPr>
              <w:t>Commercial – specialized</w:t>
            </w:r>
          </w:p>
        </w:tc>
        <w:tc>
          <w:tcPr>
            <w:tcW w:w="60"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0"/>
              <w:jc w:val="right"/>
              <w:rPr/>
            </w:pPr>
            <w:r>
              <w:rPr/>
              <w:t>3,510</w:t>
            </w:r>
          </w:p>
        </w:tc>
        <w:tc>
          <w:tcPr>
            <w:tcW w:w="61"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1008" w:type="dxa"/>
            <w:tcBorders/>
            <w:shd w:fill="auto" w:val="clear"/>
            <w:vAlign w:val="bottom"/>
          </w:tcPr>
          <w:p>
            <w:pPr>
              <w:pStyle w:val="TableContents"/>
              <w:spacing w:before="0" w:after="0"/>
              <w:jc w:val="right"/>
              <w:rPr/>
            </w:pPr>
            <w:r>
              <w:rPr/>
              <w:t>8.9</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52" w:type="dxa"/>
            <w:tcBorders/>
            <w:shd w:fill="auto" w:val="clear"/>
            <w:vAlign w:val="bottom"/>
          </w:tcPr>
          <w:p>
            <w:pPr>
              <w:pStyle w:val="TableContents"/>
              <w:spacing w:before="0" w:after="0"/>
              <w:jc w:val="right"/>
              <w:rPr/>
            </w:pPr>
            <w:r>
              <w:rPr/>
              <w:t>3,425</w:t>
            </w:r>
          </w:p>
        </w:tc>
        <w:tc>
          <w:tcPr>
            <w:tcW w:w="75"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1007" w:type="dxa"/>
            <w:tcBorders/>
            <w:shd w:fill="auto" w:val="clear"/>
            <w:vAlign w:val="bottom"/>
          </w:tcPr>
          <w:p>
            <w:pPr>
              <w:pStyle w:val="TableContents"/>
              <w:spacing w:before="0" w:after="0"/>
              <w:jc w:val="right"/>
              <w:rPr/>
            </w:pPr>
            <w:r>
              <w:rPr/>
              <w:t>8.7</w:t>
            </w:r>
          </w:p>
        </w:tc>
        <w:tc>
          <w:tcPr>
            <w:tcW w:w="215" w:type="dxa"/>
            <w:tcBorders/>
            <w:shd w:fill="auto" w:val="clear"/>
            <w:vAlign w:val="bottom"/>
          </w:tcPr>
          <w:p>
            <w:pPr>
              <w:pStyle w:val="TableContents"/>
              <w:spacing w:before="0" w:after="283"/>
              <w:rPr/>
            </w:pPr>
            <w:r>
              <w:rPr/>
              <w:t> </w:t>
            </w:r>
          </w:p>
        </w:tc>
      </w:tr>
      <w:tr>
        <w:trPr/>
        <w:tc>
          <w:tcPr>
            <w:tcW w:w="3065" w:type="dxa"/>
            <w:tcBorders/>
            <w:shd w:fill="CCEEFF" w:val="clear"/>
            <w:vAlign w:val="bottom"/>
          </w:tcPr>
          <w:p>
            <w:pPr>
              <w:pStyle w:val="TableContents"/>
              <w:spacing w:before="0" w:after="0"/>
              <w:ind w:left="144" w:right="0" w:hanging="144"/>
              <w:rPr>
                <w:color w:val="000000"/>
              </w:rPr>
            </w:pPr>
            <w:r>
              <w:rPr>
                <w:color w:val="000000"/>
              </w:rPr>
              <w:t>Commercial – general</w:t>
            </w:r>
          </w:p>
        </w:tc>
        <w:tc>
          <w:tcPr>
            <w:tcW w:w="60"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0"/>
              <w:jc w:val="right"/>
              <w:rPr/>
            </w:pPr>
            <w:r>
              <w:rPr/>
              <w:t>6,267</w:t>
            </w:r>
          </w:p>
        </w:tc>
        <w:tc>
          <w:tcPr>
            <w:tcW w:w="61"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1008" w:type="dxa"/>
            <w:tcBorders/>
            <w:shd w:fill="CCEEFF" w:val="clear"/>
            <w:vAlign w:val="bottom"/>
          </w:tcPr>
          <w:p>
            <w:pPr>
              <w:pStyle w:val="TableContents"/>
              <w:spacing w:before="0" w:after="0"/>
              <w:jc w:val="right"/>
              <w:rPr/>
            </w:pPr>
            <w:r>
              <w:rPr/>
              <w:t>15.8</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852" w:type="dxa"/>
            <w:tcBorders/>
            <w:shd w:fill="CCEEFF" w:val="clear"/>
            <w:vAlign w:val="bottom"/>
          </w:tcPr>
          <w:p>
            <w:pPr>
              <w:pStyle w:val="TableContents"/>
              <w:spacing w:before="0" w:after="0"/>
              <w:jc w:val="right"/>
              <w:rPr/>
            </w:pPr>
            <w:r>
              <w:rPr/>
              <w:t>9,215</w:t>
            </w:r>
          </w:p>
        </w:tc>
        <w:tc>
          <w:tcPr>
            <w:tcW w:w="75"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c>
          <w:tcPr>
            <w:tcW w:w="1007" w:type="dxa"/>
            <w:tcBorders/>
            <w:shd w:fill="CCEEFF" w:val="clear"/>
            <w:vAlign w:val="bottom"/>
          </w:tcPr>
          <w:p>
            <w:pPr>
              <w:pStyle w:val="TableContents"/>
              <w:spacing w:before="0" w:after="0"/>
              <w:jc w:val="right"/>
              <w:rPr/>
            </w:pPr>
            <w:r>
              <w:rPr/>
              <w:t>23.5</w:t>
            </w:r>
          </w:p>
        </w:tc>
        <w:tc>
          <w:tcPr>
            <w:tcW w:w="215" w:type="dxa"/>
            <w:tcBorders/>
            <w:shd w:fill="CCEEFF" w:val="clear"/>
            <w:vAlign w:val="bottom"/>
          </w:tcPr>
          <w:p>
            <w:pPr>
              <w:pStyle w:val="TableContents"/>
              <w:spacing w:before="0" w:after="283"/>
              <w:rPr/>
            </w:pPr>
            <w:r>
              <w:rPr/>
              <w:t> </w:t>
            </w:r>
          </w:p>
        </w:tc>
      </w:tr>
      <w:tr>
        <w:trPr/>
        <w:tc>
          <w:tcPr>
            <w:tcW w:w="3065" w:type="dxa"/>
            <w:tcBorders/>
            <w:shd w:fill="auto" w:val="clear"/>
            <w:vAlign w:val="bottom"/>
          </w:tcPr>
          <w:p>
            <w:pPr>
              <w:pStyle w:val="TableContents"/>
              <w:spacing w:before="0" w:after="0"/>
              <w:ind w:left="144" w:right="0" w:hanging="144"/>
              <w:rPr>
                <w:color w:val="000000"/>
              </w:rPr>
            </w:pPr>
            <w:r>
              <w:rPr>
                <w:color w:val="000000"/>
              </w:rPr>
              <w:t>Consumer:</w:t>
            </w:r>
          </w:p>
        </w:tc>
        <w:tc>
          <w:tcPr>
            <w:tcW w:w="60"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283"/>
              <w:jc w:val="right"/>
              <w:rPr/>
            </w:pPr>
            <w:r>
              <w:rPr/>
              <w:t> </w:t>
            </w:r>
          </w:p>
        </w:tc>
        <w:tc>
          <w:tcPr>
            <w:tcW w:w="61"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1008" w:type="dxa"/>
            <w:tcBorders/>
            <w:shd w:fill="auto" w:val="clear"/>
            <w:vAlign w:val="bottom"/>
          </w:tcPr>
          <w:p>
            <w:pPr>
              <w:pStyle w:val="TableContents"/>
              <w:spacing w:before="0" w:after="283"/>
              <w:jc w:val="right"/>
              <w:rPr/>
            </w:pPr>
            <w:r>
              <w:rPr/>
              <w:t> </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52" w:type="dxa"/>
            <w:tcBorders/>
            <w:shd w:fill="auto" w:val="clear"/>
            <w:vAlign w:val="bottom"/>
          </w:tcPr>
          <w:p>
            <w:pPr>
              <w:pStyle w:val="TableContents"/>
              <w:spacing w:before="0" w:after="283"/>
              <w:jc w:val="right"/>
              <w:rPr/>
            </w:pPr>
            <w:r>
              <w:rPr/>
              <w:t> </w:t>
            </w:r>
          </w:p>
        </w:tc>
        <w:tc>
          <w:tcPr>
            <w:tcW w:w="75"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1007" w:type="dxa"/>
            <w:tcBorders/>
            <w:shd w:fill="auto" w:val="clear"/>
            <w:vAlign w:val="bottom"/>
          </w:tcPr>
          <w:p>
            <w:pPr>
              <w:pStyle w:val="TableContents"/>
              <w:spacing w:before="0" w:after="283"/>
              <w:jc w:val="right"/>
              <w:rPr/>
            </w:pPr>
            <w:r>
              <w:rPr/>
              <w:t> </w:t>
            </w:r>
          </w:p>
        </w:tc>
        <w:tc>
          <w:tcPr>
            <w:tcW w:w="215" w:type="dxa"/>
            <w:tcBorders/>
            <w:shd w:fill="auto" w:val="clear"/>
            <w:vAlign w:val="bottom"/>
          </w:tcPr>
          <w:p>
            <w:pPr>
              <w:pStyle w:val="TableContents"/>
              <w:spacing w:before="0" w:after="283"/>
              <w:rPr/>
            </w:pPr>
            <w:r>
              <w:rPr/>
              <w:t> </w:t>
            </w:r>
          </w:p>
        </w:tc>
      </w:tr>
      <w:tr>
        <w:trPr/>
        <w:tc>
          <w:tcPr>
            <w:tcW w:w="3065" w:type="dxa"/>
            <w:tcBorders/>
            <w:shd w:fill="CCEEFF" w:val="clear"/>
            <w:vAlign w:val="bottom"/>
          </w:tcPr>
          <w:p>
            <w:pPr>
              <w:pStyle w:val="TableContents"/>
              <w:spacing w:before="0" w:after="0"/>
              <w:ind w:left="324" w:right="0" w:hanging="144"/>
              <w:rPr>
                <w:color w:val="000000"/>
              </w:rPr>
            </w:pPr>
            <w:r>
              <w:rPr>
                <w:color w:val="000000"/>
              </w:rPr>
              <w:t>1-4 family residential</w:t>
            </w:r>
          </w:p>
        </w:tc>
        <w:tc>
          <w:tcPr>
            <w:tcW w:w="60"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0"/>
              <w:jc w:val="right"/>
              <w:rPr/>
            </w:pPr>
            <w:r>
              <w:rPr/>
              <w:t>8,531</w:t>
            </w:r>
          </w:p>
        </w:tc>
        <w:tc>
          <w:tcPr>
            <w:tcW w:w="61"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1008" w:type="dxa"/>
            <w:tcBorders/>
            <w:shd w:fill="CCEEFF" w:val="clear"/>
            <w:vAlign w:val="bottom"/>
          </w:tcPr>
          <w:p>
            <w:pPr>
              <w:pStyle w:val="TableContents"/>
              <w:spacing w:before="0" w:after="0"/>
              <w:jc w:val="right"/>
              <w:rPr/>
            </w:pPr>
            <w:r>
              <w:rPr/>
              <w:t>21.6</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852" w:type="dxa"/>
            <w:tcBorders/>
            <w:shd w:fill="CCEEFF" w:val="clear"/>
            <w:vAlign w:val="bottom"/>
          </w:tcPr>
          <w:p>
            <w:pPr>
              <w:pStyle w:val="TableContents"/>
              <w:spacing w:before="0" w:after="0"/>
              <w:jc w:val="right"/>
              <w:rPr/>
            </w:pPr>
            <w:r>
              <w:rPr/>
              <w:t>6,194</w:t>
            </w:r>
          </w:p>
        </w:tc>
        <w:tc>
          <w:tcPr>
            <w:tcW w:w="75"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c>
          <w:tcPr>
            <w:tcW w:w="1007" w:type="dxa"/>
            <w:tcBorders/>
            <w:shd w:fill="CCEEFF" w:val="clear"/>
            <w:vAlign w:val="bottom"/>
          </w:tcPr>
          <w:p>
            <w:pPr>
              <w:pStyle w:val="TableContents"/>
              <w:spacing w:before="0" w:after="0"/>
              <w:jc w:val="right"/>
              <w:rPr/>
            </w:pPr>
            <w:r>
              <w:rPr/>
              <w:t>15.8</w:t>
            </w:r>
          </w:p>
        </w:tc>
        <w:tc>
          <w:tcPr>
            <w:tcW w:w="215" w:type="dxa"/>
            <w:tcBorders/>
            <w:shd w:fill="CCEEFF" w:val="clear"/>
            <w:vAlign w:val="bottom"/>
          </w:tcPr>
          <w:p>
            <w:pPr>
              <w:pStyle w:val="TableContents"/>
              <w:spacing w:before="0" w:after="283"/>
              <w:rPr/>
            </w:pPr>
            <w:r>
              <w:rPr/>
              <w:t> </w:t>
            </w:r>
          </w:p>
        </w:tc>
      </w:tr>
      <w:tr>
        <w:trPr/>
        <w:tc>
          <w:tcPr>
            <w:tcW w:w="3065" w:type="dxa"/>
            <w:tcBorders/>
            <w:shd w:fill="auto" w:val="clear"/>
            <w:vAlign w:val="bottom"/>
          </w:tcPr>
          <w:p>
            <w:pPr>
              <w:pStyle w:val="TableContents"/>
              <w:spacing w:before="0" w:after="0"/>
              <w:ind w:left="324" w:right="0" w:hanging="144"/>
              <w:rPr>
                <w:color w:val="000000"/>
              </w:rPr>
            </w:pPr>
            <w:r>
              <w:rPr>
                <w:color w:val="000000"/>
              </w:rPr>
              <w:t>Auto loans</w:t>
            </w:r>
          </w:p>
        </w:tc>
        <w:tc>
          <w:tcPr>
            <w:tcW w:w="60"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714" w:type="dxa"/>
            <w:tcBorders/>
            <w:shd w:fill="auto" w:val="clear"/>
            <w:vAlign w:val="bottom"/>
          </w:tcPr>
          <w:p>
            <w:pPr>
              <w:pStyle w:val="TableContents"/>
              <w:spacing w:before="0" w:after="0"/>
              <w:jc w:val="right"/>
              <w:rPr/>
            </w:pPr>
            <w:r>
              <w:rPr/>
              <w:t>3,714</w:t>
            </w:r>
          </w:p>
        </w:tc>
        <w:tc>
          <w:tcPr>
            <w:tcW w:w="61"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1008" w:type="dxa"/>
            <w:tcBorders/>
            <w:shd w:fill="auto" w:val="clear"/>
            <w:vAlign w:val="bottom"/>
          </w:tcPr>
          <w:p>
            <w:pPr>
              <w:pStyle w:val="TableContents"/>
              <w:spacing w:before="0" w:after="0"/>
              <w:jc w:val="right"/>
              <w:rPr/>
            </w:pPr>
            <w:r>
              <w:rPr/>
              <w:t>9.4</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852" w:type="dxa"/>
            <w:tcBorders/>
            <w:shd w:fill="auto" w:val="clear"/>
            <w:vAlign w:val="bottom"/>
          </w:tcPr>
          <w:p>
            <w:pPr>
              <w:pStyle w:val="TableContents"/>
              <w:spacing w:before="0" w:after="0"/>
              <w:jc w:val="right"/>
              <w:rPr/>
            </w:pPr>
            <w:r>
              <w:rPr/>
              <w:t>3,926</w:t>
            </w:r>
          </w:p>
        </w:tc>
        <w:tc>
          <w:tcPr>
            <w:tcW w:w="75"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1007" w:type="dxa"/>
            <w:tcBorders/>
            <w:shd w:fill="auto" w:val="clear"/>
            <w:vAlign w:val="bottom"/>
          </w:tcPr>
          <w:p>
            <w:pPr>
              <w:pStyle w:val="TableContents"/>
              <w:spacing w:before="0" w:after="0"/>
              <w:jc w:val="right"/>
              <w:rPr/>
            </w:pPr>
            <w:r>
              <w:rPr/>
              <w:t>10.0</w:t>
            </w:r>
          </w:p>
        </w:tc>
        <w:tc>
          <w:tcPr>
            <w:tcW w:w="215" w:type="dxa"/>
            <w:tcBorders/>
            <w:shd w:fill="auto" w:val="clear"/>
            <w:vAlign w:val="bottom"/>
          </w:tcPr>
          <w:p>
            <w:pPr>
              <w:pStyle w:val="TableContents"/>
              <w:spacing w:before="0" w:after="283"/>
              <w:rPr/>
            </w:pPr>
            <w:r>
              <w:rPr/>
              <w:t> </w:t>
            </w:r>
          </w:p>
        </w:tc>
      </w:tr>
      <w:tr>
        <w:trPr/>
        <w:tc>
          <w:tcPr>
            <w:tcW w:w="3065" w:type="dxa"/>
            <w:tcBorders/>
            <w:shd w:fill="CCEEFF" w:val="clear"/>
            <w:vAlign w:val="bottom"/>
          </w:tcPr>
          <w:p>
            <w:pPr>
              <w:pStyle w:val="TableContents"/>
              <w:spacing w:before="0" w:after="0"/>
              <w:ind w:left="324" w:right="0" w:hanging="144"/>
              <w:rPr>
                <w:color w:val="000000"/>
              </w:rPr>
            </w:pPr>
            <w:r>
              <w:rPr>
                <w:color w:val="000000"/>
              </w:rPr>
              <w:t>Other consumer</w:t>
            </w:r>
          </w:p>
        </w:tc>
        <w:tc>
          <w:tcPr>
            <w:tcW w:w="60"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714" w:type="dxa"/>
            <w:tcBorders/>
            <w:shd w:fill="CCEEFF" w:val="clear"/>
            <w:vAlign w:val="bottom"/>
          </w:tcPr>
          <w:p>
            <w:pPr>
              <w:pStyle w:val="TableContents"/>
              <w:spacing w:before="0" w:after="0"/>
              <w:jc w:val="right"/>
              <w:rPr/>
            </w:pPr>
            <w:r>
              <w:rPr/>
              <w:t>1,101</w:t>
            </w:r>
          </w:p>
        </w:tc>
        <w:tc>
          <w:tcPr>
            <w:tcW w:w="61"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106" w:type="dxa"/>
            <w:tcBorders/>
            <w:shd w:fill="CCEEFF" w:val="clear"/>
            <w:vAlign w:val="bottom"/>
          </w:tcPr>
          <w:p>
            <w:pPr>
              <w:pStyle w:val="TableContents"/>
              <w:spacing w:before="0" w:after="283"/>
              <w:rPr/>
            </w:pPr>
            <w:r>
              <w:rPr/>
              <w:t> </w:t>
            </w:r>
          </w:p>
        </w:tc>
        <w:tc>
          <w:tcPr>
            <w:tcW w:w="1008" w:type="dxa"/>
            <w:tcBorders/>
            <w:shd w:fill="CCEEFF" w:val="clear"/>
            <w:vAlign w:val="bottom"/>
          </w:tcPr>
          <w:p>
            <w:pPr>
              <w:pStyle w:val="TableContents"/>
              <w:spacing w:before="0" w:after="0"/>
              <w:jc w:val="right"/>
              <w:rPr/>
            </w:pPr>
            <w:r>
              <w:rPr/>
              <w:t>2.8</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75" w:type="dxa"/>
            <w:tcBorders/>
            <w:shd w:fill="CCEEFF" w:val="clear"/>
            <w:vAlign w:val="bottom"/>
          </w:tcPr>
          <w:p>
            <w:pPr>
              <w:pStyle w:val="TableContents"/>
              <w:spacing w:before="0" w:after="283"/>
              <w:rPr/>
            </w:pPr>
            <w:r>
              <w:rPr/>
              <w:t> </w:t>
            </w:r>
          </w:p>
        </w:tc>
        <w:tc>
          <w:tcPr>
            <w:tcW w:w="852" w:type="dxa"/>
            <w:tcBorders/>
            <w:shd w:fill="CCEEFF" w:val="clear"/>
            <w:vAlign w:val="bottom"/>
          </w:tcPr>
          <w:p>
            <w:pPr>
              <w:pStyle w:val="TableContents"/>
              <w:spacing w:before="0" w:after="0"/>
              <w:jc w:val="right"/>
              <w:rPr/>
            </w:pPr>
            <w:r>
              <w:rPr/>
              <w:t>1,376</w:t>
            </w:r>
          </w:p>
        </w:tc>
        <w:tc>
          <w:tcPr>
            <w:tcW w:w="75"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c>
          <w:tcPr>
            <w:tcW w:w="1007" w:type="dxa"/>
            <w:tcBorders/>
            <w:shd w:fill="CCEEFF" w:val="clear"/>
            <w:vAlign w:val="bottom"/>
          </w:tcPr>
          <w:p>
            <w:pPr>
              <w:pStyle w:val="TableContents"/>
              <w:spacing w:before="0" w:after="0"/>
              <w:jc w:val="right"/>
              <w:rPr/>
            </w:pPr>
            <w:r>
              <w:rPr/>
              <w:t>3.5</w:t>
            </w:r>
          </w:p>
        </w:tc>
        <w:tc>
          <w:tcPr>
            <w:tcW w:w="215" w:type="dxa"/>
            <w:tcBorders/>
            <w:shd w:fill="CCEEFF" w:val="clear"/>
            <w:vAlign w:val="bottom"/>
          </w:tcPr>
          <w:p>
            <w:pPr>
              <w:pStyle w:val="TableContents"/>
              <w:spacing w:before="0" w:after="283"/>
              <w:rPr/>
            </w:pPr>
            <w:r>
              <w:rPr/>
              <w:t> </w:t>
            </w:r>
          </w:p>
        </w:tc>
      </w:tr>
      <w:tr>
        <w:trPr/>
        <w:tc>
          <w:tcPr>
            <w:tcW w:w="3065" w:type="dxa"/>
            <w:tcBorders/>
            <w:shd w:fill="auto" w:val="clear"/>
            <w:vAlign w:val="bottom"/>
          </w:tcPr>
          <w:p>
            <w:pPr>
              <w:pStyle w:val="TableContents"/>
              <w:spacing w:before="0" w:after="0"/>
              <w:ind w:left="144" w:right="0" w:hanging="144"/>
              <w:rPr>
                <w:color w:val="000000"/>
              </w:rPr>
            </w:pPr>
            <w:r>
              <w:rPr>
                <w:color w:val="000000"/>
              </w:rPr>
              <w:t>Construction</w:t>
            </w:r>
          </w:p>
        </w:tc>
        <w:tc>
          <w:tcPr>
            <w:tcW w:w="60" w:type="dxa"/>
            <w:tcBorders/>
            <w:shd w:fill="auto" w:val="clear"/>
            <w:vAlign w:val="bottom"/>
          </w:tcPr>
          <w:p>
            <w:pPr>
              <w:pStyle w:val="TableContents"/>
              <w:spacing w:before="0" w:after="283"/>
              <w:rPr/>
            </w:pPr>
            <w:r>
              <w:rPr/>
              <w:t> </w:t>
            </w:r>
          </w:p>
        </w:tc>
        <w:tc>
          <w:tcPr>
            <w:tcW w:w="146" w:type="dxa"/>
            <w:tcBorders>
              <w:bottom w:val="single" w:sz="12" w:space="0" w:color="000000"/>
            </w:tcBorders>
            <w:shd w:fill="auto" w:val="clear"/>
            <w:tcMar>
              <w:bottom w:w="28" w:type="dxa"/>
            </w:tcMar>
            <w:vAlign w:val="bottom"/>
          </w:tcPr>
          <w:p>
            <w:pPr>
              <w:pStyle w:val="TableContents"/>
              <w:spacing w:before="0" w:after="283"/>
              <w:rPr/>
            </w:pPr>
            <w:r>
              <w:rPr/>
              <w:t> </w:t>
            </w:r>
          </w:p>
        </w:tc>
        <w:tc>
          <w:tcPr>
            <w:tcW w:w="714" w:type="dxa"/>
            <w:tcBorders>
              <w:bottom w:val="single" w:sz="12" w:space="0" w:color="000000"/>
            </w:tcBorders>
            <w:shd w:fill="auto" w:val="clear"/>
            <w:tcMar>
              <w:bottom w:w="28" w:type="dxa"/>
            </w:tcMar>
            <w:vAlign w:val="bottom"/>
          </w:tcPr>
          <w:p>
            <w:pPr>
              <w:pStyle w:val="TableContents"/>
              <w:spacing w:before="0" w:after="0"/>
              <w:jc w:val="right"/>
              <w:rPr/>
            </w:pPr>
            <w:r>
              <w:rPr/>
              <w:t>3,056</w:t>
            </w:r>
          </w:p>
        </w:tc>
        <w:tc>
          <w:tcPr>
            <w:tcW w:w="61"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106" w:type="dxa"/>
            <w:tcBorders>
              <w:bottom w:val="single" w:sz="12" w:space="0" w:color="000000"/>
            </w:tcBorders>
            <w:shd w:fill="auto" w:val="clear"/>
            <w:tcMar>
              <w:bottom w:w="28" w:type="dxa"/>
            </w:tcMar>
            <w:vAlign w:val="bottom"/>
          </w:tcPr>
          <w:p>
            <w:pPr>
              <w:pStyle w:val="TableContents"/>
              <w:spacing w:before="0" w:after="283"/>
              <w:rPr/>
            </w:pPr>
            <w:r>
              <w:rPr/>
              <w:t> </w:t>
            </w:r>
          </w:p>
        </w:tc>
        <w:tc>
          <w:tcPr>
            <w:tcW w:w="1008" w:type="dxa"/>
            <w:tcBorders>
              <w:bottom w:val="single" w:sz="12" w:space="0" w:color="000000"/>
            </w:tcBorders>
            <w:shd w:fill="auto" w:val="clear"/>
            <w:tcMar>
              <w:bottom w:w="28" w:type="dxa"/>
            </w:tcMar>
            <w:vAlign w:val="bottom"/>
          </w:tcPr>
          <w:p>
            <w:pPr>
              <w:pStyle w:val="TableContents"/>
              <w:spacing w:before="0" w:after="0"/>
              <w:jc w:val="right"/>
              <w:rPr/>
            </w:pPr>
            <w:r>
              <w:rPr/>
              <w:t>7.7</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5" w:type="dxa"/>
            <w:tcBorders>
              <w:bottom w:val="single" w:sz="12" w:space="0" w:color="000000"/>
            </w:tcBorders>
            <w:shd w:fill="auto" w:val="clear"/>
            <w:tcMar>
              <w:bottom w:w="28" w:type="dxa"/>
            </w:tcMar>
            <w:vAlign w:val="bottom"/>
          </w:tcPr>
          <w:p>
            <w:pPr>
              <w:pStyle w:val="TableContents"/>
              <w:spacing w:before="0" w:after="283"/>
              <w:rPr/>
            </w:pPr>
            <w:r>
              <w:rPr/>
              <w:t> </w:t>
            </w:r>
          </w:p>
        </w:tc>
        <w:tc>
          <w:tcPr>
            <w:tcW w:w="852" w:type="dxa"/>
            <w:tcBorders>
              <w:bottom w:val="single" w:sz="12" w:space="0" w:color="000000"/>
            </w:tcBorders>
            <w:shd w:fill="auto" w:val="clear"/>
            <w:tcMar>
              <w:bottom w:w="28" w:type="dxa"/>
            </w:tcMar>
            <w:vAlign w:val="bottom"/>
          </w:tcPr>
          <w:p>
            <w:pPr>
              <w:pStyle w:val="TableContents"/>
              <w:spacing w:before="0" w:after="0"/>
              <w:jc w:val="right"/>
              <w:rPr/>
            </w:pPr>
            <w:r>
              <w:rPr/>
              <w:t>2,123</w:t>
            </w:r>
          </w:p>
        </w:tc>
        <w:tc>
          <w:tcPr>
            <w:tcW w:w="75"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107" w:type="dxa"/>
            <w:tcBorders>
              <w:bottom w:val="single" w:sz="12" w:space="0" w:color="000000"/>
            </w:tcBorders>
            <w:shd w:fill="auto" w:val="clear"/>
            <w:tcMar>
              <w:bottom w:w="28" w:type="dxa"/>
            </w:tcMar>
            <w:vAlign w:val="bottom"/>
          </w:tcPr>
          <w:p>
            <w:pPr>
              <w:pStyle w:val="TableContents"/>
              <w:spacing w:before="0" w:after="283"/>
              <w:rPr/>
            </w:pPr>
            <w:r>
              <w:rPr/>
              <w:t> </w:t>
            </w:r>
          </w:p>
        </w:tc>
        <w:tc>
          <w:tcPr>
            <w:tcW w:w="1007" w:type="dxa"/>
            <w:tcBorders>
              <w:bottom w:val="single" w:sz="12" w:space="0" w:color="000000"/>
            </w:tcBorders>
            <w:shd w:fill="auto" w:val="clear"/>
            <w:tcMar>
              <w:bottom w:w="28" w:type="dxa"/>
            </w:tcMar>
            <w:vAlign w:val="bottom"/>
          </w:tcPr>
          <w:p>
            <w:pPr>
              <w:pStyle w:val="TableContents"/>
              <w:spacing w:before="0" w:after="0"/>
              <w:jc w:val="right"/>
              <w:rPr/>
            </w:pPr>
            <w:r>
              <w:rPr/>
              <w:t>5.4</w:t>
            </w:r>
          </w:p>
        </w:tc>
        <w:tc>
          <w:tcPr>
            <w:tcW w:w="215" w:type="dxa"/>
            <w:tcBorders/>
            <w:shd w:fill="auto" w:val="clear"/>
            <w:vAlign w:val="bottom"/>
          </w:tcPr>
          <w:p>
            <w:pPr>
              <w:pStyle w:val="TableContents"/>
              <w:spacing w:before="0" w:after="283"/>
              <w:rPr/>
            </w:pPr>
            <w:r>
              <w:rPr/>
              <w:t> </w:t>
            </w:r>
          </w:p>
        </w:tc>
      </w:tr>
      <w:tr>
        <w:trPr/>
        <w:tc>
          <w:tcPr>
            <w:tcW w:w="3065" w:type="dxa"/>
            <w:tcBorders/>
            <w:shd w:fill="CCEEFF" w:val="clear"/>
            <w:vAlign w:val="bottom"/>
          </w:tcPr>
          <w:p>
            <w:pPr>
              <w:pStyle w:val="TableContents"/>
              <w:spacing w:before="0" w:after="0"/>
              <w:ind w:left="144" w:right="0" w:hanging="144"/>
              <w:rPr>
                <w:color w:val="000000"/>
              </w:rPr>
            </w:pPr>
            <w:r>
              <w:rPr>
                <w:color w:val="000000"/>
              </w:rPr>
              <w:t>Total allowance for credit losses</w:t>
            </w:r>
          </w:p>
        </w:tc>
        <w:tc>
          <w:tcPr>
            <w:tcW w:w="60" w:type="dxa"/>
            <w:tcBorders/>
            <w:shd w:fill="CCEEFF" w:val="clear"/>
            <w:vAlign w:val="bottom"/>
          </w:tcPr>
          <w:p>
            <w:pPr>
              <w:pStyle w:val="TableContents"/>
              <w:spacing w:before="0" w:after="283"/>
              <w:rPr/>
            </w:pPr>
            <w:r>
              <w:rPr/>
              <w:t> </w:t>
            </w:r>
          </w:p>
        </w:tc>
        <w:tc>
          <w:tcPr>
            <w:tcW w:w="146" w:type="dxa"/>
            <w:tcBorders>
              <w:bottom w:val="double" w:sz="8" w:space="0" w:color="000000"/>
            </w:tcBorders>
            <w:shd w:fill="CCEEFF" w:val="clear"/>
            <w:tcMar>
              <w:bottom w:w="28" w:type="dxa"/>
            </w:tcMar>
            <w:vAlign w:val="bottom"/>
          </w:tcPr>
          <w:p>
            <w:pPr>
              <w:pStyle w:val="TableContents"/>
              <w:spacing w:before="0" w:after="0"/>
              <w:rPr/>
            </w:pPr>
            <w:r>
              <w:rPr/>
              <w:t>$</w:t>
            </w:r>
          </w:p>
        </w:tc>
        <w:tc>
          <w:tcPr>
            <w:tcW w:w="714" w:type="dxa"/>
            <w:tcBorders>
              <w:bottom w:val="double" w:sz="8" w:space="0" w:color="000000"/>
            </w:tcBorders>
            <w:shd w:fill="CCEEFF" w:val="clear"/>
            <w:tcMar>
              <w:bottom w:w="28" w:type="dxa"/>
            </w:tcMar>
            <w:vAlign w:val="bottom"/>
          </w:tcPr>
          <w:p>
            <w:pPr>
              <w:pStyle w:val="TableContents"/>
              <w:spacing w:before="0" w:after="0"/>
              <w:jc w:val="right"/>
              <w:rPr/>
            </w:pPr>
            <w:r>
              <w:rPr/>
              <w:t>39,560</w:t>
            </w:r>
          </w:p>
        </w:tc>
        <w:tc>
          <w:tcPr>
            <w:tcW w:w="61"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106" w:type="dxa"/>
            <w:tcBorders>
              <w:bottom w:val="double" w:sz="8" w:space="0" w:color="000000"/>
            </w:tcBorders>
            <w:shd w:fill="CCEEFF" w:val="clear"/>
            <w:tcMar>
              <w:bottom w:w="28" w:type="dxa"/>
            </w:tcMar>
            <w:vAlign w:val="bottom"/>
          </w:tcPr>
          <w:p>
            <w:pPr>
              <w:pStyle w:val="TableContents"/>
              <w:spacing w:before="0" w:after="283"/>
              <w:rPr/>
            </w:pPr>
            <w:r>
              <w:rPr/>
              <w:t> </w:t>
            </w:r>
          </w:p>
        </w:tc>
        <w:tc>
          <w:tcPr>
            <w:tcW w:w="1008" w:type="dxa"/>
            <w:tcBorders>
              <w:bottom w:val="double" w:sz="8" w:space="0" w:color="000000"/>
            </w:tcBorders>
            <w:shd w:fill="CCEEFF" w:val="clear"/>
            <w:tcMar>
              <w:bottom w:w="28" w:type="dxa"/>
            </w:tcMar>
            <w:vAlign w:val="bottom"/>
          </w:tcPr>
          <w:p>
            <w:pPr>
              <w:pStyle w:val="TableContents"/>
              <w:spacing w:before="0" w:after="0"/>
              <w:jc w:val="right"/>
              <w:rPr/>
            </w:pPr>
            <w:r>
              <w:rPr/>
              <w:t>100.0</w:t>
            </w:r>
          </w:p>
        </w:tc>
        <w:tc>
          <w:tcPr>
            <w:tcW w:w="21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175" w:type="dxa"/>
            <w:tcBorders>
              <w:bottom w:val="double" w:sz="8" w:space="0" w:color="000000"/>
            </w:tcBorders>
            <w:shd w:fill="CCEEFF" w:val="clear"/>
            <w:tcMar>
              <w:bottom w:w="28" w:type="dxa"/>
            </w:tcMar>
            <w:vAlign w:val="bottom"/>
          </w:tcPr>
          <w:p>
            <w:pPr>
              <w:pStyle w:val="TableContents"/>
              <w:spacing w:before="0" w:after="0"/>
              <w:rPr/>
            </w:pPr>
            <w:r>
              <w:rPr/>
              <w:t>$</w:t>
            </w:r>
          </w:p>
        </w:tc>
        <w:tc>
          <w:tcPr>
            <w:tcW w:w="852" w:type="dxa"/>
            <w:tcBorders>
              <w:bottom w:val="double" w:sz="8" w:space="0" w:color="000000"/>
            </w:tcBorders>
            <w:shd w:fill="CCEEFF" w:val="clear"/>
            <w:tcMar>
              <w:bottom w:w="28" w:type="dxa"/>
            </w:tcMar>
            <w:vAlign w:val="bottom"/>
          </w:tcPr>
          <w:p>
            <w:pPr>
              <w:pStyle w:val="TableContents"/>
              <w:spacing w:before="0" w:after="0"/>
              <w:jc w:val="right"/>
              <w:rPr/>
            </w:pPr>
            <w:r>
              <w:rPr/>
              <w:t>39,288</w:t>
            </w:r>
          </w:p>
        </w:tc>
        <w:tc>
          <w:tcPr>
            <w:tcW w:w="75" w:type="dxa"/>
            <w:tcBorders/>
            <w:shd w:fill="CCEEFF" w:val="clear"/>
            <w:vAlign w:val="bottom"/>
          </w:tcPr>
          <w:p>
            <w:pPr>
              <w:pStyle w:val="TableContents"/>
              <w:spacing w:before="0" w:after="283"/>
              <w:rPr/>
            </w:pPr>
            <w:r>
              <w:rPr/>
              <w:t> </w:t>
            </w:r>
          </w:p>
        </w:tc>
        <w:tc>
          <w:tcPr>
            <w:tcW w:w="75" w:type="dxa"/>
            <w:tcBorders/>
            <w:shd w:fill="CCEEFF" w:val="clear"/>
            <w:vAlign w:val="bottom"/>
          </w:tcPr>
          <w:p>
            <w:pPr>
              <w:pStyle w:val="TableContents"/>
              <w:spacing w:before="0" w:after="283"/>
              <w:rPr/>
            </w:pPr>
            <w:r>
              <w:rPr/>
              <w:t> </w:t>
            </w:r>
          </w:p>
        </w:tc>
        <w:tc>
          <w:tcPr>
            <w:tcW w:w="107" w:type="dxa"/>
            <w:tcBorders>
              <w:bottom w:val="double" w:sz="8" w:space="0" w:color="000000"/>
            </w:tcBorders>
            <w:shd w:fill="CCEEFF" w:val="clear"/>
            <w:tcMar>
              <w:bottom w:w="28" w:type="dxa"/>
            </w:tcMar>
            <w:vAlign w:val="bottom"/>
          </w:tcPr>
          <w:p>
            <w:pPr>
              <w:pStyle w:val="TableContents"/>
              <w:spacing w:before="0" w:after="283"/>
              <w:rPr/>
            </w:pPr>
            <w:r>
              <w:rPr/>
              <w:t> </w:t>
            </w:r>
          </w:p>
        </w:tc>
        <w:tc>
          <w:tcPr>
            <w:tcW w:w="1007" w:type="dxa"/>
            <w:tcBorders>
              <w:bottom w:val="double" w:sz="8" w:space="0" w:color="000000"/>
            </w:tcBorders>
            <w:shd w:fill="CCEEFF" w:val="clear"/>
            <w:tcMar>
              <w:bottom w:w="28" w:type="dxa"/>
            </w:tcMar>
            <w:vAlign w:val="bottom"/>
          </w:tcPr>
          <w:p>
            <w:pPr>
              <w:pStyle w:val="TableContents"/>
              <w:spacing w:before="0" w:after="0"/>
              <w:jc w:val="right"/>
              <w:rPr/>
            </w:pPr>
            <w:r>
              <w:rPr/>
              <w:t>100.0</w:t>
            </w:r>
          </w:p>
        </w:tc>
        <w:tc>
          <w:tcPr>
            <w:tcW w:w="215" w:type="dxa"/>
            <w:tcBorders/>
            <w:shd w:fill="CCEEFF" w:val="clear"/>
            <w:vAlign w:val="bottom"/>
          </w:tcPr>
          <w:p>
            <w:pPr>
              <w:pStyle w:val="TableContents"/>
              <w:spacing w:before="0" w:after="0"/>
              <w:rPr/>
            </w:pPr>
            <w:r>
              <w:rPr/>
              <w:t>%</w:t>
            </w:r>
          </w:p>
        </w:tc>
      </w:tr>
    </w:tbl>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40</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b w:val="false"/>
            <w:i/>
            <w:color w:val="000000"/>
            <w:sz w:val="16"/>
          </w:rPr>
          <w:t>Table of Contents</w:t>
        </w:r>
      </w:hyperlink>
    </w:p>
    <w:p>
      <w:pPr>
        <w:pStyle w:val="TextBody"/>
        <w:spacing w:before="0" w:after="0"/>
        <w:jc w:val="left"/>
        <w:rPr>
          <w:rFonts w:ascii="Times New Roman" w:hAnsi="Times New Roman"/>
          <w:b/>
          <w:i/>
          <w:color w:val="000000"/>
          <w:sz w:val="20"/>
        </w:rPr>
      </w:pPr>
      <w:r>
        <w:rPr>
          <w:rFonts w:ascii="Times New Roman" w:hAnsi="Times New Roman"/>
          <w:b/>
          <w:i/>
          <w:color w:val="000000"/>
          <w:sz w:val="20"/>
        </w:rPr>
        <w:t>Asset Quality</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Loans are considered delinquent when principal or interest payments are past due 30 days or more. Delinquent loans may remain on accrual status between 30 days and 90 days past due. Loans on which the accrual of interest has been discontinued are designated as nonaccrual loans. Typically, the accrual of interest on loans is discontinued when principal or interest payments are past due 90 days or when, in the opinion of management, there is a reasonable doubt as to collectability in the normal course of business. When loans are placed on nonaccrual status, all interest previously accrued but not collected is reversed against current period interest income. Income on nonaccrual loans is subsequently recognized only to the extent that cash is received and the loan’s principal balance is deemed collectible. Loans are restored to accrual status when loans become well-secured and management believes full collectability of principal and interest is probable.</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Loans that exhibit characteristics different from their pool characteristics are evaluated on an individual basis. Loans evaluated individually are not included in the collective ACL evaluation. Income from loans on nonaccrual status is recognized to the extent cash is received and when the loan’s principal balance is deemed collectible. Depending on a particular loan’s circumstances, we analyze loans for specific allowance based upon either the present value of expected future cash flows discounted at the loan’s effective interest rate, the loan’s observable market price, or the fair value of the collateral less estimated costs to sell if the loan is collateral dependent. A loan is considered collateral dependent when repayment of the loan is based solely on the liquidation of the collateral. Fair value, where possible, is determined by independent appraisals, typically on an annual basis. Between appraisal periods, the fair value may be adjusted based on specific events, such as if deterioration of quality of the collateral comes to our attention as part of our problem loan monitoring process, or if discussions with the borrower lead us to believe the last appraised value no longer reflects the actual market for the collateral. The specific allowance amount on a collateral-dependent loan is charged-off to the allowance if deemed not collectible and the impairment amount on a loan that is not collateral-dependent is set up as a specific reserve.</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Real estate we acquire as a result of foreclosure or by deed-in-lieu of foreclosure is classified as other real estate owned (“OREO”) until sold and is initially recorded at fair value less costs to sell when acquired, establishing a new cost basis.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Nonperforming loans include nonaccrual loans and loans past due 90 days or more. Nonperforming assets consist of nonperforming loans plus OREO.</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At March 31, 2023, our total nonaccrual loans were $5.1 million, or 0.18% of total loans held for investment, as compared to $5.8 million, or 0.21% of total loans held for investment, at December 31, 2022. These loans within this amount that exceeded $250 thousand were specifically analyzed and specific valuation allowances were established as necessary and included in the allowance for credit losses as of March 31, 2023 to cover any probable loss. There were not any significant changes in nonaccrual loans during the first quarter of 2022.</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Nonperforming loans were $7.6 million at March 31, 2023 and $7.8 million at December 31, 2022.</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Occasionally, the Company modifies loans to borrowers in financial distress by providing principal forgiveness, term extensions, an other than insignificant payment delay, or interest rate reduction. When principal forgiveness is provided, the amount of forgiveness is charged-off against the allowance for credit losses. Typically, one type of concession, such as term extension, is granted initially. If the borrower continues to experience financial difficulty, another concession, such as principal forgiveness, may be granted. In some cases, the Company provides multiple types of concessions on one loan. The Company closely monitors the performance of loans that are modified to borrowers experiencing financial difficulty to understand the effectiveness of its modification efforts. Upon the Company’s determination that a modified loan has subsequently been deemed to not be fully collectible, the uncollectible amount is written off. Therefore, the amortized cost basis of the loan is reduced by the uncollectible amount and the allowance for credit losses is adjusted by the same amount.</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If a borrower on a restructured accruing loan has demonstrated performance under the previous terms, is not experiencing financial difficulty and shows the capacity to continue to perform under the restructured terms, the loan will remain on accrual status. Otherwise, the loan will be placed on nonaccrual status until the borrower demonstrates a sustained period of performance, which generally requires six consecutive months of payments.</w:t>
      </w:r>
    </w:p>
    <w:p>
      <w:pPr>
        <w:pStyle w:val="TextBody"/>
        <w:spacing w:before="0" w:after="0"/>
        <w:jc w:val="left"/>
        <w:rPr/>
      </w:pPr>
      <w:r>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Securities Portfolio</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securities portfolio is the second largest component of the Company’s interest-earning assets, and the structure and composition of this portfolio is important to an analysis of the financial condition of the Company. The securities portfolio serves the following purposes: (i) it provides a source of pledged assets for securing certain deposits and borrowed funds, as may be required by law or by specific agreement with a depositor or lender; (ii) it provides liquidity to even out cash flows from the loan and deposit activities of customers; (iii) it can be used as an interest rate risk management tool, since it provides a large base of assets, the maturity and interest rate characteristics of which can be changed more readily than the loan portfolio to better match changes in the deposit base and other funding sources of the Company; and (iv) it is an alternative interest-earning asset when loan demand is weak or when deposits grow more rapidly than loans.</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41</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b w:val="false"/>
            <w:i/>
            <w:color w:val="000000"/>
            <w:sz w:val="16"/>
          </w:rPr>
          <w:t>Table of Contents</w:t>
        </w:r>
      </w:hyperlink>
    </w:p>
    <w:p>
      <w:pPr>
        <w:pStyle w:val="TextBody"/>
        <w:spacing w:before="0" w:after="0"/>
        <w:jc w:val="both"/>
        <w:rPr>
          <w:rFonts w:ascii="Times New Roman" w:hAnsi="Times New Roman"/>
          <w:color w:val="000000"/>
          <w:sz w:val="20"/>
        </w:rPr>
      </w:pPr>
      <w:r>
        <w:rPr>
          <w:rFonts w:ascii="Times New Roman" w:hAnsi="Times New Roman"/>
          <w:color w:val="000000"/>
          <w:sz w:val="20"/>
        </w:rPr>
        <w:t>The securities portfolio consists of securities classified as either held-to-maturity or available-for-sale. Securities consist primarily of state and municipal securities, mortgage-backed securities and U.S. government sponsored agency securities. We determine the appropriate classification at the time of purchase. All held-to-maturity securities are reported at amortized cost, adjusted for premiums and discounts that are recognized in interest income using the interest method over the period to maturity. All available-for-sale securities are reported at fair value.</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Total securities at March 31, 2023 were $698.6 million, representing a decrease of $3.1 million, or 0.4%, compared to $701.7 million at December 31, 2022. The decrease was primarily due to $10.8 million in maturities, prepayments and calls, partially offset by an $8.6 million increase in the unrealized gain/loss at March 31, 2023 as compared to December 31, 2022.</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Certain securities have fair values less than amortized cost and, therefore, contain unrealized losses. During the first quarter of 2023, the fair value of the Company’s available for sale securities increased by $8.6 million after declining $114.4 million during 2022. The decline was a result of the significant increase in interest rates noted during 2022. At March 31, 2023, the Company evaluated whether the decline in fair value has resulted from credit losses or other factors. Within this evaluation, management considers the extent to which fair value is less than amortized cost, any changes to the rating of the security by rating agency, and adverse conditions specifically related to the security, among other factors. Based on management’s evaluation no unrealized losses on securities were determined to be due to credit loss. Additionally, we anticipate full recovery of amortized cost with respect to these securities by maturity, or sooner in the event of a more favorable market interest rate environment. We do not intend to sell these securities and it is not probable that we will be required to sell them before recovery of the amortized cost basis, which may be at maturity, thus no losses have been recognized in the Company’s consolidated financial statements.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table sets forth certain information regarding contractual maturities and the weighted average yields of our investment securities as of the date presented. Expected maturities may differ from contractual maturities if borrowers have the right to call or prepay an obligation with or without call or prepayment penalties.</w:t>
      </w:r>
    </w:p>
    <w:p>
      <w:pPr>
        <w:pStyle w:val="TextBody"/>
        <w:spacing w:before="0" w:after="0"/>
        <w:jc w:val="left"/>
        <w:rPr/>
      </w:pPr>
      <w:r>
        <w:rPr/>
      </w:r>
    </w:p>
    <w:tbl>
      <w:tblPr>
        <w:tblW w:w="11621" w:type="dxa"/>
        <w:jc w:val="left"/>
        <w:tblInd w:w="0" w:type="dxa"/>
        <w:tblCellMar>
          <w:top w:w="0" w:type="dxa"/>
          <w:left w:w="0" w:type="dxa"/>
          <w:bottom w:w="0" w:type="dxa"/>
          <w:right w:w="0" w:type="dxa"/>
        </w:tblCellMar>
      </w:tblPr>
      <w:tblGrid>
        <w:gridCol w:w="1661"/>
        <w:gridCol w:w="60"/>
        <w:gridCol w:w="220"/>
        <w:gridCol w:w="880"/>
        <w:gridCol w:w="60"/>
        <w:gridCol w:w="60"/>
        <w:gridCol w:w="119"/>
        <w:gridCol w:w="876"/>
        <w:gridCol w:w="215"/>
        <w:gridCol w:w="60"/>
        <w:gridCol w:w="203"/>
        <w:gridCol w:w="897"/>
        <w:gridCol w:w="60"/>
        <w:gridCol w:w="60"/>
        <w:gridCol w:w="119"/>
        <w:gridCol w:w="876"/>
        <w:gridCol w:w="215"/>
        <w:gridCol w:w="60"/>
        <w:gridCol w:w="191"/>
        <w:gridCol w:w="909"/>
        <w:gridCol w:w="60"/>
        <w:gridCol w:w="60"/>
        <w:gridCol w:w="119"/>
        <w:gridCol w:w="876"/>
        <w:gridCol w:w="215"/>
        <w:gridCol w:w="60"/>
        <w:gridCol w:w="163"/>
        <w:gridCol w:w="937"/>
        <w:gridCol w:w="60"/>
        <w:gridCol w:w="60"/>
        <w:gridCol w:w="119"/>
        <w:gridCol w:w="876"/>
        <w:gridCol w:w="215"/>
      </w:tblGrid>
      <w:tr>
        <w:trPr/>
        <w:tc>
          <w:tcPr>
            <w:tcW w:w="166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685" w:type="dxa"/>
            <w:gridSpan w:val="30"/>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As of March 31, 2023</w:t>
            </w:r>
          </w:p>
        </w:tc>
        <w:tc>
          <w:tcPr>
            <w:tcW w:w="215" w:type="dxa"/>
            <w:tcBorders/>
            <w:shd w:fill="auto" w:val="clear"/>
            <w:vAlign w:val="bottom"/>
          </w:tcPr>
          <w:p>
            <w:pPr>
              <w:pStyle w:val="TableContents"/>
              <w:spacing w:before="0" w:after="283"/>
              <w:rPr/>
            </w:pPr>
            <w:r>
              <w:rPr/>
              <w:t> </w:t>
            </w:r>
          </w:p>
        </w:tc>
      </w:tr>
      <w:tr>
        <w:trPr/>
        <w:tc>
          <w:tcPr>
            <w:tcW w:w="166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15" w:type="dxa"/>
            <w:gridSpan w:val="6"/>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Due in One</w:t>
            </w:r>
          </w:p>
          <w:p>
            <w:pPr>
              <w:pStyle w:val="TableContents"/>
              <w:spacing w:before="0" w:after="0"/>
              <w:jc w:val="center"/>
              <w:rPr>
                <w:b/>
                <w:color w:val="000000"/>
              </w:rPr>
            </w:pPr>
            <w:r>
              <w:rPr>
                <w:b/>
                <w:color w:val="000000"/>
              </w:rPr>
              <w:t>Year or Less</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15" w:type="dxa"/>
            <w:gridSpan w:val="6"/>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Due after One Year</w:t>
            </w:r>
          </w:p>
          <w:p>
            <w:pPr>
              <w:pStyle w:val="TableContents"/>
              <w:spacing w:before="0" w:after="0"/>
              <w:jc w:val="center"/>
              <w:rPr>
                <w:b/>
                <w:color w:val="000000"/>
              </w:rPr>
            </w:pPr>
            <w:r>
              <w:rPr>
                <w:b/>
                <w:color w:val="000000"/>
              </w:rPr>
              <w:t>Through Five Years</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15" w:type="dxa"/>
            <w:gridSpan w:val="6"/>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Due after Five Years</w:t>
            </w:r>
          </w:p>
          <w:p>
            <w:pPr>
              <w:pStyle w:val="TableContents"/>
              <w:spacing w:before="0" w:after="0"/>
              <w:jc w:val="center"/>
              <w:rPr>
                <w:b/>
                <w:color w:val="000000"/>
              </w:rPr>
            </w:pPr>
            <w:r>
              <w:rPr>
                <w:b/>
                <w:color w:val="000000"/>
              </w:rPr>
              <w:t>Through Ten Years</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15" w:type="dxa"/>
            <w:gridSpan w:val="6"/>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Due after</w:t>
            </w:r>
          </w:p>
          <w:p>
            <w:pPr>
              <w:pStyle w:val="TableContents"/>
              <w:spacing w:before="0" w:after="0"/>
              <w:jc w:val="center"/>
              <w:rPr>
                <w:b/>
                <w:color w:val="000000"/>
              </w:rPr>
            </w:pPr>
            <w:r>
              <w:rPr>
                <w:b/>
                <w:color w:val="000000"/>
              </w:rPr>
              <w:t>Ten Years</w:t>
            </w:r>
          </w:p>
        </w:tc>
        <w:tc>
          <w:tcPr>
            <w:tcW w:w="215" w:type="dxa"/>
            <w:tcBorders/>
            <w:shd w:fill="auto" w:val="clear"/>
            <w:vAlign w:val="bottom"/>
          </w:tcPr>
          <w:p>
            <w:pPr>
              <w:pStyle w:val="TableContents"/>
              <w:spacing w:before="0" w:after="283"/>
              <w:rPr/>
            </w:pPr>
            <w:r>
              <w:rPr/>
              <w:t> </w:t>
            </w:r>
          </w:p>
        </w:tc>
      </w:tr>
      <w:tr>
        <w:trPr/>
        <w:tc>
          <w:tcPr>
            <w:tcW w:w="166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0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Amortized</w:t>
            </w:r>
          </w:p>
          <w:p>
            <w:pPr>
              <w:pStyle w:val="TableContents"/>
              <w:spacing w:before="0" w:after="0"/>
              <w:jc w:val="center"/>
              <w:rPr>
                <w:b/>
                <w:color w:val="000000"/>
              </w:rPr>
            </w:pPr>
            <w:r>
              <w:rPr>
                <w:b/>
                <w:color w:val="000000"/>
              </w:rPr>
              <w:t>Cost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95"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Weighted</w:t>
            </w:r>
          </w:p>
          <w:p>
            <w:pPr>
              <w:pStyle w:val="TableContents"/>
              <w:spacing w:before="0" w:after="0"/>
              <w:jc w:val="center"/>
              <w:rPr>
                <w:b/>
                <w:color w:val="000000"/>
              </w:rPr>
            </w:pPr>
            <w:r>
              <w:rPr>
                <w:b/>
                <w:color w:val="000000"/>
              </w:rPr>
              <w:t>Average</w:t>
            </w:r>
          </w:p>
          <w:p>
            <w:pPr>
              <w:pStyle w:val="TableContents"/>
              <w:spacing w:before="0" w:after="0"/>
              <w:jc w:val="center"/>
              <w:rPr>
                <w:b/>
                <w:color w:val="000000"/>
              </w:rPr>
            </w:pPr>
            <w:r>
              <w:rPr>
                <w:b/>
                <w:color w:val="000000"/>
              </w:rPr>
              <w:t>Yield</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0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Amortized</w:t>
            </w:r>
          </w:p>
          <w:p>
            <w:pPr>
              <w:pStyle w:val="TableContents"/>
              <w:spacing w:before="0" w:after="0"/>
              <w:jc w:val="center"/>
              <w:rPr>
                <w:b/>
                <w:color w:val="000000"/>
              </w:rPr>
            </w:pPr>
            <w:r>
              <w:rPr>
                <w:b/>
                <w:color w:val="000000"/>
              </w:rPr>
              <w:t>Cost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95"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Weighted</w:t>
            </w:r>
          </w:p>
          <w:p>
            <w:pPr>
              <w:pStyle w:val="TableContents"/>
              <w:spacing w:before="0" w:after="0"/>
              <w:jc w:val="center"/>
              <w:rPr>
                <w:b/>
                <w:color w:val="000000"/>
              </w:rPr>
            </w:pPr>
            <w:r>
              <w:rPr>
                <w:b/>
                <w:color w:val="000000"/>
              </w:rPr>
              <w:t>Average</w:t>
            </w:r>
          </w:p>
          <w:p>
            <w:pPr>
              <w:pStyle w:val="TableContents"/>
              <w:spacing w:before="0" w:after="0"/>
              <w:jc w:val="center"/>
              <w:rPr>
                <w:b/>
                <w:color w:val="000000"/>
              </w:rPr>
            </w:pPr>
            <w:r>
              <w:rPr>
                <w:b/>
                <w:color w:val="000000"/>
              </w:rPr>
              <w:t>Yield</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0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Amortized</w:t>
            </w:r>
          </w:p>
          <w:p>
            <w:pPr>
              <w:pStyle w:val="TableContents"/>
              <w:spacing w:before="0" w:after="0"/>
              <w:jc w:val="center"/>
              <w:rPr>
                <w:b/>
                <w:color w:val="000000"/>
              </w:rPr>
            </w:pPr>
            <w:r>
              <w:rPr>
                <w:b/>
                <w:color w:val="000000"/>
              </w:rPr>
              <w:t>Cost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95"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Weighted</w:t>
            </w:r>
          </w:p>
          <w:p>
            <w:pPr>
              <w:pStyle w:val="TableContents"/>
              <w:spacing w:before="0" w:after="0"/>
              <w:jc w:val="center"/>
              <w:rPr>
                <w:b/>
                <w:color w:val="000000"/>
              </w:rPr>
            </w:pPr>
            <w:r>
              <w:rPr>
                <w:b/>
                <w:color w:val="000000"/>
              </w:rPr>
              <w:t>Average</w:t>
            </w:r>
          </w:p>
          <w:p>
            <w:pPr>
              <w:pStyle w:val="TableContents"/>
              <w:spacing w:before="0" w:after="0"/>
              <w:jc w:val="center"/>
              <w:rPr>
                <w:b/>
                <w:color w:val="000000"/>
              </w:rPr>
            </w:pPr>
            <w:r>
              <w:rPr>
                <w:b/>
                <w:color w:val="000000"/>
              </w:rPr>
              <w:t>Yield</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0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Amortized</w:t>
            </w:r>
          </w:p>
          <w:p>
            <w:pPr>
              <w:pStyle w:val="TableContents"/>
              <w:spacing w:before="0" w:after="0"/>
              <w:jc w:val="center"/>
              <w:rPr>
                <w:b/>
                <w:color w:val="000000"/>
              </w:rPr>
            </w:pPr>
            <w:r>
              <w:rPr>
                <w:b/>
                <w:color w:val="000000"/>
              </w:rPr>
              <w:t>Cost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95"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Weighted</w:t>
            </w:r>
          </w:p>
          <w:p>
            <w:pPr>
              <w:pStyle w:val="TableContents"/>
              <w:spacing w:before="0" w:after="0"/>
              <w:jc w:val="center"/>
              <w:rPr>
                <w:b/>
                <w:color w:val="000000"/>
              </w:rPr>
            </w:pPr>
            <w:r>
              <w:rPr>
                <w:b/>
                <w:color w:val="000000"/>
              </w:rPr>
              <w:t>Average</w:t>
            </w:r>
          </w:p>
          <w:p>
            <w:pPr>
              <w:pStyle w:val="TableContents"/>
              <w:spacing w:before="0" w:after="0"/>
              <w:jc w:val="center"/>
              <w:rPr>
                <w:b/>
                <w:color w:val="000000"/>
              </w:rPr>
            </w:pPr>
            <w:r>
              <w:rPr>
                <w:b/>
                <w:color w:val="000000"/>
              </w:rPr>
              <w:t>Yield</w:t>
            </w:r>
          </w:p>
        </w:tc>
        <w:tc>
          <w:tcPr>
            <w:tcW w:w="215" w:type="dxa"/>
            <w:tcBorders/>
            <w:shd w:fill="auto" w:val="clear"/>
            <w:vAlign w:val="bottom"/>
          </w:tcPr>
          <w:p>
            <w:pPr>
              <w:pStyle w:val="TableContents"/>
              <w:spacing w:before="0" w:after="283"/>
              <w:rPr/>
            </w:pPr>
            <w:r>
              <w:rPr/>
              <w:t> </w:t>
            </w:r>
          </w:p>
        </w:tc>
      </w:tr>
      <w:tr>
        <w:trPr/>
        <w:tc>
          <w:tcPr>
            <w:tcW w:w="166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685" w:type="dxa"/>
            <w:gridSpan w:val="30"/>
            <w:tcBorders/>
            <w:shd w:fill="auto" w:val="clear"/>
            <w:vAlign w:val="bottom"/>
          </w:tcPr>
          <w:p>
            <w:pPr>
              <w:pStyle w:val="TableContents"/>
              <w:spacing w:before="0" w:after="0"/>
              <w:jc w:val="center"/>
              <w:rPr>
                <w:b/>
                <w:color w:val="000000"/>
              </w:rPr>
            </w:pPr>
            <w:r>
              <w:rPr>
                <w:b/>
                <w:color w:val="000000"/>
              </w:rPr>
              <w:t>(Dollars in thousands)</w:t>
            </w:r>
          </w:p>
        </w:tc>
        <w:tc>
          <w:tcPr>
            <w:tcW w:w="215" w:type="dxa"/>
            <w:tcBorders/>
            <w:shd w:fill="auto" w:val="clear"/>
            <w:vAlign w:val="bottom"/>
          </w:tcPr>
          <w:p>
            <w:pPr>
              <w:pStyle w:val="TableContents"/>
              <w:spacing w:before="0" w:after="283"/>
              <w:rPr/>
            </w:pPr>
            <w:r>
              <w:rPr/>
              <w:t> </w:t>
            </w:r>
          </w:p>
        </w:tc>
      </w:tr>
      <w:tr>
        <w:trPr/>
        <w:tc>
          <w:tcPr>
            <w:tcW w:w="1661" w:type="dxa"/>
            <w:tcBorders/>
            <w:shd w:fill="auto" w:val="clear"/>
            <w:vAlign w:val="bottom"/>
          </w:tcPr>
          <w:p>
            <w:pPr>
              <w:pStyle w:val="TableContents"/>
              <w:spacing w:before="0" w:after="0"/>
              <w:ind w:left="144" w:right="0" w:hanging="144"/>
              <w:rPr>
                <w:b/>
                <w:color w:val="000000"/>
              </w:rPr>
            </w:pPr>
            <w:r>
              <w:rPr>
                <w:b/>
                <w:color w:val="000000"/>
              </w:rPr>
              <w:t>Available-for-sale</w:t>
            </w:r>
          </w:p>
        </w:tc>
        <w:tc>
          <w:tcPr>
            <w:tcW w:w="60" w:type="dxa"/>
            <w:tcBorders/>
            <w:shd w:fill="auto" w:val="clear"/>
            <w:vAlign w:val="bottom"/>
          </w:tcPr>
          <w:p>
            <w:pPr>
              <w:pStyle w:val="TableContents"/>
              <w:spacing w:before="0" w:after="283"/>
              <w:rPr/>
            </w:pPr>
            <w:r>
              <w:rPr/>
              <w:t> </w:t>
            </w:r>
          </w:p>
        </w:tc>
        <w:tc>
          <w:tcPr>
            <w:tcW w:w="110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95" w:type="dxa"/>
            <w:gridSpan w:val="2"/>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0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95" w:type="dxa"/>
            <w:gridSpan w:val="2"/>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0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95" w:type="dxa"/>
            <w:gridSpan w:val="2"/>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0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95" w:type="dxa"/>
            <w:gridSpan w:val="2"/>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r>
      <w:tr>
        <w:trPr/>
        <w:tc>
          <w:tcPr>
            <w:tcW w:w="1661" w:type="dxa"/>
            <w:tcBorders/>
            <w:shd w:fill="CCEEFF" w:val="clear"/>
            <w:vAlign w:val="bottom"/>
          </w:tcPr>
          <w:p>
            <w:pPr>
              <w:pStyle w:val="TableContents"/>
              <w:spacing w:before="0" w:after="0"/>
              <w:ind w:left="324" w:right="0" w:hanging="144"/>
              <w:rPr>
                <w:color w:val="000000"/>
              </w:rPr>
            </w:pPr>
            <w:r>
              <w:rPr>
                <w:color w:val="000000"/>
              </w:rPr>
              <w:t>U.S. government and agencies</w:t>
            </w:r>
          </w:p>
        </w:tc>
        <w:tc>
          <w:tcPr>
            <w:tcW w:w="60"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0"/>
              <w:rPr/>
            </w:pPr>
            <w:r>
              <w:rPr/>
              <w:t>$</w:t>
            </w:r>
          </w:p>
        </w:tc>
        <w:tc>
          <w:tcPr>
            <w:tcW w:w="880"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0"/>
              <w:jc w:val="right"/>
              <w:rPr/>
            </w:pPr>
            <w:r>
              <w:rPr/>
              <w:t>—</w:t>
            </w:r>
          </w:p>
        </w:tc>
        <w:tc>
          <w:tcPr>
            <w:tcW w:w="21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0"/>
              <w:rPr/>
            </w:pPr>
            <w:r>
              <w:rPr/>
              <w:t>$</w:t>
            </w:r>
          </w:p>
        </w:tc>
        <w:tc>
          <w:tcPr>
            <w:tcW w:w="897"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0"/>
              <w:jc w:val="right"/>
              <w:rPr/>
            </w:pPr>
            <w:r>
              <w:rPr/>
              <w:t>—</w:t>
            </w:r>
          </w:p>
        </w:tc>
        <w:tc>
          <w:tcPr>
            <w:tcW w:w="21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0"/>
              <w:rPr/>
            </w:pPr>
            <w:r>
              <w:rPr/>
              <w:t>$</w:t>
            </w:r>
          </w:p>
        </w:tc>
        <w:tc>
          <w:tcPr>
            <w:tcW w:w="909"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0"/>
              <w:jc w:val="right"/>
              <w:rPr/>
            </w:pPr>
            <w:r>
              <w:rPr/>
              <w:t>—</w:t>
            </w:r>
          </w:p>
        </w:tc>
        <w:tc>
          <w:tcPr>
            <w:tcW w:w="21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0"/>
              <w:rPr/>
            </w:pPr>
            <w:r>
              <w:rPr/>
              <w:t>$</w:t>
            </w:r>
          </w:p>
        </w:tc>
        <w:tc>
          <w:tcPr>
            <w:tcW w:w="937"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0"/>
              <w:jc w:val="right"/>
              <w:rPr/>
            </w:pPr>
            <w:r>
              <w:rPr/>
              <w:t>—</w:t>
            </w:r>
          </w:p>
        </w:tc>
        <w:tc>
          <w:tcPr>
            <w:tcW w:w="215" w:type="dxa"/>
            <w:tcBorders/>
            <w:shd w:fill="CCEEFF" w:val="clear"/>
            <w:vAlign w:val="bottom"/>
          </w:tcPr>
          <w:p>
            <w:pPr>
              <w:pStyle w:val="TableContents"/>
              <w:spacing w:before="0" w:after="0"/>
              <w:rPr/>
            </w:pPr>
            <w:r>
              <w:rPr/>
              <w:t>%</w:t>
            </w:r>
          </w:p>
        </w:tc>
      </w:tr>
      <w:tr>
        <w:trPr/>
        <w:tc>
          <w:tcPr>
            <w:tcW w:w="1661" w:type="dxa"/>
            <w:tcBorders/>
            <w:shd w:fill="auto" w:val="clear"/>
            <w:vAlign w:val="bottom"/>
          </w:tcPr>
          <w:p>
            <w:pPr>
              <w:pStyle w:val="TableContents"/>
              <w:spacing w:before="0" w:after="0"/>
              <w:ind w:left="324" w:right="0" w:hanging="144"/>
              <w:rPr>
                <w:color w:val="000000"/>
              </w:rPr>
            </w:pPr>
            <w:r>
              <w:rPr>
                <w:color w:val="000000"/>
              </w:rPr>
              <w:t>State and municipal</w:t>
            </w:r>
          </w:p>
        </w:tc>
        <w:tc>
          <w:tcPr>
            <w:tcW w:w="60"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880" w:type="dxa"/>
            <w:tcBorders/>
            <w:shd w:fill="auto" w:val="clear"/>
            <w:vAlign w:val="bottom"/>
          </w:tcPr>
          <w:p>
            <w:pPr>
              <w:pStyle w:val="TableContents"/>
              <w:spacing w:before="0" w:after="0"/>
              <w:jc w:val="right"/>
              <w:rPr/>
            </w:pPr>
            <w:r>
              <w:rPr/>
              <w:t>3,897</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0"/>
              <w:jc w:val="right"/>
              <w:rPr/>
            </w:pPr>
            <w:r>
              <w:rPr/>
              <w:t>3.16</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897" w:type="dxa"/>
            <w:tcBorders/>
            <w:shd w:fill="auto" w:val="clear"/>
            <w:vAlign w:val="bottom"/>
          </w:tcPr>
          <w:p>
            <w:pPr>
              <w:pStyle w:val="TableContents"/>
              <w:spacing w:before="0" w:after="0"/>
              <w:jc w:val="right"/>
              <w:rPr/>
            </w:pPr>
            <w:r>
              <w:rPr/>
              <w:t>9,454</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0"/>
              <w:jc w:val="right"/>
              <w:rPr/>
            </w:pPr>
            <w:r>
              <w:rPr/>
              <w:t>2.01</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909" w:type="dxa"/>
            <w:tcBorders/>
            <w:shd w:fill="auto" w:val="clear"/>
            <w:vAlign w:val="bottom"/>
          </w:tcPr>
          <w:p>
            <w:pPr>
              <w:pStyle w:val="TableContents"/>
              <w:spacing w:before="0" w:after="0"/>
              <w:jc w:val="right"/>
              <w:rPr/>
            </w:pPr>
            <w:r>
              <w:rPr/>
              <w:t>5,901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0"/>
              <w:jc w:val="right"/>
              <w:rPr/>
            </w:pPr>
            <w:r>
              <w:rPr/>
              <w:t>2.19</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937" w:type="dxa"/>
            <w:tcBorders/>
            <w:shd w:fill="auto" w:val="clear"/>
            <w:vAlign w:val="bottom"/>
          </w:tcPr>
          <w:p>
            <w:pPr>
              <w:pStyle w:val="TableContents"/>
              <w:spacing w:before="0" w:after="0"/>
              <w:jc w:val="right"/>
              <w:rPr/>
            </w:pPr>
            <w:r>
              <w:rPr/>
              <w:t>239,323</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0"/>
              <w:jc w:val="right"/>
              <w:rPr/>
            </w:pPr>
            <w:r>
              <w:rPr/>
              <w:t>2.25</w:t>
            </w:r>
          </w:p>
        </w:tc>
        <w:tc>
          <w:tcPr>
            <w:tcW w:w="215" w:type="dxa"/>
            <w:tcBorders/>
            <w:shd w:fill="auto" w:val="clear"/>
            <w:vAlign w:val="bottom"/>
          </w:tcPr>
          <w:p>
            <w:pPr>
              <w:pStyle w:val="TableContents"/>
              <w:spacing w:before="0" w:after="283"/>
              <w:rPr/>
            </w:pPr>
            <w:r>
              <w:rPr/>
              <w:t> </w:t>
            </w:r>
          </w:p>
        </w:tc>
      </w:tr>
      <w:tr>
        <w:trPr/>
        <w:tc>
          <w:tcPr>
            <w:tcW w:w="1661" w:type="dxa"/>
            <w:tcBorders/>
            <w:shd w:fill="CCEEFF" w:val="clear"/>
            <w:vAlign w:val="bottom"/>
          </w:tcPr>
          <w:p>
            <w:pPr>
              <w:pStyle w:val="TableContents"/>
              <w:spacing w:before="0" w:after="0"/>
              <w:ind w:left="324" w:right="0" w:hanging="144"/>
              <w:rPr>
                <w:color w:val="000000"/>
              </w:rPr>
            </w:pPr>
            <w:r>
              <w:rPr>
                <w:color w:val="000000"/>
              </w:rPr>
              <w:t>Residential mortgage-backed securities</w:t>
            </w:r>
          </w:p>
        </w:tc>
        <w:tc>
          <w:tcPr>
            <w:tcW w:w="60"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880" w:type="dxa"/>
            <w:tcBorders/>
            <w:shd w:fill="CCEEFF" w:val="clear"/>
            <w:vAlign w:val="bottom"/>
          </w:tcPr>
          <w:p>
            <w:pPr>
              <w:pStyle w:val="TableContents"/>
              <w:spacing w:before="0" w:after="0"/>
              <w:jc w:val="right"/>
              <w:rPr/>
            </w:pPr>
            <w:r>
              <w:rPr/>
              <w:t>58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0"/>
              <w:jc w:val="right"/>
              <w:rPr/>
            </w:pPr>
            <w:r>
              <w:rPr/>
              <w:t>1.34</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897" w:type="dxa"/>
            <w:tcBorders/>
            <w:shd w:fill="CCEEFF" w:val="clear"/>
            <w:vAlign w:val="bottom"/>
          </w:tcPr>
          <w:p>
            <w:pPr>
              <w:pStyle w:val="TableContents"/>
              <w:spacing w:before="0" w:after="0"/>
              <w:jc w:val="right"/>
              <w:rPr/>
            </w:pPr>
            <w:r>
              <w:rPr/>
              <w:t>2,842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0"/>
              <w:jc w:val="right"/>
              <w:rPr/>
            </w:pPr>
            <w:r>
              <w:rPr/>
              <w:t>1.89</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909" w:type="dxa"/>
            <w:tcBorders/>
            <w:shd w:fill="CCEEFF" w:val="clear"/>
            <w:vAlign w:val="bottom"/>
          </w:tcPr>
          <w:p>
            <w:pPr>
              <w:pStyle w:val="TableContents"/>
              <w:spacing w:before="0" w:after="0"/>
              <w:jc w:val="right"/>
              <w:rPr/>
            </w:pPr>
            <w:r>
              <w:rPr/>
              <w:t>3,551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0"/>
              <w:jc w:val="right"/>
              <w:rPr/>
            </w:pPr>
            <w:r>
              <w:rPr/>
              <w:t>2.43</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937" w:type="dxa"/>
            <w:tcBorders/>
            <w:shd w:fill="CCEEFF" w:val="clear"/>
            <w:vAlign w:val="bottom"/>
          </w:tcPr>
          <w:p>
            <w:pPr>
              <w:pStyle w:val="TableContents"/>
              <w:spacing w:before="0" w:after="0"/>
              <w:jc w:val="right"/>
              <w:rPr/>
            </w:pPr>
            <w:r>
              <w:rPr/>
              <w:t>373,557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0"/>
              <w:jc w:val="right"/>
              <w:rPr/>
            </w:pPr>
            <w:r>
              <w:rPr/>
              <w:t>2.22</w:t>
            </w:r>
          </w:p>
        </w:tc>
        <w:tc>
          <w:tcPr>
            <w:tcW w:w="215" w:type="dxa"/>
            <w:tcBorders/>
            <w:shd w:fill="CCEEFF" w:val="clear"/>
            <w:vAlign w:val="bottom"/>
          </w:tcPr>
          <w:p>
            <w:pPr>
              <w:pStyle w:val="TableContents"/>
              <w:spacing w:before="0" w:after="283"/>
              <w:rPr/>
            </w:pPr>
            <w:r>
              <w:rPr/>
              <w:t> </w:t>
            </w:r>
          </w:p>
        </w:tc>
      </w:tr>
      <w:tr>
        <w:trPr/>
        <w:tc>
          <w:tcPr>
            <w:tcW w:w="1661" w:type="dxa"/>
            <w:tcBorders/>
            <w:shd w:fill="auto" w:val="clear"/>
            <w:vAlign w:val="bottom"/>
          </w:tcPr>
          <w:p>
            <w:pPr>
              <w:pStyle w:val="TableContents"/>
              <w:spacing w:before="0" w:after="0"/>
              <w:ind w:left="324" w:right="0" w:hanging="144"/>
              <w:rPr>
                <w:color w:val="000000"/>
              </w:rPr>
            </w:pPr>
            <w:r>
              <w:rPr>
                <w:color w:val="000000"/>
              </w:rPr>
              <w:t>Commercial mortgage-backed securities</w:t>
            </w:r>
          </w:p>
        </w:tc>
        <w:tc>
          <w:tcPr>
            <w:tcW w:w="60"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880" w:type="dxa"/>
            <w:tcBorders/>
            <w:shd w:fill="auto" w:val="clear"/>
            <w:vAlign w:val="bottom"/>
          </w:tcPr>
          <w:p>
            <w:pPr>
              <w:pStyle w:val="TableContents"/>
              <w:spacing w:before="0" w:after="0"/>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0"/>
              <w:jc w:val="right"/>
              <w:rPr/>
            </w:pPr>
            <w:r>
              <w:rPr/>
              <w:t>—</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897" w:type="dxa"/>
            <w:tcBorders/>
            <w:shd w:fill="auto" w:val="clear"/>
            <w:vAlign w:val="bottom"/>
          </w:tcPr>
          <w:p>
            <w:pPr>
              <w:pStyle w:val="TableContents"/>
              <w:spacing w:before="0" w:after="0"/>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0"/>
              <w:jc w:val="right"/>
              <w:rPr/>
            </w:pPr>
            <w:r>
              <w:rPr/>
              <w:t>—</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909" w:type="dxa"/>
            <w:tcBorders/>
            <w:shd w:fill="auto" w:val="clear"/>
            <w:vAlign w:val="bottom"/>
          </w:tcPr>
          <w:p>
            <w:pPr>
              <w:pStyle w:val="TableContents"/>
              <w:spacing w:before="0" w:after="0"/>
              <w:jc w:val="right"/>
              <w:rPr/>
            </w:pPr>
            <w:r>
              <w:rPr/>
              <w:t>48,843</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0"/>
              <w:jc w:val="right"/>
              <w:rPr/>
            </w:pPr>
            <w:r>
              <w:rPr/>
              <w:t>2.22</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937" w:type="dxa"/>
            <w:tcBorders/>
            <w:shd w:fill="auto" w:val="clear"/>
            <w:vAlign w:val="bottom"/>
          </w:tcPr>
          <w:p>
            <w:pPr>
              <w:pStyle w:val="TableContents"/>
              <w:spacing w:before="0" w:after="0"/>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0"/>
              <w:jc w:val="right"/>
              <w:rPr/>
            </w:pPr>
            <w:r>
              <w:rPr/>
              <w:t>—</w:t>
            </w:r>
          </w:p>
        </w:tc>
        <w:tc>
          <w:tcPr>
            <w:tcW w:w="215" w:type="dxa"/>
            <w:tcBorders/>
            <w:shd w:fill="auto" w:val="clear"/>
            <w:vAlign w:val="bottom"/>
          </w:tcPr>
          <w:p>
            <w:pPr>
              <w:pStyle w:val="TableContents"/>
              <w:spacing w:before="0" w:after="283"/>
              <w:rPr/>
            </w:pPr>
            <w:r>
              <w:rPr/>
              <w:t> </w:t>
            </w:r>
          </w:p>
        </w:tc>
      </w:tr>
      <w:tr>
        <w:trPr/>
        <w:tc>
          <w:tcPr>
            <w:tcW w:w="1661" w:type="dxa"/>
            <w:tcBorders/>
            <w:shd w:fill="CCEEFF" w:val="clear"/>
            <w:vAlign w:val="bottom"/>
          </w:tcPr>
          <w:p>
            <w:pPr>
              <w:pStyle w:val="TableContents"/>
              <w:spacing w:before="0" w:after="0"/>
              <w:ind w:left="324" w:right="0" w:hanging="144"/>
              <w:rPr>
                <w:color w:val="000000"/>
              </w:rPr>
            </w:pPr>
            <w:r>
              <w:rPr>
                <w:color w:val="000000"/>
              </w:rPr>
              <w:t>Commercial collateralized mortgage obligations</w:t>
            </w:r>
          </w:p>
        </w:tc>
        <w:tc>
          <w:tcPr>
            <w:tcW w:w="60"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880"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0"/>
              <w:jc w:val="right"/>
              <w:rPr/>
            </w:pPr>
            <w:r>
              <w:rPr/>
              <w:t>—</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897"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0"/>
              <w:jc w:val="right"/>
              <w:rPr/>
            </w:pPr>
            <w:r>
              <w:rPr/>
              <w:t>—</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909" w:type="dxa"/>
            <w:tcBorders/>
            <w:shd w:fill="CCEEFF" w:val="clear"/>
            <w:vAlign w:val="bottom"/>
          </w:tcPr>
          <w:p>
            <w:pPr>
              <w:pStyle w:val="TableContents"/>
              <w:spacing w:before="0" w:after="0"/>
              <w:jc w:val="right"/>
              <w:rPr/>
            </w:pPr>
            <w:r>
              <w:rPr/>
              <w:t>73,024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0"/>
              <w:jc w:val="right"/>
              <w:rPr/>
            </w:pPr>
            <w:r>
              <w:rPr/>
              <w:t>5.32</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937"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0"/>
              <w:jc w:val="right"/>
              <w:rPr/>
            </w:pPr>
            <w:r>
              <w:rPr/>
              <w:t>—</w:t>
            </w:r>
          </w:p>
        </w:tc>
        <w:tc>
          <w:tcPr>
            <w:tcW w:w="215" w:type="dxa"/>
            <w:tcBorders/>
            <w:shd w:fill="CCEEFF" w:val="clear"/>
            <w:vAlign w:val="bottom"/>
          </w:tcPr>
          <w:p>
            <w:pPr>
              <w:pStyle w:val="TableContents"/>
              <w:spacing w:before="0" w:after="283"/>
              <w:rPr/>
            </w:pPr>
            <w:r>
              <w:rPr/>
              <w:t> </w:t>
            </w:r>
          </w:p>
        </w:tc>
      </w:tr>
      <w:tr>
        <w:trPr/>
        <w:tc>
          <w:tcPr>
            <w:tcW w:w="1661" w:type="dxa"/>
            <w:tcBorders/>
            <w:shd w:fill="auto" w:val="clear"/>
            <w:vAlign w:val="bottom"/>
          </w:tcPr>
          <w:p>
            <w:pPr>
              <w:pStyle w:val="TableContents"/>
              <w:spacing w:before="0" w:after="0"/>
              <w:ind w:left="324" w:right="0" w:hanging="144"/>
              <w:rPr>
                <w:color w:val="000000"/>
              </w:rPr>
            </w:pPr>
            <w:r>
              <w:rPr>
                <w:color w:val="000000"/>
              </w:rPr>
              <w:t>Asset-backed and other amortizing securities</w:t>
            </w:r>
          </w:p>
        </w:tc>
        <w:tc>
          <w:tcPr>
            <w:tcW w:w="60"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880" w:type="dxa"/>
            <w:tcBorders/>
            <w:shd w:fill="auto" w:val="clear"/>
            <w:vAlign w:val="bottom"/>
          </w:tcPr>
          <w:p>
            <w:pPr>
              <w:pStyle w:val="TableContents"/>
              <w:spacing w:before="0" w:after="0"/>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0"/>
              <w:jc w:val="right"/>
              <w:rPr/>
            </w:pPr>
            <w:r>
              <w:rPr/>
              <w:t>—</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897" w:type="dxa"/>
            <w:tcBorders/>
            <w:shd w:fill="auto" w:val="clear"/>
            <w:vAlign w:val="bottom"/>
          </w:tcPr>
          <w:p>
            <w:pPr>
              <w:pStyle w:val="TableContents"/>
              <w:spacing w:before="0" w:after="0"/>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0"/>
              <w:jc w:val="right"/>
              <w:rPr/>
            </w:pPr>
            <w:r>
              <w:rPr/>
              <w:t>—</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909" w:type="dxa"/>
            <w:tcBorders/>
            <w:shd w:fill="auto" w:val="clear"/>
            <w:vAlign w:val="bottom"/>
          </w:tcPr>
          <w:p>
            <w:pPr>
              <w:pStyle w:val="TableContents"/>
              <w:spacing w:before="0" w:after="0"/>
              <w:jc w:val="right"/>
              <w:rPr/>
            </w:pPr>
            <w:r>
              <w:rPr/>
              <w:t>1,581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0"/>
              <w:jc w:val="right"/>
              <w:rPr/>
            </w:pPr>
            <w:r>
              <w:rPr/>
              <w:t>2.94</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937" w:type="dxa"/>
            <w:tcBorders/>
            <w:shd w:fill="auto" w:val="clear"/>
            <w:vAlign w:val="bottom"/>
          </w:tcPr>
          <w:p>
            <w:pPr>
              <w:pStyle w:val="TableContents"/>
              <w:spacing w:before="0" w:after="0"/>
              <w:jc w:val="right"/>
              <w:rPr/>
            </w:pPr>
            <w:r>
              <w:rPr/>
              <w:t>18,682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0"/>
              <w:jc w:val="right"/>
              <w:rPr/>
            </w:pPr>
            <w:r>
              <w:rPr/>
              <w:t>2.81</w:t>
            </w:r>
          </w:p>
        </w:tc>
        <w:tc>
          <w:tcPr>
            <w:tcW w:w="215" w:type="dxa"/>
            <w:tcBorders/>
            <w:shd w:fill="auto" w:val="clear"/>
            <w:vAlign w:val="bottom"/>
          </w:tcPr>
          <w:p>
            <w:pPr>
              <w:pStyle w:val="TableContents"/>
              <w:spacing w:before="0" w:after="283"/>
              <w:rPr/>
            </w:pPr>
            <w:r>
              <w:rPr/>
              <w:t> </w:t>
            </w:r>
          </w:p>
        </w:tc>
      </w:tr>
      <w:tr>
        <w:trPr/>
        <w:tc>
          <w:tcPr>
            <w:tcW w:w="1661" w:type="dxa"/>
            <w:tcBorders/>
            <w:shd w:fill="CCEEFF" w:val="clear"/>
            <w:vAlign w:val="bottom"/>
          </w:tcPr>
          <w:p>
            <w:pPr>
              <w:pStyle w:val="TableContents"/>
              <w:spacing w:before="0" w:after="0"/>
              <w:ind w:left="324" w:right="0" w:hanging="144"/>
              <w:rPr>
                <w:color w:val="000000"/>
              </w:rPr>
            </w:pPr>
            <w:r>
              <w:rPr>
                <w:color w:val="000000"/>
              </w:rPr>
              <w:t>Other securities</w:t>
            </w:r>
          </w:p>
        </w:tc>
        <w:tc>
          <w:tcPr>
            <w:tcW w:w="60" w:type="dxa"/>
            <w:tcBorders/>
            <w:shd w:fill="CCEEFF" w:val="clear"/>
            <w:vAlign w:val="bottom"/>
          </w:tcPr>
          <w:p>
            <w:pPr>
              <w:pStyle w:val="TableContents"/>
              <w:spacing w:before="0" w:after="283"/>
              <w:rPr/>
            </w:pPr>
            <w:r>
              <w:rPr/>
              <w:t> </w:t>
            </w:r>
          </w:p>
        </w:tc>
        <w:tc>
          <w:tcPr>
            <w:tcW w:w="22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880" w:type="dxa"/>
            <w:tcBorders>
              <w:bottom w:val="single" w:sz="12" w:space="0" w:color="000000"/>
            </w:tcBorders>
            <w:shd w:fill="CCEEFF" w:val="clear"/>
            <w:tcMar>
              <w:bottom w:w="28" w:type="dxa"/>
            </w:tcM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9" w:type="dxa"/>
            <w:tcBorders>
              <w:bottom w:val="single" w:sz="12" w:space="0" w:color="000000"/>
            </w:tcBorders>
            <w:shd w:fill="CCEEFF" w:val="clear"/>
            <w:tcMar>
              <w:bottom w:w="28" w:type="dxa"/>
            </w:tcMar>
            <w:vAlign w:val="bottom"/>
          </w:tcPr>
          <w:p>
            <w:pPr>
              <w:pStyle w:val="TableContents"/>
              <w:spacing w:before="0" w:after="283"/>
              <w:rPr/>
            </w:pPr>
            <w:r>
              <w:rPr/>
              <w:t> </w:t>
            </w:r>
          </w:p>
        </w:tc>
        <w:tc>
          <w:tcPr>
            <w:tcW w:w="876" w:type="dxa"/>
            <w:tcBorders>
              <w:bottom w:val="single" w:sz="12" w:space="0" w:color="000000"/>
            </w:tcBorders>
            <w:shd w:fill="CCEEFF" w:val="clear"/>
            <w:tcMar>
              <w:bottom w:w="28" w:type="dxa"/>
            </w:tcMar>
            <w:vAlign w:val="bottom"/>
          </w:tcPr>
          <w:p>
            <w:pPr>
              <w:pStyle w:val="TableContents"/>
              <w:spacing w:before="0" w:after="0"/>
              <w:jc w:val="right"/>
              <w:rPr/>
            </w:pPr>
            <w:r>
              <w:rPr/>
              <w:t>—</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3" w:type="dxa"/>
            <w:tcBorders>
              <w:bottom w:val="single" w:sz="12" w:space="0" w:color="000000"/>
            </w:tcBorders>
            <w:shd w:fill="CCEEFF" w:val="clear"/>
            <w:tcMar>
              <w:bottom w:w="28" w:type="dxa"/>
            </w:tcMar>
            <w:vAlign w:val="bottom"/>
          </w:tcPr>
          <w:p>
            <w:pPr>
              <w:pStyle w:val="TableContents"/>
              <w:spacing w:before="0" w:after="283"/>
              <w:rPr/>
            </w:pPr>
            <w:r>
              <w:rPr/>
              <w:t> </w:t>
            </w:r>
          </w:p>
        </w:tc>
        <w:tc>
          <w:tcPr>
            <w:tcW w:w="897" w:type="dxa"/>
            <w:tcBorders>
              <w:bottom w:val="single" w:sz="12" w:space="0" w:color="000000"/>
            </w:tcBorders>
            <w:shd w:fill="CCEEFF" w:val="clear"/>
            <w:tcMar>
              <w:bottom w:w="28" w:type="dxa"/>
            </w:tcM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9" w:type="dxa"/>
            <w:tcBorders>
              <w:bottom w:val="single" w:sz="12" w:space="0" w:color="000000"/>
            </w:tcBorders>
            <w:shd w:fill="CCEEFF" w:val="clear"/>
            <w:tcMar>
              <w:bottom w:w="28" w:type="dxa"/>
            </w:tcMar>
            <w:vAlign w:val="bottom"/>
          </w:tcPr>
          <w:p>
            <w:pPr>
              <w:pStyle w:val="TableContents"/>
              <w:spacing w:before="0" w:after="283"/>
              <w:rPr/>
            </w:pPr>
            <w:r>
              <w:rPr/>
              <w:t> </w:t>
            </w:r>
          </w:p>
        </w:tc>
        <w:tc>
          <w:tcPr>
            <w:tcW w:w="876" w:type="dxa"/>
            <w:tcBorders>
              <w:bottom w:val="single" w:sz="12" w:space="0" w:color="000000"/>
            </w:tcBorders>
            <w:shd w:fill="CCEEFF" w:val="clear"/>
            <w:tcMar>
              <w:bottom w:w="28" w:type="dxa"/>
            </w:tcMar>
            <w:vAlign w:val="bottom"/>
          </w:tcPr>
          <w:p>
            <w:pPr>
              <w:pStyle w:val="TableContents"/>
              <w:spacing w:before="0" w:after="0"/>
              <w:jc w:val="right"/>
              <w:rPr/>
            </w:pPr>
            <w:r>
              <w:rPr/>
              <w:t>—</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91" w:type="dxa"/>
            <w:tcBorders>
              <w:bottom w:val="single" w:sz="12" w:space="0" w:color="000000"/>
            </w:tcBorders>
            <w:shd w:fill="CCEEFF" w:val="clear"/>
            <w:tcMar>
              <w:bottom w:w="28" w:type="dxa"/>
            </w:tcMar>
            <w:vAlign w:val="bottom"/>
          </w:tcPr>
          <w:p>
            <w:pPr>
              <w:pStyle w:val="TableContents"/>
              <w:spacing w:before="0" w:after="283"/>
              <w:rPr/>
            </w:pPr>
            <w:r>
              <w:rPr/>
              <w:t> </w:t>
            </w:r>
          </w:p>
        </w:tc>
        <w:tc>
          <w:tcPr>
            <w:tcW w:w="909" w:type="dxa"/>
            <w:tcBorders>
              <w:bottom w:val="single" w:sz="12" w:space="0" w:color="000000"/>
            </w:tcBorders>
            <w:shd w:fill="CCEEFF" w:val="clear"/>
            <w:tcMar>
              <w:bottom w:w="28" w:type="dxa"/>
            </w:tcMar>
            <w:vAlign w:val="bottom"/>
          </w:tcPr>
          <w:p>
            <w:pPr>
              <w:pStyle w:val="TableContents"/>
              <w:spacing w:before="0" w:after="0"/>
              <w:jc w:val="right"/>
              <w:rPr/>
            </w:pPr>
            <w:r>
              <w:rPr/>
              <w:t>12,000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9" w:type="dxa"/>
            <w:tcBorders>
              <w:bottom w:val="single" w:sz="12" w:space="0" w:color="000000"/>
            </w:tcBorders>
            <w:shd w:fill="CCEEFF" w:val="clear"/>
            <w:tcMar>
              <w:bottom w:w="28" w:type="dxa"/>
            </w:tcMar>
            <w:vAlign w:val="bottom"/>
          </w:tcPr>
          <w:p>
            <w:pPr>
              <w:pStyle w:val="TableContents"/>
              <w:spacing w:before="0" w:after="283"/>
              <w:rPr/>
            </w:pPr>
            <w:r>
              <w:rPr/>
              <w:t> </w:t>
            </w:r>
          </w:p>
        </w:tc>
        <w:tc>
          <w:tcPr>
            <w:tcW w:w="876" w:type="dxa"/>
            <w:tcBorders>
              <w:bottom w:val="single" w:sz="12" w:space="0" w:color="000000"/>
            </w:tcBorders>
            <w:shd w:fill="CCEEFF" w:val="clear"/>
            <w:tcMar>
              <w:bottom w:w="28" w:type="dxa"/>
            </w:tcMar>
            <w:vAlign w:val="bottom"/>
          </w:tcPr>
          <w:p>
            <w:pPr>
              <w:pStyle w:val="TableContents"/>
              <w:spacing w:before="0" w:after="0"/>
              <w:jc w:val="right"/>
              <w:rPr/>
            </w:pPr>
            <w:r>
              <w:rPr/>
              <w:t>4.47</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63" w:type="dxa"/>
            <w:tcBorders>
              <w:bottom w:val="single" w:sz="12" w:space="0" w:color="000000"/>
            </w:tcBorders>
            <w:shd w:fill="CCEEFF" w:val="clear"/>
            <w:tcMar>
              <w:bottom w:w="28" w:type="dxa"/>
            </w:tcMar>
            <w:vAlign w:val="bottom"/>
          </w:tcPr>
          <w:p>
            <w:pPr>
              <w:pStyle w:val="TableContents"/>
              <w:spacing w:before="0" w:after="283"/>
              <w:rPr/>
            </w:pPr>
            <w:r>
              <w:rPr/>
              <w:t> </w:t>
            </w:r>
          </w:p>
        </w:tc>
        <w:tc>
          <w:tcPr>
            <w:tcW w:w="937" w:type="dxa"/>
            <w:tcBorders>
              <w:bottom w:val="single" w:sz="12" w:space="0" w:color="000000"/>
            </w:tcBorders>
            <w:shd w:fill="CCEEFF" w:val="clear"/>
            <w:tcMar>
              <w:bottom w:w="28" w:type="dxa"/>
            </w:tcM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9" w:type="dxa"/>
            <w:tcBorders>
              <w:bottom w:val="single" w:sz="12" w:space="0" w:color="000000"/>
            </w:tcBorders>
            <w:shd w:fill="CCEEFF" w:val="clear"/>
            <w:tcMar>
              <w:bottom w:w="28" w:type="dxa"/>
            </w:tcMar>
            <w:vAlign w:val="bottom"/>
          </w:tcPr>
          <w:p>
            <w:pPr>
              <w:pStyle w:val="TableContents"/>
              <w:spacing w:before="0" w:after="283"/>
              <w:rPr/>
            </w:pPr>
            <w:r>
              <w:rPr/>
              <w:t> </w:t>
            </w:r>
          </w:p>
        </w:tc>
        <w:tc>
          <w:tcPr>
            <w:tcW w:w="876" w:type="dxa"/>
            <w:tcBorders>
              <w:bottom w:val="single" w:sz="12" w:space="0" w:color="000000"/>
            </w:tcBorders>
            <w:shd w:fill="CCEEFF" w:val="clear"/>
            <w:tcMar>
              <w:bottom w:w="28" w:type="dxa"/>
            </w:tcMar>
            <w:vAlign w:val="bottom"/>
          </w:tcPr>
          <w:p>
            <w:pPr>
              <w:pStyle w:val="TableContents"/>
              <w:spacing w:before="0" w:after="0"/>
              <w:jc w:val="right"/>
              <w:rPr/>
            </w:pPr>
            <w:r>
              <w:rPr/>
              <w:t>—</w:t>
            </w:r>
          </w:p>
        </w:tc>
        <w:tc>
          <w:tcPr>
            <w:tcW w:w="215" w:type="dxa"/>
            <w:tcBorders/>
            <w:shd w:fill="CCEEFF" w:val="clear"/>
            <w:vAlign w:val="bottom"/>
          </w:tcPr>
          <w:p>
            <w:pPr>
              <w:pStyle w:val="TableContents"/>
              <w:spacing w:before="0" w:after="283"/>
              <w:rPr/>
            </w:pPr>
            <w:r>
              <w:rPr/>
              <w:t> </w:t>
            </w:r>
          </w:p>
        </w:tc>
      </w:tr>
      <w:tr>
        <w:trPr/>
        <w:tc>
          <w:tcPr>
            <w:tcW w:w="1661" w:type="dxa"/>
            <w:tcBorders/>
            <w:shd w:fill="auto" w:val="clear"/>
            <w:vAlign w:val="bottom"/>
          </w:tcPr>
          <w:p>
            <w:pPr>
              <w:pStyle w:val="TableContents"/>
              <w:spacing w:before="0" w:after="0"/>
              <w:ind w:left="504" w:right="0" w:hanging="144"/>
              <w:rPr>
                <w:color w:val="000000"/>
              </w:rPr>
            </w:pPr>
            <w:r>
              <w:rPr>
                <w:color w:val="000000"/>
              </w:rPr>
              <w:t>Total available-for-sale</w:t>
            </w:r>
          </w:p>
        </w:tc>
        <w:tc>
          <w:tcPr>
            <w:tcW w:w="60" w:type="dxa"/>
            <w:tcBorders/>
            <w:shd w:fill="auto" w:val="clear"/>
            <w:vAlign w:val="bottom"/>
          </w:tcPr>
          <w:p>
            <w:pPr>
              <w:pStyle w:val="TableContents"/>
              <w:spacing w:before="0" w:after="283"/>
              <w:rPr/>
            </w:pPr>
            <w:r>
              <w:rPr/>
              <w:t> </w:t>
            </w:r>
          </w:p>
        </w:tc>
        <w:tc>
          <w:tcPr>
            <w:tcW w:w="220" w:type="dxa"/>
            <w:tcBorders>
              <w:bottom w:val="double" w:sz="8" w:space="0" w:color="000000"/>
            </w:tcBorders>
            <w:shd w:fill="auto" w:val="clear"/>
            <w:tcMar>
              <w:bottom w:w="28" w:type="dxa"/>
            </w:tcMar>
            <w:vAlign w:val="bottom"/>
          </w:tcPr>
          <w:p>
            <w:pPr>
              <w:pStyle w:val="TableContents"/>
              <w:spacing w:before="0" w:after="0"/>
              <w:rPr/>
            </w:pPr>
            <w:r>
              <w:rPr/>
              <w:t>$</w:t>
            </w:r>
          </w:p>
        </w:tc>
        <w:tc>
          <w:tcPr>
            <w:tcW w:w="880" w:type="dxa"/>
            <w:tcBorders>
              <w:bottom w:val="double" w:sz="8" w:space="0" w:color="000000"/>
            </w:tcBorders>
            <w:shd w:fill="auto" w:val="clear"/>
            <w:tcMar>
              <w:bottom w:w="28" w:type="dxa"/>
            </w:tcMar>
            <w:vAlign w:val="bottom"/>
          </w:tcPr>
          <w:p>
            <w:pPr>
              <w:pStyle w:val="TableContents"/>
              <w:spacing w:before="0" w:after="0"/>
              <w:jc w:val="right"/>
              <w:rPr/>
            </w:pPr>
            <w:r>
              <w:rPr/>
              <w:t>3,955</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9" w:type="dxa"/>
            <w:tcBorders>
              <w:bottom w:val="double" w:sz="8" w:space="0" w:color="000000"/>
            </w:tcBorders>
            <w:shd w:fill="auto" w:val="clear"/>
            <w:tcMar>
              <w:bottom w:w="28" w:type="dxa"/>
            </w:tcMar>
            <w:vAlign w:val="bottom"/>
          </w:tcPr>
          <w:p>
            <w:pPr>
              <w:pStyle w:val="TableContents"/>
              <w:spacing w:before="0" w:after="283"/>
              <w:rPr/>
            </w:pPr>
            <w:r>
              <w:rPr/>
              <w:t> </w:t>
            </w:r>
          </w:p>
        </w:tc>
        <w:tc>
          <w:tcPr>
            <w:tcW w:w="876" w:type="dxa"/>
            <w:tcBorders>
              <w:bottom w:val="double" w:sz="8" w:space="0" w:color="000000"/>
            </w:tcBorders>
            <w:shd w:fill="auto" w:val="clear"/>
            <w:tcMar>
              <w:bottom w:w="28" w:type="dxa"/>
            </w:tcMar>
            <w:vAlign w:val="bottom"/>
          </w:tcPr>
          <w:p>
            <w:pPr>
              <w:pStyle w:val="TableContents"/>
              <w:spacing w:before="0" w:after="0"/>
              <w:jc w:val="right"/>
              <w:rPr/>
            </w:pPr>
            <w:r>
              <w:rPr/>
              <w:t>3.14</w:t>
            </w:r>
          </w:p>
        </w:tc>
        <w:tc>
          <w:tcPr>
            <w:tcW w:w="215" w:type="dxa"/>
            <w:tcBorders/>
            <w:shd w:fill="auto" w:val="clear"/>
            <w:vAlign w:val="bottom"/>
          </w:tcPr>
          <w:p>
            <w:pPr>
              <w:pStyle w:val="TableContents"/>
              <w:spacing w:before="0" w:after="0"/>
              <w:rPr/>
            </w:pPr>
            <w:r>
              <w:rPr/>
              <w:t>%</w:t>
            </w:r>
          </w:p>
        </w:tc>
        <w:tc>
          <w:tcPr>
            <w:tcW w:w="60" w:type="dxa"/>
            <w:tcBorders/>
            <w:shd w:fill="auto" w:val="clear"/>
            <w:vAlign w:val="bottom"/>
          </w:tcPr>
          <w:p>
            <w:pPr>
              <w:pStyle w:val="TableContents"/>
              <w:spacing w:before="0" w:after="283"/>
              <w:rPr/>
            </w:pPr>
            <w:r>
              <w:rPr/>
              <w:t> </w:t>
            </w:r>
          </w:p>
        </w:tc>
        <w:tc>
          <w:tcPr>
            <w:tcW w:w="203" w:type="dxa"/>
            <w:tcBorders>
              <w:bottom w:val="double" w:sz="8" w:space="0" w:color="000000"/>
            </w:tcBorders>
            <w:shd w:fill="auto" w:val="clear"/>
            <w:tcMar>
              <w:bottom w:w="28" w:type="dxa"/>
            </w:tcMar>
            <w:vAlign w:val="bottom"/>
          </w:tcPr>
          <w:p>
            <w:pPr>
              <w:pStyle w:val="TableContents"/>
              <w:spacing w:before="0" w:after="0"/>
              <w:rPr/>
            </w:pPr>
            <w:r>
              <w:rPr/>
              <w:t>$</w:t>
            </w:r>
          </w:p>
        </w:tc>
        <w:tc>
          <w:tcPr>
            <w:tcW w:w="897" w:type="dxa"/>
            <w:tcBorders>
              <w:bottom w:val="double" w:sz="8" w:space="0" w:color="000000"/>
            </w:tcBorders>
            <w:shd w:fill="auto" w:val="clear"/>
            <w:tcMar>
              <w:bottom w:w="28" w:type="dxa"/>
            </w:tcMar>
            <w:vAlign w:val="bottom"/>
          </w:tcPr>
          <w:p>
            <w:pPr>
              <w:pStyle w:val="TableContents"/>
              <w:spacing w:before="0" w:after="0"/>
              <w:jc w:val="right"/>
              <w:rPr/>
            </w:pPr>
            <w:r>
              <w:rPr/>
              <w:t>12,296</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9" w:type="dxa"/>
            <w:tcBorders>
              <w:bottom w:val="double" w:sz="8" w:space="0" w:color="000000"/>
            </w:tcBorders>
            <w:shd w:fill="auto" w:val="clear"/>
            <w:tcMar>
              <w:bottom w:w="28" w:type="dxa"/>
            </w:tcMar>
            <w:vAlign w:val="bottom"/>
          </w:tcPr>
          <w:p>
            <w:pPr>
              <w:pStyle w:val="TableContents"/>
              <w:spacing w:before="0" w:after="283"/>
              <w:rPr/>
            </w:pPr>
            <w:r>
              <w:rPr/>
              <w:t> </w:t>
            </w:r>
          </w:p>
        </w:tc>
        <w:tc>
          <w:tcPr>
            <w:tcW w:w="876" w:type="dxa"/>
            <w:tcBorders>
              <w:bottom w:val="double" w:sz="8" w:space="0" w:color="000000"/>
            </w:tcBorders>
            <w:shd w:fill="auto" w:val="clear"/>
            <w:tcMar>
              <w:bottom w:w="28" w:type="dxa"/>
            </w:tcMar>
            <w:vAlign w:val="bottom"/>
          </w:tcPr>
          <w:p>
            <w:pPr>
              <w:pStyle w:val="TableContents"/>
              <w:spacing w:before="0" w:after="0"/>
              <w:jc w:val="right"/>
              <w:rPr/>
            </w:pPr>
            <w:r>
              <w:rPr/>
              <w:t>1.98</w:t>
            </w:r>
          </w:p>
        </w:tc>
        <w:tc>
          <w:tcPr>
            <w:tcW w:w="215" w:type="dxa"/>
            <w:tcBorders/>
            <w:shd w:fill="auto" w:val="clear"/>
            <w:vAlign w:val="bottom"/>
          </w:tcPr>
          <w:p>
            <w:pPr>
              <w:pStyle w:val="TableContents"/>
              <w:spacing w:before="0" w:after="0"/>
              <w:rPr/>
            </w:pPr>
            <w:r>
              <w:rPr/>
              <w:t>%</w:t>
            </w:r>
          </w:p>
        </w:tc>
        <w:tc>
          <w:tcPr>
            <w:tcW w:w="60" w:type="dxa"/>
            <w:tcBorders/>
            <w:shd w:fill="auto" w:val="clear"/>
            <w:vAlign w:val="bottom"/>
          </w:tcPr>
          <w:p>
            <w:pPr>
              <w:pStyle w:val="TableContents"/>
              <w:spacing w:before="0" w:after="283"/>
              <w:rPr/>
            </w:pPr>
            <w:r>
              <w:rPr/>
              <w:t> </w:t>
            </w:r>
          </w:p>
        </w:tc>
        <w:tc>
          <w:tcPr>
            <w:tcW w:w="191" w:type="dxa"/>
            <w:tcBorders>
              <w:bottom w:val="double" w:sz="8" w:space="0" w:color="000000"/>
            </w:tcBorders>
            <w:shd w:fill="auto" w:val="clear"/>
            <w:tcMar>
              <w:bottom w:w="28" w:type="dxa"/>
            </w:tcMar>
            <w:vAlign w:val="bottom"/>
          </w:tcPr>
          <w:p>
            <w:pPr>
              <w:pStyle w:val="TableContents"/>
              <w:spacing w:before="0" w:after="0"/>
              <w:rPr/>
            </w:pPr>
            <w:r>
              <w:rPr/>
              <w:t>$</w:t>
            </w:r>
          </w:p>
        </w:tc>
        <w:tc>
          <w:tcPr>
            <w:tcW w:w="909" w:type="dxa"/>
            <w:tcBorders>
              <w:bottom w:val="double" w:sz="8" w:space="0" w:color="000000"/>
            </w:tcBorders>
            <w:shd w:fill="auto" w:val="clear"/>
            <w:tcMar>
              <w:bottom w:w="28" w:type="dxa"/>
            </w:tcMar>
            <w:vAlign w:val="bottom"/>
          </w:tcPr>
          <w:p>
            <w:pPr>
              <w:pStyle w:val="TableContents"/>
              <w:spacing w:before="0" w:after="0"/>
              <w:jc w:val="right"/>
              <w:rPr/>
            </w:pPr>
            <w:r>
              <w:rPr/>
              <w:t>144,900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9" w:type="dxa"/>
            <w:tcBorders>
              <w:bottom w:val="double" w:sz="8" w:space="0" w:color="000000"/>
            </w:tcBorders>
            <w:shd w:fill="auto" w:val="clear"/>
            <w:tcMar>
              <w:bottom w:w="28" w:type="dxa"/>
            </w:tcMar>
            <w:vAlign w:val="bottom"/>
          </w:tcPr>
          <w:p>
            <w:pPr>
              <w:pStyle w:val="TableContents"/>
              <w:spacing w:before="0" w:after="283"/>
              <w:rPr/>
            </w:pPr>
            <w:r>
              <w:rPr/>
              <w:t> </w:t>
            </w:r>
          </w:p>
        </w:tc>
        <w:tc>
          <w:tcPr>
            <w:tcW w:w="876" w:type="dxa"/>
            <w:tcBorders>
              <w:bottom w:val="double" w:sz="8" w:space="0" w:color="000000"/>
            </w:tcBorders>
            <w:shd w:fill="auto" w:val="clear"/>
            <w:tcMar>
              <w:bottom w:w="28" w:type="dxa"/>
            </w:tcMar>
            <w:vAlign w:val="bottom"/>
          </w:tcPr>
          <w:p>
            <w:pPr>
              <w:pStyle w:val="TableContents"/>
              <w:spacing w:before="0" w:after="0"/>
              <w:jc w:val="right"/>
              <w:rPr/>
            </w:pPr>
            <w:r>
              <w:rPr/>
              <w:t>3.98</w:t>
            </w:r>
          </w:p>
        </w:tc>
        <w:tc>
          <w:tcPr>
            <w:tcW w:w="215" w:type="dxa"/>
            <w:tcBorders/>
            <w:shd w:fill="auto" w:val="clear"/>
            <w:vAlign w:val="bottom"/>
          </w:tcPr>
          <w:p>
            <w:pPr>
              <w:pStyle w:val="TableContents"/>
              <w:spacing w:before="0" w:after="0"/>
              <w:rPr/>
            </w:pPr>
            <w:r>
              <w:rPr/>
              <w:t>%</w:t>
            </w:r>
          </w:p>
        </w:tc>
        <w:tc>
          <w:tcPr>
            <w:tcW w:w="60" w:type="dxa"/>
            <w:tcBorders/>
            <w:shd w:fill="auto" w:val="clear"/>
            <w:vAlign w:val="bottom"/>
          </w:tcPr>
          <w:p>
            <w:pPr>
              <w:pStyle w:val="TableContents"/>
              <w:spacing w:before="0" w:after="283"/>
              <w:rPr/>
            </w:pPr>
            <w:r>
              <w:rPr/>
              <w:t> </w:t>
            </w:r>
          </w:p>
        </w:tc>
        <w:tc>
          <w:tcPr>
            <w:tcW w:w="163" w:type="dxa"/>
            <w:tcBorders>
              <w:bottom w:val="double" w:sz="8" w:space="0" w:color="000000"/>
            </w:tcBorders>
            <w:shd w:fill="auto" w:val="clear"/>
            <w:tcMar>
              <w:bottom w:w="28" w:type="dxa"/>
            </w:tcMar>
            <w:vAlign w:val="bottom"/>
          </w:tcPr>
          <w:p>
            <w:pPr>
              <w:pStyle w:val="TableContents"/>
              <w:spacing w:before="0" w:after="0"/>
              <w:rPr/>
            </w:pPr>
            <w:r>
              <w:rPr/>
              <w:t>$</w:t>
            </w:r>
          </w:p>
        </w:tc>
        <w:tc>
          <w:tcPr>
            <w:tcW w:w="937" w:type="dxa"/>
            <w:tcBorders>
              <w:bottom w:val="double" w:sz="8" w:space="0" w:color="000000"/>
            </w:tcBorders>
            <w:shd w:fill="auto" w:val="clear"/>
            <w:tcMar>
              <w:bottom w:w="28" w:type="dxa"/>
            </w:tcMar>
            <w:vAlign w:val="bottom"/>
          </w:tcPr>
          <w:p>
            <w:pPr>
              <w:pStyle w:val="TableContents"/>
              <w:spacing w:before="0" w:after="0"/>
              <w:jc w:val="right"/>
              <w:rPr/>
            </w:pPr>
            <w:r>
              <w:rPr/>
              <w:t>631,562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9" w:type="dxa"/>
            <w:tcBorders>
              <w:bottom w:val="double" w:sz="8" w:space="0" w:color="000000"/>
            </w:tcBorders>
            <w:shd w:fill="auto" w:val="clear"/>
            <w:tcMar>
              <w:bottom w:w="28" w:type="dxa"/>
            </w:tcMar>
            <w:vAlign w:val="bottom"/>
          </w:tcPr>
          <w:p>
            <w:pPr>
              <w:pStyle w:val="TableContents"/>
              <w:spacing w:before="0" w:after="283"/>
              <w:rPr/>
            </w:pPr>
            <w:r>
              <w:rPr/>
              <w:t> </w:t>
            </w:r>
          </w:p>
        </w:tc>
        <w:tc>
          <w:tcPr>
            <w:tcW w:w="876" w:type="dxa"/>
            <w:tcBorders>
              <w:bottom w:val="double" w:sz="8" w:space="0" w:color="000000"/>
            </w:tcBorders>
            <w:shd w:fill="auto" w:val="clear"/>
            <w:tcMar>
              <w:bottom w:w="28" w:type="dxa"/>
            </w:tcMar>
            <w:vAlign w:val="bottom"/>
          </w:tcPr>
          <w:p>
            <w:pPr>
              <w:pStyle w:val="TableContents"/>
              <w:spacing w:before="0" w:after="0"/>
              <w:jc w:val="right"/>
              <w:rPr/>
            </w:pPr>
            <w:r>
              <w:rPr/>
              <w:t>2.25</w:t>
            </w:r>
          </w:p>
        </w:tc>
        <w:tc>
          <w:tcPr>
            <w:tcW w:w="215" w:type="dxa"/>
            <w:tcBorders/>
            <w:shd w:fill="auto" w:val="clear"/>
            <w:vAlign w:val="bottom"/>
          </w:tcPr>
          <w:p>
            <w:pPr>
              <w:pStyle w:val="TableContents"/>
              <w:spacing w:before="0" w:after="0"/>
              <w:rPr/>
            </w:pPr>
            <w:r>
              <w:rPr/>
              <w:t>%</w:t>
            </w:r>
          </w:p>
        </w:tc>
      </w:tr>
    </w:tbl>
    <w:p>
      <w:pPr>
        <w:pStyle w:val="TextBody"/>
        <w:spacing w:before="0" w:after="0"/>
        <w:rPr/>
      </w:pPr>
      <w:r>
        <w:rPr/>
      </w:r>
    </w:p>
    <w:tbl>
      <w:tblPr>
        <w:tblW w:w="11621" w:type="dxa"/>
        <w:jc w:val="left"/>
        <w:tblInd w:w="0" w:type="dxa"/>
        <w:tblCellMar>
          <w:top w:w="0" w:type="dxa"/>
          <w:left w:w="0" w:type="dxa"/>
          <w:bottom w:w="0" w:type="dxa"/>
          <w:right w:w="0" w:type="dxa"/>
        </w:tblCellMar>
      </w:tblPr>
      <w:tblGrid>
        <w:gridCol w:w="1661"/>
        <w:gridCol w:w="60"/>
        <w:gridCol w:w="220"/>
        <w:gridCol w:w="880"/>
        <w:gridCol w:w="60"/>
        <w:gridCol w:w="60"/>
        <w:gridCol w:w="119"/>
        <w:gridCol w:w="876"/>
        <w:gridCol w:w="215"/>
        <w:gridCol w:w="60"/>
        <w:gridCol w:w="203"/>
        <w:gridCol w:w="897"/>
        <w:gridCol w:w="60"/>
        <w:gridCol w:w="60"/>
        <w:gridCol w:w="119"/>
        <w:gridCol w:w="876"/>
        <w:gridCol w:w="215"/>
        <w:gridCol w:w="60"/>
        <w:gridCol w:w="191"/>
        <w:gridCol w:w="909"/>
        <w:gridCol w:w="60"/>
        <w:gridCol w:w="60"/>
        <w:gridCol w:w="119"/>
        <w:gridCol w:w="876"/>
        <w:gridCol w:w="215"/>
        <w:gridCol w:w="60"/>
        <w:gridCol w:w="163"/>
        <w:gridCol w:w="937"/>
        <w:gridCol w:w="60"/>
        <w:gridCol w:w="60"/>
        <w:gridCol w:w="119"/>
        <w:gridCol w:w="876"/>
        <w:gridCol w:w="215"/>
      </w:tblGrid>
      <w:tr>
        <w:trPr/>
        <w:tc>
          <w:tcPr>
            <w:tcW w:w="166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685" w:type="dxa"/>
            <w:gridSpan w:val="30"/>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As of December 31, 2022</w:t>
            </w:r>
          </w:p>
        </w:tc>
        <w:tc>
          <w:tcPr>
            <w:tcW w:w="215" w:type="dxa"/>
            <w:tcBorders/>
            <w:shd w:fill="auto" w:val="clear"/>
            <w:vAlign w:val="bottom"/>
          </w:tcPr>
          <w:p>
            <w:pPr>
              <w:pStyle w:val="TableContents"/>
              <w:spacing w:before="0" w:after="283"/>
              <w:rPr/>
            </w:pPr>
            <w:r>
              <w:rPr/>
              <w:t> </w:t>
            </w:r>
          </w:p>
        </w:tc>
      </w:tr>
      <w:tr>
        <w:trPr/>
        <w:tc>
          <w:tcPr>
            <w:tcW w:w="166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15" w:type="dxa"/>
            <w:gridSpan w:val="6"/>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Due in One</w:t>
            </w:r>
          </w:p>
          <w:p>
            <w:pPr>
              <w:pStyle w:val="TableContents"/>
              <w:spacing w:before="0" w:after="0"/>
              <w:jc w:val="center"/>
              <w:rPr>
                <w:b/>
                <w:color w:val="000000"/>
              </w:rPr>
            </w:pPr>
            <w:r>
              <w:rPr>
                <w:b/>
                <w:color w:val="000000"/>
              </w:rPr>
              <w:t>Year or Less</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15" w:type="dxa"/>
            <w:gridSpan w:val="6"/>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Due after One Year</w:t>
            </w:r>
          </w:p>
          <w:p>
            <w:pPr>
              <w:pStyle w:val="TableContents"/>
              <w:spacing w:before="0" w:after="0"/>
              <w:jc w:val="center"/>
              <w:rPr>
                <w:b/>
                <w:color w:val="000000"/>
              </w:rPr>
            </w:pPr>
            <w:r>
              <w:rPr>
                <w:b/>
                <w:color w:val="000000"/>
              </w:rPr>
              <w:t>Through Five Years</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15" w:type="dxa"/>
            <w:gridSpan w:val="6"/>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Due after Five Years</w:t>
            </w:r>
          </w:p>
          <w:p>
            <w:pPr>
              <w:pStyle w:val="TableContents"/>
              <w:spacing w:before="0" w:after="0"/>
              <w:jc w:val="center"/>
              <w:rPr>
                <w:b/>
                <w:color w:val="000000"/>
              </w:rPr>
            </w:pPr>
            <w:r>
              <w:rPr>
                <w:b/>
                <w:color w:val="000000"/>
              </w:rPr>
              <w:t>Through Ten Years</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15" w:type="dxa"/>
            <w:gridSpan w:val="6"/>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Due after</w:t>
            </w:r>
          </w:p>
          <w:p>
            <w:pPr>
              <w:pStyle w:val="TableContents"/>
              <w:spacing w:before="0" w:after="0"/>
              <w:jc w:val="center"/>
              <w:rPr>
                <w:b/>
                <w:color w:val="000000"/>
              </w:rPr>
            </w:pPr>
            <w:r>
              <w:rPr>
                <w:b/>
                <w:color w:val="000000"/>
              </w:rPr>
              <w:t>Ten Years</w:t>
            </w:r>
          </w:p>
        </w:tc>
        <w:tc>
          <w:tcPr>
            <w:tcW w:w="215" w:type="dxa"/>
            <w:tcBorders/>
            <w:shd w:fill="auto" w:val="clear"/>
            <w:vAlign w:val="bottom"/>
          </w:tcPr>
          <w:p>
            <w:pPr>
              <w:pStyle w:val="TableContents"/>
              <w:spacing w:before="0" w:after="283"/>
              <w:rPr/>
            </w:pPr>
            <w:r>
              <w:rPr/>
              <w:t> </w:t>
            </w:r>
          </w:p>
        </w:tc>
      </w:tr>
      <w:tr>
        <w:trPr/>
        <w:tc>
          <w:tcPr>
            <w:tcW w:w="166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0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Amortized</w:t>
            </w:r>
          </w:p>
          <w:p>
            <w:pPr>
              <w:pStyle w:val="TableContents"/>
              <w:spacing w:before="0" w:after="0"/>
              <w:jc w:val="center"/>
              <w:rPr>
                <w:b/>
                <w:color w:val="000000"/>
              </w:rPr>
            </w:pPr>
            <w:r>
              <w:rPr>
                <w:b/>
                <w:color w:val="000000"/>
              </w:rPr>
              <w:t>Cost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95"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Weighted</w:t>
            </w:r>
          </w:p>
          <w:p>
            <w:pPr>
              <w:pStyle w:val="TableContents"/>
              <w:spacing w:before="0" w:after="0"/>
              <w:jc w:val="center"/>
              <w:rPr>
                <w:b/>
                <w:color w:val="000000"/>
              </w:rPr>
            </w:pPr>
            <w:r>
              <w:rPr>
                <w:b/>
                <w:color w:val="000000"/>
              </w:rPr>
              <w:t>Average</w:t>
            </w:r>
          </w:p>
          <w:p>
            <w:pPr>
              <w:pStyle w:val="TableContents"/>
              <w:spacing w:before="0" w:after="0"/>
              <w:jc w:val="center"/>
              <w:rPr>
                <w:b/>
                <w:color w:val="000000"/>
              </w:rPr>
            </w:pPr>
            <w:r>
              <w:rPr>
                <w:b/>
                <w:color w:val="000000"/>
              </w:rPr>
              <w:t>Yield</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0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Amortized</w:t>
            </w:r>
          </w:p>
          <w:p>
            <w:pPr>
              <w:pStyle w:val="TableContents"/>
              <w:spacing w:before="0" w:after="0"/>
              <w:jc w:val="center"/>
              <w:rPr>
                <w:b/>
                <w:color w:val="000000"/>
              </w:rPr>
            </w:pPr>
            <w:r>
              <w:rPr>
                <w:b/>
                <w:color w:val="000000"/>
              </w:rPr>
              <w:t>Cost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95"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Weighted</w:t>
            </w:r>
          </w:p>
          <w:p>
            <w:pPr>
              <w:pStyle w:val="TableContents"/>
              <w:spacing w:before="0" w:after="0"/>
              <w:jc w:val="center"/>
              <w:rPr>
                <w:b/>
                <w:color w:val="000000"/>
              </w:rPr>
            </w:pPr>
            <w:r>
              <w:rPr>
                <w:b/>
                <w:color w:val="000000"/>
              </w:rPr>
              <w:t>Average</w:t>
            </w:r>
          </w:p>
          <w:p>
            <w:pPr>
              <w:pStyle w:val="TableContents"/>
              <w:spacing w:before="0" w:after="0"/>
              <w:jc w:val="center"/>
              <w:rPr>
                <w:b/>
                <w:color w:val="000000"/>
              </w:rPr>
            </w:pPr>
            <w:r>
              <w:rPr>
                <w:b/>
                <w:color w:val="000000"/>
              </w:rPr>
              <w:t>Yield</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0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Amortized</w:t>
            </w:r>
          </w:p>
          <w:p>
            <w:pPr>
              <w:pStyle w:val="TableContents"/>
              <w:spacing w:before="0" w:after="0"/>
              <w:jc w:val="center"/>
              <w:rPr>
                <w:b/>
                <w:color w:val="000000"/>
              </w:rPr>
            </w:pPr>
            <w:r>
              <w:rPr>
                <w:b/>
                <w:color w:val="000000"/>
              </w:rPr>
              <w:t>Cost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95"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Weighted</w:t>
            </w:r>
          </w:p>
          <w:p>
            <w:pPr>
              <w:pStyle w:val="TableContents"/>
              <w:spacing w:before="0" w:after="0"/>
              <w:jc w:val="center"/>
              <w:rPr>
                <w:b/>
                <w:color w:val="000000"/>
              </w:rPr>
            </w:pPr>
            <w:r>
              <w:rPr>
                <w:b/>
                <w:color w:val="000000"/>
              </w:rPr>
              <w:t>Average</w:t>
            </w:r>
          </w:p>
          <w:p>
            <w:pPr>
              <w:pStyle w:val="TableContents"/>
              <w:spacing w:before="0" w:after="0"/>
              <w:jc w:val="center"/>
              <w:rPr>
                <w:b/>
                <w:color w:val="000000"/>
              </w:rPr>
            </w:pPr>
            <w:r>
              <w:rPr>
                <w:b/>
                <w:color w:val="000000"/>
              </w:rPr>
              <w:t>Yield</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0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Amortized</w:t>
            </w:r>
          </w:p>
          <w:p>
            <w:pPr>
              <w:pStyle w:val="TableContents"/>
              <w:spacing w:before="0" w:after="0"/>
              <w:jc w:val="center"/>
              <w:rPr>
                <w:b/>
                <w:color w:val="000000"/>
              </w:rPr>
            </w:pPr>
            <w:r>
              <w:rPr>
                <w:b/>
                <w:color w:val="000000"/>
              </w:rPr>
              <w:t>Cost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95"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Weighted</w:t>
            </w:r>
          </w:p>
          <w:p>
            <w:pPr>
              <w:pStyle w:val="TableContents"/>
              <w:spacing w:before="0" w:after="0"/>
              <w:jc w:val="center"/>
              <w:rPr>
                <w:b/>
                <w:color w:val="000000"/>
              </w:rPr>
            </w:pPr>
            <w:r>
              <w:rPr>
                <w:b/>
                <w:color w:val="000000"/>
              </w:rPr>
              <w:t>Average</w:t>
            </w:r>
          </w:p>
          <w:p>
            <w:pPr>
              <w:pStyle w:val="TableContents"/>
              <w:spacing w:before="0" w:after="0"/>
              <w:jc w:val="center"/>
              <w:rPr>
                <w:b/>
                <w:color w:val="000000"/>
              </w:rPr>
            </w:pPr>
            <w:r>
              <w:rPr>
                <w:b/>
                <w:color w:val="000000"/>
              </w:rPr>
              <w:t>Yield</w:t>
            </w:r>
          </w:p>
        </w:tc>
        <w:tc>
          <w:tcPr>
            <w:tcW w:w="215" w:type="dxa"/>
            <w:tcBorders/>
            <w:shd w:fill="auto" w:val="clear"/>
            <w:vAlign w:val="bottom"/>
          </w:tcPr>
          <w:p>
            <w:pPr>
              <w:pStyle w:val="TableContents"/>
              <w:spacing w:before="0" w:after="283"/>
              <w:rPr/>
            </w:pPr>
            <w:r>
              <w:rPr/>
              <w:t> </w:t>
            </w:r>
          </w:p>
        </w:tc>
      </w:tr>
      <w:tr>
        <w:trPr/>
        <w:tc>
          <w:tcPr>
            <w:tcW w:w="166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685" w:type="dxa"/>
            <w:gridSpan w:val="30"/>
            <w:tcBorders/>
            <w:shd w:fill="auto" w:val="clear"/>
            <w:vAlign w:val="bottom"/>
          </w:tcPr>
          <w:p>
            <w:pPr>
              <w:pStyle w:val="TableContents"/>
              <w:spacing w:before="0" w:after="0"/>
              <w:jc w:val="center"/>
              <w:rPr>
                <w:b/>
                <w:color w:val="000000"/>
              </w:rPr>
            </w:pPr>
            <w:r>
              <w:rPr>
                <w:b/>
                <w:color w:val="000000"/>
              </w:rPr>
              <w:t>(Dollars in thousands)</w:t>
            </w:r>
          </w:p>
        </w:tc>
        <w:tc>
          <w:tcPr>
            <w:tcW w:w="215" w:type="dxa"/>
            <w:tcBorders/>
            <w:shd w:fill="auto" w:val="clear"/>
            <w:vAlign w:val="bottom"/>
          </w:tcPr>
          <w:p>
            <w:pPr>
              <w:pStyle w:val="TableContents"/>
              <w:spacing w:before="0" w:after="283"/>
              <w:rPr/>
            </w:pPr>
            <w:r>
              <w:rPr/>
              <w:t> </w:t>
            </w:r>
          </w:p>
        </w:tc>
      </w:tr>
      <w:tr>
        <w:trPr/>
        <w:tc>
          <w:tcPr>
            <w:tcW w:w="1661" w:type="dxa"/>
            <w:tcBorders/>
            <w:shd w:fill="auto" w:val="clear"/>
            <w:vAlign w:val="bottom"/>
          </w:tcPr>
          <w:p>
            <w:pPr>
              <w:pStyle w:val="TableContents"/>
              <w:spacing w:before="0" w:after="0"/>
              <w:ind w:left="144" w:right="0" w:hanging="144"/>
              <w:rPr>
                <w:b/>
                <w:color w:val="000000"/>
              </w:rPr>
            </w:pPr>
            <w:r>
              <w:rPr>
                <w:b/>
                <w:color w:val="000000"/>
              </w:rPr>
              <w:t>Available-for-sale</w:t>
            </w:r>
          </w:p>
        </w:tc>
        <w:tc>
          <w:tcPr>
            <w:tcW w:w="60" w:type="dxa"/>
            <w:tcBorders/>
            <w:shd w:fill="auto" w:val="clear"/>
            <w:vAlign w:val="bottom"/>
          </w:tcPr>
          <w:p>
            <w:pPr>
              <w:pStyle w:val="TableContents"/>
              <w:spacing w:before="0" w:after="283"/>
              <w:rPr/>
            </w:pPr>
            <w:r>
              <w:rPr/>
              <w:t> </w:t>
            </w:r>
          </w:p>
        </w:tc>
        <w:tc>
          <w:tcPr>
            <w:tcW w:w="110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95" w:type="dxa"/>
            <w:gridSpan w:val="2"/>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0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95" w:type="dxa"/>
            <w:gridSpan w:val="2"/>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0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95" w:type="dxa"/>
            <w:gridSpan w:val="2"/>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0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95" w:type="dxa"/>
            <w:gridSpan w:val="2"/>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r>
      <w:tr>
        <w:trPr/>
        <w:tc>
          <w:tcPr>
            <w:tcW w:w="1661" w:type="dxa"/>
            <w:tcBorders/>
            <w:shd w:fill="CCEEFF" w:val="clear"/>
            <w:vAlign w:val="bottom"/>
          </w:tcPr>
          <w:p>
            <w:pPr>
              <w:pStyle w:val="TableContents"/>
              <w:spacing w:before="0" w:after="0"/>
              <w:ind w:left="324" w:right="0" w:hanging="144"/>
              <w:rPr>
                <w:color w:val="000000"/>
              </w:rPr>
            </w:pPr>
            <w:r>
              <w:rPr>
                <w:color w:val="000000"/>
              </w:rPr>
              <w:t>U.S. government and agencies</w:t>
            </w:r>
          </w:p>
        </w:tc>
        <w:tc>
          <w:tcPr>
            <w:tcW w:w="60"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0"/>
              <w:rPr/>
            </w:pPr>
            <w:r>
              <w:rPr/>
              <w:t>$</w:t>
            </w:r>
          </w:p>
        </w:tc>
        <w:tc>
          <w:tcPr>
            <w:tcW w:w="880"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0"/>
              <w:jc w:val="right"/>
              <w:rPr/>
            </w:pPr>
            <w:r>
              <w:rPr/>
              <w:t>—</w:t>
            </w:r>
          </w:p>
        </w:tc>
        <w:tc>
          <w:tcPr>
            <w:tcW w:w="21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0"/>
              <w:rPr/>
            </w:pPr>
            <w:r>
              <w:rPr/>
              <w:t>$</w:t>
            </w:r>
          </w:p>
        </w:tc>
        <w:tc>
          <w:tcPr>
            <w:tcW w:w="897"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0"/>
              <w:jc w:val="right"/>
              <w:rPr/>
            </w:pPr>
            <w:r>
              <w:rPr/>
              <w:t>—</w:t>
            </w:r>
          </w:p>
        </w:tc>
        <w:tc>
          <w:tcPr>
            <w:tcW w:w="21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0"/>
              <w:rPr/>
            </w:pPr>
            <w:r>
              <w:rPr/>
              <w:t>$</w:t>
            </w:r>
          </w:p>
        </w:tc>
        <w:tc>
          <w:tcPr>
            <w:tcW w:w="909"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0"/>
              <w:jc w:val="right"/>
              <w:rPr/>
            </w:pPr>
            <w:r>
              <w:rPr/>
              <w:t>—</w:t>
            </w:r>
          </w:p>
        </w:tc>
        <w:tc>
          <w:tcPr>
            <w:tcW w:w="21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0"/>
              <w:rPr/>
            </w:pPr>
            <w:r>
              <w:rPr/>
              <w:t>$</w:t>
            </w:r>
          </w:p>
        </w:tc>
        <w:tc>
          <w:tcPr>
            <w:tcW w:w="937"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0"/>
              <w:jc w:val="right"/>
              <w:rPr/>
            </w:pPr>
            <w:r>
              <w:rPr/>
              <w:t>—</w:t>
            </w:r>
          </w:p>
        </w:tc>
        <w:tc>
          <w:tcPr>
            <w:tcW w:w="215" w:type="dxa"/>
            <w:tcBorders/>
            <w:shd w:fill="CCEEFF" w:val="clear"/>
            <w:vAlign w:val="bottom"/>
          </w:tcPr>
          <w:p>
            <w:pPr>
              <w:pStyle w:val="TableContents"/>
              <w:spacing w:before="0" w:after="0"/>
              <w:rPr/>
            </w:pPr>
            <w:r>
              <w:rPr/>
              <w:t>%</w:t>
            </w:r>
          </w:p>
        </w:tc>
      </w:tr>
      <w:tr>
        <w:trPr/>
        <w:tc>
          <w:tcPr>
            <w:tcW w:w="1661" w:type="dxa"/>
            <w:tcBorders/>
            <w:shd w:fill="auto" w:val="clear"/>
            <w:vAlign w:val="bottom"/>
          </w:tcPr>
          <w:p>
            <w:pPr>
              <w:pStyle w:val="TableContents"/>
              <w:spacing w:before="0" w:after="0"/>
              <w:ind w:left="324" w:right="0" w:hanging="144"/>
              <w:rPr>
                <w:color w:val="000000"/>
              </w:rPr>
            </w:pPr>
            <w:r>
              <w:rPr>
                <w:color w:val="000000"/>
              </w:rPr>
              <w:t>State and municipal</w:t>
            </w:r>
          </w:p>
        </w:tc>
        <w:tc>
          <w:tcPr>
            <w:tcW w:w="60"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880" w:type="dxa"/>
            <w:tcBorders/>
            <w:shd w:fill="auto" w:val="clear"/>
            <w:vAlign w:val="bottom"/>
          </w:tcPr>
          <w:p>
            <w:pPr>
              <w:pStyle w:val="TableContents"/>
              <w:spacing w:before="0" w:after="0"/>
              <w:jc w:val="right"/>
              <w:rPr/>
            </w:pPr>
            <w:r>
              <w:rPr/>
              <w:t>1,898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0"/>
              <w:jc w:val="right"/>
              <w:rPr/>
            </w:pPr>
            <w:r>
              <w:rPr/>
              <w:t>3.43</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897" w:type="dxa"/>
            <w:tcBorders/>
            <w:shd w:fill="auto" w:val="clear"/>
            <w:vAlign w:val="bottom"/>
          </w:tcPr>
          <w:p>
            <w:pPr>
              <w:pStyle w:val="TableContents"/>
              <w:spacing w:before="0" w:after="0"/>
              <w:jc w:val="right"/>
              <w:rPr/>
            </w:pPr>
            <w:r>
              <w:rPr/>
              <w:t>8,663</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0"/>
              <w:jc w:val="right"/>
              <w:rPr/>
            </w:pPr>
            <w:r>
              <w:rPr/>
              <w:t>2.17</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909" w:type="dxa"/>
            <w:tcBorders/>
            <w:shd w:fill="auto" w:val="clear"/>
            <w:vAlign w:val="bottom"/>
          </w:tcPr>
          <w:p>
            <w:pPr>
              <w:pStyle w:val="TableContents"/>
              <w:spacing w:before="0" w:after="0"/>
              <w:jc w:val="right"/>
              <w:rPr/>
            </w:pPr>
            <w:r>
              <w:rPr/>
              <w:t>7,508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0"/>
              <w:jc w:val="right"/>
              <w:rPr/>
            </w:pPr>
            <w:r>
              <w:rPr/>
              <w:t>2.22</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937" w:type="dxa"/>
            <w:tcBorders/>
            <w:shd w:fill="auto" w:val="clear"/>
            <w:vAlign w:val="bottom"/>
          </w:tcPr>
          <w:p>
            <w:pPr>
              <w:pStyle w:val="TableContents"/>
              <w:spacing w:before="0" w:after="0"/>
              <w:jc w:val="right"/>
              <w:rPr/>
            </w:pPr>
            <w:r>
              <w:rPr/>
              <w:t>241,360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0"/>
              <w:jc w:val="right"/>
              <w:rPr/>
            </w:pPr>
            <w:r>
              <w:rPr/>
              <w:t>2.24</w:t>
            </w:r>
          </w:p>
        </w:tc>
        <w:tc>
          <w:tcPr>
            <w:tcW w:w="215" w:type="dxa"/>
            <w:tcBorders/>
            <w:shd w:fill="auto" w:val="clear"/>
            <w:vAlign w:val="bottom"/>
          </w:tcPr>
          <w:p>
            <w:pPr>
              <w:pStyle w:val="TableContents"/>
              <w:spacing w:before="0" w:after="283"/>
              <w:rPr/>
            </w:pPr>
            <w:r>
              <w:rPr/>
              <w:t> </w:t>
            </w:r>
          </w:p>
        </w:tc>
      </w:tr>
      <w:tr>
        <w:trPr/>
        <w:tc>
          <w:tcPr>
            <w:tcW w:w="1661" w:type="dxa"/>
            <w:tcBorders/>
            <w:shd w:fill="CCEEFF" w:val="clear"/>
            <w:vAlign w:val="bottom"/>
          </w:tcPr>
          <w:p>
            <w:pPr>
              <w:pStyle w:val="TableContents"/>
              <w:spacing w:before="0" w:after="0"/>
              <w:ind w:left="324" w:right="0" w:hanging="144"/>
              <w:rPr>
                <w:color w:val="000000"/>
              </w:rPr>
            </w:pPr>
            <w:r>
              <w:rPr>
                <w:color w:val="000000"/>
              </w:rPr>
              <w:t>Residential mortgage-backed securities</w:t>
            </w:r>
          </w:p>
        </w:tc>
        <w:tc>
          <w:tcPr>
            <w:tcW w:w="60"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880" w:type="dxa"/>
            <w:tcBorders/>
            <w:shd w:fill="CCEEFF" w:val="clear"/>
            <w:vAlign w:val="bottom"/>
          </w:tcPr>
          <w:p>
            <w:pPr>
              <w:pStyle w:val="TableContents"/>
              <w:spacing w:before="0" w:after="0"/>
              <w:jc w:val="right"/>
              <w:rPr/>
            </w:pPr>
            <w:r>
              <w:rPr/>
              <w:t>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0"/>
              <w:jc w:val="right"/>
              <w:rPr/>
            </w:pPr>
            <w:r>
              <w:rPr/>
              <w:t>1.90</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897" w:type="dxa"/>
            <w:tcBorders/>
            <w:shd w:fill="CCEEFF" w:val="clear"/>
            <w:vAlign w:val="bottom"/>
          </w:tcPr>
          <w:p>
            <w:pPr>
              <w:pStyle w:val="TableContents"/>
              <w:spacing w:before="0" w:after="0"/>
              <w:jc w:val="right"/>
              <w:rPr/>
            </w:pPr>
            <w:r>
              <w:rPr/>
              <w:t>3,037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0"/>
              <w:jc w:val="right"/>
              <w:rPr/>
            </w:pPr>
            <w:r>
              <w:rPr/>
              <w:t>1.88</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909" w:type="dxa"/>
            <w:tcBorders/>
            <w:shd w:fill="CCEEFF" w:val="clear"/>
            <w:vAlign w:val="bottom"/>
          </w:tcPr>
          <w:p>
            <w:pPr>
              <w:pStyle w:val="TableContents"/>
              <w:spacing w:before="0" w:after="0"/>
              <w:jc w:val="right"/>
              <w:rPr/>
            </w:pPr>
            <w:r>
              <w:rPr/>
              <w:t>3,993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0"/>
              <w:jc w:val="right"/>
              <w:rPr/>
            </w:pPr>
            <w:r>
              <w:rPr/>
              <w:t>2.37</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937" w:type="dxa"/>
            <w:tcBorders/>
            <w:shd w:fill="CCEEFF" w:val="clear"/>
            <w:vAlign w:val="bottom"/>
          </w:tcPr>
          <w:p>
            <w:pPr>
              <w:pStyle w:val="TableContents"/>
              <w:spacing w:before="0" w:after="0"/>
              <w:jc w:val="right"/>
              <w:rPr/>
            </w:pPr>
            <w:r>
              <w:rPr/>
              <w:t>379,750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0"/>
              <w:jc w:val="right"/>
              <w:rPr/>
            </w:pPr>
            <w:r>
              <w:rPr/>
              <w:t>2.22</w:t>
            </w:r>
          </w:p>
        </w:tc>
        <w:tc>
          <w:tcPr>
            <w:tcW w:w="215" w:type="dxa"/>
            <w:tcBorders/>
            <w:shd w:fill="CCEEFF" w:val="clear"/>
            <w:vAlign w:val="bottom"/>
          </w:tcPr>
          <w:p>
            <w:pPr>
              <w:pStyle w:val="TableContents"/>
              <w:spacing w:before="0" w:after="283"/>
              <w:rPr/>
            </w:pPr>
            <w:r>
              <w:rPr/>
              <w:t> </w:t>
            </w:r>
          </w:p>
        </w:tc>
      </w:tr>
      <w:tr>
        <w:trPr/>
        <w:tc>
          <w:tcPr>
            <w:tcW w:w="1661" w:type="dxa"/>
            <w:tcBorders/>
            <w:shd w:fill="auto" w:val="clear"/>
            <w:vAlign w:val="bottom"/>
          </w:tcPr>
          <w:p>
            <w:pPr>
              <w:pStyle w:val="TableContents"/>
              <w:spacing w:before="0" w:after="0"/>
              <w:ind w:left="324" w:right="0" w:hanging="144"/>
              <w:rPr>
                <w:color w:val="000000"/>
              </w:rPr>
            </w:pPr>
            <w:r>
              <w:rPr>
                <w:color w:val="000000"/>
              </w:rPr>
              <w:t>Commercial mortgage-backed securities</w:t>
            </w:r>
          </w:p>
        </w:tc>
        <w:tc>
          <w:tcPr>
            <w:tcW w:w="60"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880" w:type="dxa"/>
            <w:tcBorders/>
            <w:shd w:fill="auto" w:val="clear"/>
            <w:vAlign w:val="bottom"/>
          </w:tcPr>
          <w:p>
            <w:pPr>
              <w:pStyle w:val="TableContents"/>
              <w:spacing w:before="0" w:after="0"/>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0"/>
              <w:jc w:val="right"/>
              <w:rPr/>
            </w:pPr>
            <w:r>
              <w:rPr/>
              <w:t>—</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897" w:type="dxa"/>
            <w:tcBorders/>
            <w:shd w:fill="auto" w:val="clear"/>
            <w:vAlign w:val="bottom"/>
          </w:tcPr>
          <w:p>
            <w:pPr>
              <w:pStyle w:val="TableContents"/>
              <w:spacing w:before="0" w:after="0"/>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0"/>
              <w:jc w:val="right"/>
              <w:rPr/>
            </w:pPr>
            <w:r>
              <w:rPr/>
              <w:t>—</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909" w:type="dxa"/>
            <w:tcBorders/>
            <w:shd w:fill="auto" w:val="clear"/>
            <w:vAlign w:val="bottom"/>
          </w:tcPr>
          <w:p>
            <w:pPr>
              <w:pStyle w:val="TableContents"/>
              <w:spacing w:before="0" w:after="0"/>
              <w:jc w:val="right"/>
              <w:rPr/>
            </w:pPr>
            <w:r>
              <w:rPr/>
              <w:t>49,161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0"/>
              <w:jc w:val="right"/>
              <w:rPr/>
            </w:pPr>
            <w:r>
              <w:rPr/>
              <w:t>2.21</w:t>
            </w:r>
          </w:p>
        </w:tc>
        <w:tc>
          <w:tcPr>
            <w:tcW w:w="215" w:type="dxa"/>
            <w:tcBorders/>
            <w:shd w:fill="auto" w:val="clear"/>
            <w:vAlign w:val="bottom"/>
          </w:tcPr>
          <w:p>
            <w:pPr>
              <w:pStyle w:val="TableContents"/>
              <w:spacing w:before="0" w:after="0"/>
              <w:rPr/>
            </w:pPr>
            <w:r>
              <w:rPr/>
              <w:t>%</w:t>
            </w:r>
          </w:p>
        </w:tc>
        <w:tc>
          <w:tcPr>
            <w:tcW w:w="60"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937" w:type="dxa"/>
            <w:tcBorders/>
            <w:shd w:fill="auto" w:val="clear"/>
            <w:vAlign w:val="bottom"/>
          </w:tcPr>
          <w:p>
            <w:pPr>
              <w:pStyle w:val="TableContents"/>
              <w:spacing w:before="0" w:after="0"/>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0"/>
              <w:jc w:val="right"/>
              <w:rPr/>
            </w:pPr>
            <w:r>
              <w:rPr/>
              <w:t>—</w:t>
            </w:r>
          </w:p>
        </w:tc>
        <w:tc>
          <w:tcPr>
            <w:tcW w:w="215" w:type="dxa"/>
            <w:tcBorders/>
            <w:shd w:fill="auto" w:val="clear"/>
            <w:vAlign w:val="bottom"/>
          </w:tcPr>
          <w:p>
            <w:pPr>
              <w:pStyle w:val="TableContents"/>
              <w:spacing w:before="0" w:after="283"/>
              <w:rPr/>
            </w:pPr>
            <w:r>
              <w:rPr/>
              <w:t> </w:t>
            </w:r>
          </w:p>
        </w:tc>
      </w:tr>
      <w:tr>
        <w:trPr/>
        <w:tc>
          <w:tcPr>
            <w:tcW w:w="1661" w:type="dxa"/>
            <w:tcBorders/>
            <w:shd w:fill="CCEEFF" w:val="clear"/>
            <w:vAlign w:val="bottom"/>
          </w:tcPr>
          <w:p>
            <w:pPr>
              <w:pStyle w:val="TableContents"/>
              <w:spacing w:before="0" w:after="0"/>
              <w:ind w:left="324" w:right="0" w:hanging="144"/>
              <w:rPr>
                <w:color w:val="000000"/>
              </w:rPr>
            </w:pPr>
            <w:r>
              <w:rPr>
                <w:color w:val="000000"/>
              </w:rPr>
              <w:t>Commercial collateralized mortgage obligations</w:t>
            </w:r>
          </w:p>
        </w:tc>
        <w:tc>
          <w:tcPr>
            <w:tcW w:w="60"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880"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0"/>
              <w:jc w:val="right"/>
              <w:rPr/>
            </w:pPr>
            <w:r>
              <w:rPr/>
              <w:t>—</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897"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0"/>
              <w:jc w:val="right"/>
              <w:rPr/>
            </w:pPr>
            <w:r>
              <w:rPr/>
              <w:t>—</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909" w:type="dxa"/>
            <w:tcBorders/>
            <w:shd w:fill="CCEEFF" w:val="clear"/>
            <w:vAlign w:val="bottom"/>
          </w:tcPr>
          <w:p>
            <w:pPr>
              <w:pStyle w:val="TableContents"/>
              <w:spacing w:before="0" w:after="0"/>
              <w:jc w:val="right"/>
              <w:rPr/>
            </w:pPr>
            <w:r>
              <w:rPr/>
              <w:t>76,189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0"/>
              <w:jc w:val="right"/>
              <w:rPr/>
            </w:pPr>
            <w:r>
              <w:rPr/>
              <w:t>4.89</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937" w:type="dxa"/>
            <w:tcBorders/>
            <w:shd w:fill="CCEEFF" w:val="cle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876" w:type="dxa"/>
            <w:tcBorders/>
            <w:shd w:fill="CCEEFF" w:val="clear"/>
            <w:vAlign w:val="bottom"/>
          </w:tcPr>
          <w:p>
            <w:pPr>
              <w:pStyle w:val="TableContents"/>
              <w:spacing w:before="0" w:after="0"/>
              <w:jc w:val="right"/>
              <w:rPr/>
            </w:pPr>
            <w:r>
              <w:rPr/>
              <w:t>—</w:t>
            </w:r>
          </w:p>
        </w:tc>
        <w:tc>
          <w:tcPr>
            <w:tcW w:w="215" w:type="dxa"/>
            <w:tcBorders/>
            <w:shd w:fill="CCEEFF" w:val="clear"/>
            <w:vAlign w:val="bottom"/>
          </w:tcPr>
          <w:p>
            <w:pPr>
              <w:pStyle w:val="TableContents"/>
              <w:spacing w:before="0" w:after="283"/>
              <w:rPr/>
            </w:pPr>
            <w:r>
              <w:rPr/>
              <w:t> </w:t>
            </w:r>
          </w:p>
        </w:tc>
      </w:tr>
      <w:tr>
        <w:trPr/>
        <w:tc>
          <w:tcPr>
            <w:tcW w:w="1661" w:type="dxa"/>
            <w:tcBorders/>
            <w:shd w:fill="auto" w:val="clear"/>
            <w:vAlign w:val="bottom"/>
          </w:tcPr>
          <w:p>
            <w:pPr>
              <w:pStyle w:val="TableContents"/>
              <w:spacing w:before="0" w:after="0"/>
              <w:ind w:left="324" w:right="0" w:hanging="144"/>
              <w:rPr>
                <w:color w:val="000000"/>
              </w:rPr>
            </w:pPr>
            <w:r>
              <w:rPr>
                <w:color w:val="000000"/>
              </w:rPr>
              <w:t>Asset-backed and other amortizing securities</w:t>
            </w:r>
          </w:p>
        </w:tc>
        <w:tc>
          <w:tcPr>
            <w:tcW w:w="60"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880" w:type="dxa"/>
            <w:tcBorders/>
            <w:shd w:fill="auto" w:val="clear"/>
            <w:vAlign w:val="bottom"/>
          </w:tcPr>
          <w:p>
            <w:pPr>
              <w:pStyle w:val="TableContents"/>
              <w:spacing w:before="0" w:after="0"/>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0"/>
              <w:jc w:val="right"/>
              <w:rPr/>
            </w:pPr>
            <w:r>
              <w:rPr/>
              <w:t>—</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897" w:type="dxa"/>
            <w:tcBorders/>
            <w:shd w:fill="auto" w:val="clear"/>
            <w:vAlign w:val="bottom"/>
          </w:tcPr>
          <w:p>
            <w:pPr>
              <w:pStyle w:val="TableContents"/>
              <w:spacing w:before="0" w:after="0"/>
              <w:jc w:val="right"/>
              <w:rPr/>
            </w:pPr>
            <w:r>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0"/>
              <w:jc w:val="right"/>
              <w:rPr/>
            </w:pPr>
            <w:r>
              <w:rPr/>
              <w:t>—</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909" w:type="dxa"/>
            <w:tcBorders/>
            <w:shd w:fill="auto" w:val="clear"/>
            <w:vAlign w:val="bottom"/>
          </w:tcPr>
          <w:p>
            <w:pPr>
              <w:pStyle w:val="TableContents"/>
              <w:spacing w:before="0" w:after="0"/>
              <w:jc w:val="right"/>
              <w:rPr/>
            </w:pPr>
            <w:r>
              <w:rPr/>
              <w:t>1,689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0"/>
              <w:jc w:val="right"/>
              <w:rPr/>
            </w:pPr>
            <w:r>
              <w:rPr/>
              <w:t>2.93</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937" w:type="dxa"/>
            <w:tcBorders/>
            <w:shd w:fill="auto" w:val="clear"/>
            <w:vAlign w:val="bottom"/>
          </w:tcPr>
          <w:p>
            <w:pPr>
              <w:pStyle w:val="TableContents"/>
              <w:spacing w:before="0" w:after="0"/>
              <w:jc w:val="right"/>
              <w:rPr/>
            </w:pPr>
            <w:r>
              <w:rPr/>
              <w:t>19,218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876" w:type="dxa"/>
            <w:tcBorders/>
            <w:shd w:fill="auto" w:val="clear"/>
            <w:vAlign w:val="bottom"/>
          </w:tcPr>
          <w:p>
            <w:pPr>
              <w:pStyle w:val="TableContents"/>
              <w:spacing w:before="0" w:after="0"/>
              <w:jc w:val="right"/>
              <w:rPr/>
            </w:pPr>
            <w:r>
              <w:rPr/>
              <w:t>2.81</w:t>
            </w:r>
          </w:p>
        </w:tc>
        <w:tc>
          <w:tcPr>
            <w:tcW w:w="215" w:type="dxa"/>
            <w:tcBorders/>
            <w:shd w:fill="auto" w:val="clear"/>
            <w:vAlign w:val="bottom"/>
          </w:tcPr>
          <w:p>
            <w:pPr>
              <w:pStyle w:val="TableContents"/>
              <w:spacing w:before="0" w:after="283"/>
              <w:rPr/>
            </w:pPr>
            <w:r>
              <w:rPr/>
              <w:t> </w:t>
            </w:r>
          </w:p>
        </w:tc>
      </w:tr>
      <w:tr>
        <w:trPr/>
        <w:tc>
          <w:tcPr>
            <w:tcW w:w="1661" w:type="dxa"/>
            <w:tcBorders/>
            <w:shd w:fill="CCEEFF" w:val="clear"/>
            <w:vAlign w:val="bottom"/>
          </w:tcPr>
          <w:p>
            <w:pPr>
              <w:pStyle w:val="TableContents"/>
              <w:spacing w:before="0" w:after="0"/>
              <w:ind w:left="324" w:right="0" w:hanging="144"/>
              <w:rPr>
                <w:color w:val="000000"/>
              </w:rPr>
            </w:pPr>
            <w:r>
              <w:rPr>
                <w:color w:val="000000"/>
              </w:rPr>
              <w:t>Other securities</w:t>
            </w:r>
          </w:p>
        </w:tc>
        <w:tc>
          <w:tcPr>
            <w:tcW w:w="60" w:type="dxa"/>
            <w:tcBorders/>
            <w:shd w:fill="CCEEFF" w:val="clear"/>
            <w:vAlign w:val="bottom"/>
          </w:tcPr>
          <w:p>
            <w:pPr>
              <w:pStyle w:val="TableContents"/>
              <w:spacing w:before="0" w:after="283"/>
              <w:rPr/>
            </w:pPr>
            <w:r>
              <w:rPr/>
              <w:t> </w:t>
            </w:r>
          </w:p>
        </w:tc>
        <w:tc>
          <w:tcPr>
            <w:tcW w:w="220" w:type="dxa"/>
            <w:tcBorders>
              <w:bottom w:val="single" w:sz="12" w:space="0" w:color="000000"/>
            </w:tcBorders>
            <w:shd w:fill="CCEEFF" w:val="clear"/>
            <w:tcMar>
              <w:bottom w:w="28" w:type="dxa"/>
            </w:tcMar>
            <w:vAlign w:val="bottom"/>
          </w:tcPr>
          <w:p>
            <w:pPr>
              <w:pStyle w:val="TableContents"/>
              <w:spacing w:before="0" w:after="283"/>
              <w:rPr/>
            </w:pPr>
            <w:r>
              <w:rPr/>
              <w:t> </w:t>
            </w:r>
          </w:p>
        </w:tc>
        <w:tc>
          <w:tcPr>
            <w:tcW w:w="880" w:type="dxa"/>
            <w:tcBorders>
              <w:bottom w:val="single" w:sz="12" w:space="0" w:color="000000"/>
            </w:tcBorders>
            <w:shd w:fill="CCEEFF" w:val="clear"/>
            <w:tcMar>
              <w:bottom w:w="28" w:type="dxa"/>
            </w:tcM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9" w:type="dxa"/>
            <w:tcBorders>
              <w:bottom w:val="single" w:sz="12" w:space="0" w:color="000000"/>
            </w:tcBorders>
            <w:shd w:fill="CCEEFF" w:val="clear"/>
            <w:tcMar>
              <w:bottom w:w="28" w:type="dxa"/>
            </w:tcMar>
            <w:vAlign w:val="bottom"/>
          </w:tcPr>
          <w:p>
            <w:pPr>
              <w:pStyle w:val="TableContents"/>
              <w:spacing w:before="0" w:after="283"/>
              <w:rPr/>
            </w:pPr>
            <w:r>
              <w:rPr/>
              <w:t> </w:t>
            </w:r>
          </w:p>
        </w:tc>
        <w:tc>
          <w:tcPr>
            <w:tcW w:w="876" w:type="dxa"/>
            <w:tcBorders>
              <w:bottom w:val="single" w:sz="12" w:space="0" w:color="000000"/>
            </w:tcBorders>
            <w:shd w:fill="CCEEFF" w:val="clear"/>
            <w:tcMar>
              <w:bottom w:w="28" w:type="dxa"/>
            </w:tcMar>
            <w:vAlign w:val="bottom"/>
          </w:tcPr>
          <w:p>
            <w:pPr>
              <w:pStyle w:val="TableContents"/>
              <w:spacing w:before="0" w:after="0"/>
              <w:jc w:val="right"/>
              <w:rPr/>
            </w:pPr>
            <w:r>
              <w:rPr/>
              <w:t>—</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3" w:type="dxa"/>
            <w:tcBorders>
              <w:bottom w:val="single" w:sz="12" w:space="0" w:color="000000"/>
            </w:tcBorders>
            <w:shd w:fill="CCEEFF" w:val="clear"/>
            <w:tcMar>
              <w:bottom w:w="28" w:type="dxa"/>
            </w:tcMar>
            <w:vAlign w:val="bottom"/>
          </w:tcPr>
          <w:p>
            <w:pPr>
              <w:pStyle w:val="TableContents"/>
              <w:spacing w:before="0" w:after="283"/>
              <w:rPr/>
            </w:pPr>
            <w:r>
              <w:rPr/>
              <w:t> </w:t>
            </w:r>
          </w:p>
        </w:tc>
        <w:tc>
          <w:tcPr>
            <w:tcW w:w="897" w:type="dxa"/>
            <w:tcBorders>
              <w:bottom w:val="single" w:sz="12" w:space="0" w:color="000000"/>
            </w:tcBorders>
            <w:shd w:fill="CCEEFF" w:val="clear"/>
            <w:tcMar>
              <w:bottom w:w="28" w:type="dxa"/>
            </w:tcM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9" w:type="dxa"/>
            <w:tcBorders>
              <w:bottom w:val="single" w:sz="12" w:space="0" w:color="000000"/>
            </w:tcBorders>
            <w:shd w:fill="CCEEFF" w:val="clear"/>
            <w:tcMar>
              <w:bottom w:w="28" w:type="dxa"/>
            </w:tcMar>
            <w:vAlign w:val="bottom"/>
          </w:tcPr>
          <w:p>
            <w:pPr>
              <w:pStyle w:val="TableContents"/>
              <w:spacing w:before="0" w:after="283"/>
              <w:rPr/>
            </w:pPr>
            <w:r>
              <w:rPr/>
              <w:t> </w:t>
            </w:r>
          </w:p>
        </w:tc>
        <w:tc>
          <w:tcPr>
            <w:tcW w:w="876" w:type="dxa"/>
            <w:tcBorders>
              <w:bottom w:val="single" w:sz="12" w:space="0" w:color="000000"/>
            </w:tcBorders>
            <w:shd w:fill="CCEEFF" w:val="clear"/>
            <w:tcMar>
              <w:bottom w:w="28" w:type="dxa"/>
            </w:tcMar>
            <w:vAlign w:val="bottom"/>
          </w:tcPr>
          <w:p>
            <w:pPr>
              <w:pStyle w:val="TableContents"/>
              <w:spacing w:before="0" w:after="0"/>
              <w:jc w:val="right"/>
              <w:rPr/>
            </w:pPr>
            <w:r>
              <w:rPr/>
              <w:t>—</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91" w:type="dxa"/>
            <w:tcBorders>
              <w:bottom w:val="single" w:sz="12" w:space="0" w:color="000000"/>
            </w:tcBorders>
            <w:shd w:fill="CCEEFF" w:val="clear"/>
            <w:tcMar>
              <w:bottom w:w="28" w:type="dxa"/>
            </w:tcMar>
            <w:vAlign w:val="bottom"/>
          </w:tcPr>
          <w:p>
            <w:pPr>
              <w:pStyle w:val="TableContents"/>
              <w:spacing w:before="0" w:after="283"/>
              <w:rPr/>
            </w:pPr>
            <w:r>
              <w:rPr/>
              <w:t> </w:t>
            </w:r>
          </w:p>
        </w:tc>
        <w:tc>
          <w:tcPr>
            <w:tcW w:w="909" w:type="dxa"/>
            <w:tcBorders>
              <w:bottom w:val="single" w:sz="12" w:space="0" w:color="000000"/>
            </w:tcBorders>
            <w:shd w:fill="CCEEFF" w:val="clear"/>
            <w:tcMar>
              <w:bottom w:w="28" w:type="dxa"/>
            </w:tcMar>
            <w:vAlign w:val="bottom"/>
          </w:tcPr>
          <w:p>
            <w:pPr>
              <w:pStyle w:val="TableContents"/>
              <w:spacing w:before="0" w:after="0"/>
              <w:jc w:val="right"/>
              <w:rPr/>
            </w:pPr>
            <w:r>
              <w:rPr/>
              <w:t>12,000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9" w:type="dxa"/>
            <w:tcBorders>
              <w:bottom w:val="single" w:sz="12" w:space="0" w:color="000000"/>
            </w:tcBorders>
            <w:shd w:fill="CCEEFF" w:val="clear"/>
            <w:tcMar>
              <w:bottom w:w="28" w:type="dxa"/>
            </w:tcMar>
            <w:vAlign w:val="bottom"/>
          </w:tcPr>
          <w:p>
            <w:pPr>
              <w:pStyle w:val="TableContents"/>
              <w:spacing w:before="0" w:after="283"/>
              <w:rPr/>
            </w:pPr>
            <w:r>
              <w:rPr/>
              <w:t> </w:t>
            </w:r>
          </w:p>
        </w:tc>
        <w:tc>
          <w:tcPr>
            <w:tcW w:w="876" w:type="dxa"/>
            <w:tcBorders>
              <w:bottom w:val="single" w:sz="12" w:space="0" w:color="000000"/>
            </w:tcBorders>
            <w:shd w:fill="CCEEFF" w:val="clear"/>
            <w:tcMar>
              <w:bottom w:w="28" w:type="dxa"/>
            </w:tcMar>
            <w:vAlign w:val="bottom"/>
          </w:tcPr>
          <w:p>
            <w:pPr>
              <w:pStyle w:val="TableContents"/>
              <w:spacing w:before="0" w:after="0"/>
              <w:jc w:val="right"/>
              <w:rPr/>
            </w:pPr>
            <w:r>
              <w:rPr/>
              <w:t>4.47</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63" w:type="dxa"/>
            <w:tcBorders>
              <w:bottom w:val="single" w:sz="12" w:space="0" w:color="000000"/>
            </w:tcBorders>
            <w:shd w:fill="CCEEFF" w:val="clear"/>
            <w:tcMar>
              <w:bottom w:w="28" w:type="dxa"/>
            </w:tcMar>
            <w:vAlign w:val="bottom"/>
          </w:tcPr>
          <w:p>
            <w:pPr>
              <w:pStyle w:val="TableContents"/>
              <w:spacing w:before="0" w:after="283"/>
              <w:rPr/>
            </w:pPr>
            <w:r>
              <w:rPr/>
              <w:t> </w:t>
            </w:r>
          </w:p>
        </w:tc>
        <w:tc>
          <w:tcPr>
            <w:tcW w:w="937" w:type="dxa"/>
            <w:tcBorders>
              <w:bottom w:val="single" w:sz="12" w:space="0" w:color="000000"/>
            </w:tcBorders>
            <w:shd w:fill="CCEEFF" w:val="clear"/>
            <w:tcMar>
              <w:bottom w:w="28" w:type="dxa"/>
            </w:tcMar>
            <w:vAlign w:val="bottom"/>
          </w:tcPr>
          <w:p>
            <w:pPr>
              <w:pStyle w:val="TableContents"/>
              <w:spacing w:before="0" w:after="0"/>
              <w:jc w:val="right"/>
              <w:rPr/>
            </w:pPr>
            <w:r>
              <w:rPr/>
              <w:t>—</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9" w:type="dxa"/>
            <w:tcBorders>
              <w:bottom w:val="single" w:sz="12" w:space="0" w:color="000000"/>
            </w:tcBorders>
            <w:shd w:fill="CCEEFF" w:val="clear"/>
            <w:tcMar>
              <w:bottom w:w="28" w:type="dxa"/>
            </w:tcMar>
            <w:vAlign w:val="bottom"/>
          </w:tcPr>
          <w:p>
            <w:pPr>
              <w:pStyle w:val="TableContents"/>
              <w:spacing w:before="0" w:after="283"/>
              <w:rPr/>
            </w:pPr>
            <w:r>
              <w:rPr/>
              <w:t> </w:t>
            </w:r>
          </w:p>
        </w:tc>
        <w:tc>
          <w:tcPr>
            <w:tcW w:w="876" w:type="dxa"/>
            <w:tcBorders>
              <w:bottom w:val="single" w:sz="12" w:space="0" w:color="000000"/>
            </w:tcBorders>
            <w:shd w:fill="CCEEFF" w:val="clear"/>
            <w:tcMar>
              <w:bottom w:w="28" w:type="dxa"/>
            </w:tcMar>
            <w:vAlign w:val="bottom"/>
          </w:tcPr>
          <w:p>
            <w:pPr>
              <w:pStyle w:val="TableContents"/>
              <w:spacing w:before="0" w:after="0"/>
              <w:jc w:val="right"/>
              <w:rPr/>
            </w:pPr>
            <w:r>
              <w:rPr/>
              <w:t>—</w:t>
            </w:r>
          </w:p>
        </w:tc>
        <w:tc>
          <w:tcPr>
            <w:tcW w:w="215" w:type="dxa"/>
            <w:tcBorders/>
            <w:shd w:fill="CCEEFF" w:val="clear"/>
            <w:vAlign w:val="bottom"/>
          </w:tcPr>
          <w:p>
            <w:pPr>
              <w:pStyle w:val="TableContents"/>
              <w:spacing w:before="0" w:after="283"/>
              <w:rPr/>
            </w:pPr>
            <w:r>
              <w:rPr/>
              <w:t> </w:t>
            </w:r>
          </w:p>
        </w:tc>
      </w:tr>
      <w:tr>
        <w:trPr/>
        <w:tc>
          <w:tcPr>
            <w:tcW w:w="1661" w:type="dxa"/>
            <w:tcBorders/>
            <w:shd w:fill="auto" w:val="clear"/>
            <w:vAlign w:val="bottom"/>
          </w:tcPr>
          <w:p>
            <w:pPr>
              <w:pStyle w:val="TableContents"/>
              <w:spacing w:before="0" w:after="0"/>
              <w:ind w:left="504" w:right="0" w:hanging="144"/>
              <w:rPr>
                <w:color w:val="000000"/>
              </w:rPr>
            </w:pPr>
            <w:r>
              <w:rPr>
                <w:color w:val="000000"/>
              </w:rPr>
              <w:t>Total available-for-sale</w:t>
            </w:r>
          </w:p>
        </w:tc>
        <w:tc>
          <w:tcPr>
            <w:tcW w:w="60" w:type="dxa"/>
            <w:tcBorders/>
            <w:shd w:fill="auto" w:val="clear"/>
            <w:vAlign w:val="bottom"/>
          </w:tcPr>
          <w:p>
            <w:pPr>
              <w:pStyle w:val="TableContents"/>
              <w:spacing w:before="0" w:after="283"/>
              <w:rPr/>
            </w:pPr>
            <w:r>
              <w:rPr/>
              <w:t> </w:t>
            </w:r>
          </w:p>
        </w:tc>
        <w:tc>
          <w:tcPr>
            <w:tcW w:w="220" w:type="dxa"/>
            <w:tcBorders>
              <w:bottom w:val="double" w:sz="8" w:space="0" w:color="000000"/>
            </w:tcBorders>
            <w:shd w:fill="auto" w:val="clear"/>
            <w:tcMar>
              <w:bottom w:w="28" w:type="dxa"/>
            </w:tcMar>
            <w:vAlign w:val="bottom"/>
          </w:tcPr>
          <w:p>
            <w:pPr>
              <w:pStyle w:val="TableContents"/>
              <w:spacing w:before="0" w:after="0"/>
              <w:rPr/>
            </w:pPr>
            <w:r>
              <w:rPr/>
              <w:t>$</w:t>
            </w:r>
          </w:p>
        </w:tc>
        <w:tc>
          <w:tcPr>
            <w:tcW w:w="880" w:type="dxa"/>
            <w:tcBorders>
              <w:bottom w:val="double" w:sz="8" w:space="0" w:color="000000"/>
            </w:tcBorders>
            <w:shd w:fill="auto" w:val="clear"/>
            <w:tcMar>
              <w:bottom w:w="28" w:type="dxa"/>
            </w:tcMar>
            <w:vAlign w:val="bottom"/>
          </w:tcPr>
          <w:p>
            <w:pPr>
              <w:pStyle w:val="TableContents"/>
              <w:spacing w:before="0" w:after="0"/>
              <w:jc w:val="right"/>
              <w:rPr/>
            </w:pPr>
            <w:r>
              <w:rPr/>
              <w:t>1,901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9" w:type="dxa"/>
            <w:tcBorders>
              <w:bottom w:val="double" w:sz="8" w:space="0" w:color="000000"/>
            </w:tcBorders>
            <w:shd w:fill="auto" w:val="clear"/>
            <w:tcMar>
              <w:bottom w:w="28" w:type="dxa"/>
            </w:tcMar>
            <w:vAlign w:val="bottom"/>
          </w:tcPr>
          <w:p>
            <w:pPr>
              <w:pStyle w:val="TableContents"/>
              <w:spacing w:before="0" w:after="283"/>
              <w:rPr/>
            </w:pPr>
            <w:r>
              <w:rPr/>
              <w:t> </w:t>
            </w:r>
          </w:p>
        </w:tc>
        <w:tc>
          <w:tcPr>
            <w:tcW w:w="876" w:type="dxa"/>
            <w:tcBorders>
              <w:bottom w:val="double" w:sz="8" w:space="0" w:color="000000"/>
            </w:tcBorders>
            <w:shd w:fill="auto" w:val="clear"/>
            <w:tcMar>
              <w:bottom w:w="28" w:type="dxa"/>
            </w:tcMar>
            <w:vAlign w:val="bottom"/>
          </w:tcPr>
          <w:p>
            <w:pPr>
              <w:pStyle w:val="TableContents"/>
              <w:spacing w:before="0" w:after="0"/>
              <w:jc w:val="right"/>
              <w:rPr/>
            </w:pPr>
            <w:r>
              <w:rPr/>
              <w:t>3.43</w:t>
            </w:r>
          </w:p>
        </w:tc>
        <w:tc>
          <w:tcPr>
            <w:tcW w:w="215" w:type="dxa"/>
            <w:tcBorders/>
            <w:shd w:fill="auto" w:val="clear"/>
            <w:vAlign w:val="bottom"/>
          </w:tcPr>
          <w:p>
            <w:pPr>
              <w:pStyle w:val="TableContents"/>
              <w:spacing w:before="0" w:after="0"/>
              <w:rPr/>
            </w:pPr>
            <w:r>
              <w:rPr/>
              <w:t>%</w:t>
            </w:r>
          </w:p>
        </w:tc>
        <w:tc>
          <w:tcPr>
            <w:tcW w:w="60" w:type="dxa"/>
            <w:tcBorders/>
            <w:shd w:fill="auto" w:val="clear"/>
            <w:vAlign w:val="bottom"/>
          </w:tcPr>
          <w:p>
            <w:pPr>
              <w:pStyle w:val="TableContents"/>
              <w:spacing w:before="0" w:after="283"/>
              <w:rPr/>
            </w:pPr>
            <w:r>
              <w:rPr/>
              <w:t> </w:t>
            </w:r>
          </w:p>
        </w:tc>
        <w:tc>
          <w:tcPr>
            <w:tcW w:w="203" w:type="dxa"/>
            <w:tcBorders>
              <w:bottom w:val="double" w:sz="8" w:space="0" w:color="000000"/>
            </w:tcBorders>
            <w:shd w:fill="auto" w:val="clear"/>
            <w:tcMar>
              <w:bottom w:w="28" w:type="dxa"/>
            </w:tcMar>
            <w:vAlign w:val="bottom"/>
          </w:tcPr>
          <w:p>
            <w:pPr>
              <w:pStyle w:val="TableContents"/>
              <w:spacing w:before="0" w:after="0"/>
              <w:rPr/>
            </w:pPr>
            <w:r>
              <w:rPr/>
              <w:t>$</w:t>
            </w:r>
          </w:p>
        </w:tc>
        <w:tc>
          <w:tcPr>
            <w:tcW w:w="897" w:type="dxa"/>
            <w:tcBorders>
              <w:bottom w:val="double" w:sz="8" w:space="0" w:color="000000"/>
            </w:tcBorders>
            <w:shd w:fill="auto" w:val="clear"/>
            <w:tcMar>
              <w:bottom w:w="28" w:type="dxa"/>
            </w:tcMar>
            <w:vAlign w:val="bottom"/>
          </w:tcPr>
          <w:p>
            <w:pPr>
              <w:pStyle w:val="TableContents"/>
              <w:spacing w:before="0" w:after="0"/>
              <w:jc w:val="right"/>
              <w:rPr/>
            </w:pPr>
            <w:r>
              <w:rPr/>
              <w:t>11,700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9" w:type="dxa"/>
            <w:tcBorders>
              <w:bottom w:val="double" w:sz="8" w:space="0" w:color="000000"/>
            </w:tcBorders>
            <w:shd w:fill="auto" w:val="clear"/>
            <w:tcMar>
              <w:bottom w:w="28" w:type="dxa"/>
            </w:tcMar>
            <w:vAlign w:val="bottom"/>
          </w:tcPr>
          <w:p>
            <w:pPr>
              <w:pStyle w:val="TableContents"/>
              <w:spacing w:before="0" w:after="283"/>
              <w:rPr/>
            </w:pPr>
            <w:r>
              <w:rPr/>
              <w:t> </w:t>
            </w:r>
          </w:p>
        </w:tc>
        <w:tc>
          <w:tcPr>
            <w:tcW w:w="876" w:type="dxa"/>
            <w:tcBorders>
              <w:bottom w:val="double" w:sz="8" w:space="0" w:color="000000"/>
            </w:tcBorders>
            <w:shd w:fill="auto" w:val="clear"/>
            <w:tcMar>
              <w:bottom w:w="28" w:type="dxa"/>
            </w:tcMar>
            <w:vAlign w:val="bottom"/>
          </w:tcPr>
          <w:p>
            <w:pPr>
              <w:pStyle w:val="TableContents"/>
              <w:spacing w:before="0" w:after="0"/>
              <w:jc w:val="right"/>
              <w:rPr/>
            </w:pPr>
            <w:r>
              <w:rPr/>
              <w:t>2.09</w:t>
            </w:r>
          </w:p>
        </w:tc>
        <w:tc>
          <w:tcPr>
            <w:tcW w:w="215" w:type="dxa"/>
            <w:tcBorders/>
            <w:shd w:fill="auto" w:val="clear"/>
            <w:vAlign w:val="bottom"/>
          </w:tcPr>
          <w:p>
            <w:pPr>
              <w:pStyle w:val="TableContents"/>
              <w:spacing w:before="0" w:after="0"/>
              <w:rPr/>
            </w:pPr>
            <w:r>
              <w:rPr/>
              <w:t>%</w:t>
            </w:r>
          </w:p>
        </w:tc>
        <w:tc>
          <w:tcPr>
            <w:tcW w:w="60" w:type="dxa"/>
            <w:tcBorders/>
            <w:shd w:fill="auto" w:val="clear"/>
            <w:vAlign w:val="bottom"/>
          </w:tcPr>
          <w:p>
            <w:pPr>
              <w:pStyle w:val="TableContents"/>
              <w:spacing w:before="0" w:after="283"/>
              <w:rPr/>
            </w:pPr>
            <w:r>
              <w:rPr/>
              <w:t> </w:t>
            </w:r>
          </w:p>
        </w:tc>
        <w:tc>
          <w:tcPr>
            <w:tcW w:w="191" w:type="dxa"/>
            <w:tcBorders>
              <w:bottom w:val="double" w:sz="8" w:space="0" w:color="000000"/>
            </w:tcBorders>
            <w:shd w:fill="auto" w:val="clear"/>
            <w:tcMar>
              <w:bottom w:w="28" w:type="dxa"/>
            </w:tcMar>
            <w:vAlign w:val="bottom"/>
          </w:tcPr>
          <w:p>
            <w:pPr>
              <w:pStyle w:val="TableContents"/>
              <w:spacing w:before="0" w:after="0"/>
              <w:rPr/>
            </w:pPr>
            <w:r>
              <w:rPr/>
              <w:t>$</w:t>
            </w:r>
          </w:p>
        </w:tc>
        <w:tc>
          <w:tcPr>
            <w:tcW w:w="909" w:type="dxa"/>
            <w:tcBorders>
              <w:bottom w:val="double" w:sz="8" w:space="0" w:color="000000"/>
            </w:tcBorders>
            <w:shd w:fill="auto" w:val="clear"/>
            <w:tcMar>
              <w:bottom w:w="28" w:type="dxa"/>
            </w:tcMar>
            <w:vAlign w:val="bottom"/>
          </w:tcPr>
          <w:p>
            <w:pPr>
              <w:pStyle w:val="TableContents"/>
              <w:spacing w:before="0" w:after="0"/>
              <w:jc w:val="right"/>
              <w:rPr/>
            </w:pPr>
            <w:r>
              <w:rPr/>
              <w:t>150,540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9" w:type="dxa"/>
            <w:tcBorders>
              <w:bottom w:val="double" w:sz="8" w:space="0" w:color="000000"/>
            </w:tcBorders>
            <w:shd w:fill="auto" w:val="clear"/>
            <w:tcMar>
              <w:bottom w:w="28" w:type="dxa"/>
            </w:tcMar>
            <w:vAlign w:val="bottom"/>
          </w:tcPr>
          <w:p>
            <w:pPr>
              <w:pStyle w:val="TableContents"/>
              <w:spacing w:before="0" w:after="283"/>
              <w:rPr/>
            </w:pPr>
            <w:r>
              <w:rPr/>
              <w:t> </w:t>
            </w:r>
          </w:p>
        </w:tc>
        <w:tc>
          <w:tcPr>
            <w:tcW w:w="876" w:type="dxa"/>
            <w:tcBorders>
              <w:bottom w:val="double" w:sz="8" w:space="0" w:color="000000"/>
            </w:tcBorders>
            <w:shd w:fill="auto" w:val="clear"/>
            <w:tcMar>
              <w:bottom w:w="28" w:type="dxa"/>
            </w:tcMar>
            <w:vAlign w:val="bottom"/>
          </w:tcPr>
          <w:p>
            <w:pPr>
              <w:pStyle w:val="TableContents"/>
              <w:spacing w:before="0" w:after="0"/>
              <w:jc w:val="right"/>
              <w:rPr/>
            </w:pPr>
            <w:r>
              <w:rPr/>
              <w:t>3.76</w:t>
            </w:r>
          </w:p>
        </w:tc>
        <w:tc>
          <w:tcPr>
            <w:tcW w:w="215" w:type="dxa"/>
            <w:tcBorders/>
            <w:shd w:fill="auto" w:val="clear"/>
            <w:vAlign w:val="bottom"/>
          </w:tcPr>
          <w:p>
            <w:pPr>
              <w:pStyle w:val="TableContents"/>
              <w:spacing w:before="0" w:after="0"/>
              <w:rPr/>
            </w:pPr>
            <w:r>
              <w:rPr/>
              <w:t>%</w:t>
            </w:r>
          </w:p>
        </w:tc>
        <w:tc>
          <w:tcPr>
            <w:tcW w:w="60" w:type="dxa"/>
            <w:tcBorders/>
            <w:shd w:fill="auto" w:val="clear"/>
            <w:vAlign w:val="bottom"/>
          </w:tcPr>
          <w:p>
            <w:pPr>
              <w:pStyle w:val="TableContents"/>
              <w:spacing w:before="0" w:after="283"/>
              <w:rPr/>
            </w:pPr>
            <w:r>
              <w:rPr/>
              <w:t> </w:t>
            </w:r>
          </w:p>
        </w:tc>
        <w:tc>
          <w:tcPr>
            <w:tcW w:w="163" w:type="dxa"/>
            <w:tcBorders>
              <w:bottom w:val="double" w:sz="8" w:space="0" w:color="000000"/>
            </w:tcBorders>
            <w:shd w:fill="auto" w:val="clear"/>
            <w:tcMar>
              <w:bottom w:w="28" w:type="dxa"/>
            </w:tcMar>
            <w:vAlign w:val="bottom"/>
          </w:tcPr>
          <w:p>
            <w:pPr>
              <w:pStyle w:val="TableContents"/>
              <w:spacing w:before="0" w:after="0"/>
              <w:rPr/>
            </w:pPr>
            <w:r>
              <w:rPr/>
              <w:t>$</w:t>
            </w:r>
          </w:p>
        </w:tc>
        <w:tc>
          <w:tcPr>
            <w:tcW w:w="937" w:type="dxa"/>
            <w:tcBorders>
              <w:bottom w:val="double" w:sz="8" w:space="0" w:color="000000"/>
            </w:tcBorders>
            <w:shd w:fill="auto" w:val="clear"/>
            <w:tcMar>
              <w:bottom w:w="28" w:type="dxa"/>
            </w:tcMar>
            <w:vAlign w:val="bottom"/>
          </w:tcPr>
          <w:p>
            <w:pPr>
              <w:pStyle w:val="TableContents"/>
              <w:spacing w:before="0" w:after="0"/>
              <w:jc w:val="right"/>
              <w:rPr/>
            </w:pPr>
            <w:r>
              <w:rPr/>
              <w:t>640,328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9" w:type="dxa"/>
            <w:tcBorders>
              <w:bottom w:val="double" w:sz="8" w:space="0" w:color="000000"/>
            </w:tcBorders>
            <w:shd w:fill="auto" w:val="clear"/>
            <w:tcMar>
              <w:bottom w:w="28" w:type="dxa"/>
            </w:tcMar>
            <w:vAlign w:val="bottom"/>
          </w:tcPr>
          <w:p>
            <w:pPr>
              <w:pStyle w:val="TableContents"/>
              <w:spacing w:before="0" w:after="283"/>
              <w:rPr/>
            </w:pPr>
            <w:r>
              <w:rPr/>
              <w:t> </w:t>
            </w:r>
          </w:p>
        </w:tc>
        <w:tc>
          <w:tcPr>
            <w:tcW w:w="876" w:type="dxa"/>
            <w:tcBorders>
              <w:bottom w:val="double" w:sz="8" w:space="0" w:color="000000"/>
            </w:tcBorders>
            <w:shd w:fill="auto" w:val="clear"/>
            <w:tcMar>
              <w:bottom w:w="28" w:type="dxa"/>
            </w:tcMar>
            <w:vAlign w:val="bottom"/>
          </w:tcPr>
          <w:p>
            <w:pPr>
              <w:pStyle w:val="TableContents"/>
              <w:spacing w:before="0" w:after="0"/>
              <w:jc w:val="right"/>
              <w:rPr/>
            </w:pPr>
            <w:r>
              <w:rPr/>
              <w:t>2.24</w:t>
            </w:r>
          </w:p>
        </w:tc>
        <w:tc>
          <w:tcPr>
            <w:tcW w:w="215" w:type="dxa"/>
            <w:tcBorders/>
            <w:shd w:fill="auto" w:val="clear"/>
            <w:vAlign w:val="bottom"/>
          </w:tcPr>
          <w:p>
            <w:pPr>
              <w:pStyle w:val="TableContents"/>
              <w:spacing w:before="0" w:after="0"/>
              <w:rPr/>
            </w:pPr>
            <w:r>
              <w:rPr/>
              <w:t>%</w:t>
            </w:r>
          </w:p>
        </w:tc>
      </w:tr>
    </w:tbl>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42</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b w:val="false"/>
            <w:i/>
            <w:color w:val="000000"/>
            <w:sz w:val="16"/>
          </w:rPr>
          <w:t>Table of Contents</w:t>
        </w:r>
      </w:hyperlink>
    </w:p>
    <w:p>
      <w:pPr>
        <w:pStyle w:val="TextBody"/>
        <w:spacing w:before="0" w:after="0"/>
        <w:jc w:val="left"/>
        <w:rPr>
          <w:rFonts w:ascii="Times New Roman" w:hAnsi="Times New Roman"/>
          <w:b/>
          <w:i/>
          <w:color w:val="000000"/>
          <w:sz w:val="20"/>
        </w:rPr>
      </w:pPr>
      <w:r>
        <w:rPr>
          <w:rFonts w:ascii="Times New Roman" w:hAnsi="Times New Roman"/>
          <w:b/>
          <w:i/>
          <w:color w:val="000000"/>
          <w:sz w:val="20"/>
        </w:rPr>
        <w:t>Deposits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Deposits represent the Company’s primary and most vital source of funds. We offer a variety of deposit products including demand deposits accounts, interest-bearing products, savings accounts and certificate of deposits. We put continued effort into gathering noninterest-bearing demand deposit accounts through loan production, customer referrals, marketing staffs, mobile and online banking and various involvements with community networks.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Total deposits at March 31, 2023 were $3.51 billion, representing an increase of $101.6 million, or 3.0%, compared to $3.41 billion at December 31, 2022. As of March 31, 2023, 31.7% of total deposits were comprised of noninterest-bearing demand accounts, 60.1% of interest-bearing non-maturity accounts and 8.2% of time deposits.</w:t>
      </w:r>
    </w:p>
    <w:p>
      <w:pPr>
        <w:pStyle w:val="TextBody"/>
        <w:spacing w:before="0" w:after="0"/>
        <w:jc w:val="left"/>
        <w:rPr/>
      </w:pPr>
      <w:r>
        <w:rPr/>
      </w:r>
    </w:p>
    <w:p>
      <w:pPr>
        <w:pStyle w:val="TextBody"/>
        <w:spacing w:before="0" w:after="0"/>
        <w:jc w:val="left"/>
        <w:rPr>
          <w:rFonts w:ascii="Times New Roman" w:hAnsi="Times New Roman"/>
          <w:color w:val="000000"/>
          <w:sz w:val="20"/>
        </w:rPr>
      </w:pPr>
      <w:r>
        <w:rPr>
          <w:rFonts w:ascii="Times New Roman" w:hAnsi="Times New Roman"/>
          <w:color w:val="000000"/>
          <w:sz w:val="20"/>
        </w:rPr>
        <w:t>The following table shows the deposit mix as of the dates presented:</w:t>
      </w:r>
    </w:p>
    <w:p>
      <w:pPr>
        <w:pStyle w:val="TextBody"/>
        <w:spacing w:before="0" w:after="0"/>
        <w:jc w:val="left"/>
        <w:rPr/>
      </w:pPr>
      <w:r>
        <w:rPr/>
      </w:r>
    </w:p>
    <w:tbl>
      <w:tblPr>
        <w:tblW w:w="8836" w:type="dxa"/>
        <w:jc w:val="left"/>
        <w:tblInd w:w="0" w:type="dxa"/>
        <w:tblCellMar>
          <w:top w:w="0" w:type="dxa"/>
          <w:left w:w="0" w:type="dxa"/>
          <w:bottom w:w="0" w:type="dxa"/>
          <w:right w:w="0" w:type="dxa"/>
        </w:tblCellMar>
      </w:tblPr>
      <w:tblGrid>
        <w:gridCol w:w="3515"/>
        <w:gridCol w:w="60"/>
        <w:gridCol w:w="140"/>
        <w:gridCol w:w="980"/>
        <w:gridCol w:w="60"/>
        <w:gridCol w:w="60"/>
        <w:gridCol w:w="107"/>
        <w:gridCol w:w="1007"/>
        <w:gridCol w:w="215"/>
        <w:gridCol w:w="60"/>
        <w:gridCol w:w="147"/>
        <w:gridCol w:w="1030"/>
        <w:gridCol w:w="63"/>
        <w:gridCol w:w="63"/>
        <w:gridCol w:w="107"/>
        <w:gridCol w:w="1007"/>
        <w:gridCol w:w="215"/>
      </w:tblGrid>
      <w:tr>
        <w:trPr/>
        <w:tc>
          <w:tcPr>
            <w:tcW w:w="35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54" w:type="dxa"/>
            <w:gridSpan w:val="6"/>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March 31, 2023</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17" w:type="dxa"/>
            <w:gridSpan w:val="6"/>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December 31, 2022</w:t>
            </w:r>
          </w:p>
        </w:tc>
        <w:tc>
          <w:tcPr>
            <w:tcW w:w="215" w:type="dxa"/>
            <w:tcBorders/>
            <w:shd w:fill="auto" w:val="clear"/>
            <w:vAlign w:val="bottom"/>
          </w:tcPr>
          <w:p>
            <w:pPr>
              <w:pStyle w:val="TableContents"/>
              <w:spacing w:before="0" w:after="283"/>
              <w:rPr/>
            </w:pPr>
            <w:r>
              <w:rPr/>
              <w:t> </w:t>
            </w:r>
          </w:p>
        </w:tc>
      </w:tr>
      <w:tr>
        <w:trPr/>
        <w:tc>
          <w:tcPr>
            <w:tcW w:w="35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2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Amount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14"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 of Total</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77"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Amount</w:t>
            </w:r>
          </w:p>
        </w:tc>
        <w:tc>
          <w:tcPr>
            <w:tcW w:w="63"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114"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 of Total</w:t>
            </w:r>
          </w:p>
        </w:tc>
        <w:tc>
          <w:tcPr>
            <w:tcW w:w="215" w:type="dxa"/>
            <w:tcBorders/>
            <w:shd w:fill="auto" w:val="clear"/>
            <w:vAlign w:val="bottom"/>
          </w:tcPr>
          <w:p>
            <w:pPr>
              <w:pStyle w:val="TableContents"/>
              <w:spacing w:before="0" w:after="283"/>
              <w:rPr/>
            </w:pPr>
            <w:r>
              <w:rPr/>
              <w:t> </w:t>
            </w:r>
          </w:p>
        </w:tc>
      </w:tr>
      <w:tr>
        <w:trPr/>
        <w:tc>
          <w:tcPr>
            <w:tcW w:w="35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46" w:type="dxa"/>
            <w:gridSpan w:val="14"/>
            <w:tcBorders/>
            <w:shd w:fill="auto" w:val="clear"/>
            <w:vAlign w:val="bottom"/>
          </w:tcPr>
          <w:p>
            <w:pPr>
              <w:pStyle w:val="TableContents"/>
              <w:spacing w:before="0" w:after="0"/>
              <w:jc w:val="center"/>
              <w:rPr>
                <w:b/>
                <w:color w:val="000000"/>
              </w:rPr>
            </w:pPr>
            <w:r>
              <w:rPr>
                <w:b/>
                <w:color w:val="000000"/>
              </w:rPr>
              <w:t>(Dollars in thousands)</w:t>
            </w:r>
          </w:p>
        </w:tc>
        <w:tc>
          <w:tcPr>
            <w:tcW w:w="215" w:type="dxa"/>
            <w:tcBorders/>
            <w:shd w:fill="auto" w:val="clear"/>
            <w:vAlign w:val="bottom"/>
          </w:tcPr>
          <w:p>
            <w:pPr>
              <w:pStyle w:val="TableContents"/>
              <w:spacing w:before="0" w:after="283"/>
              <w:rPr/>
            </w:pPr>
            <w:r>
              <w:rPr/>
              <w:t> </w:t>
            </w:r>
          </w:p>
        </w:tc>
      </w:tr>
      <w:tr>
        <w:trPr/>
        <w:tc>
          <w:tcPr>
            <w:tcW w:w="3515" w:type="dxa"/>
            <w:tcBorders/>
            <w:shd w:fill="CCEEFF" w:val="clear"/>
            <w:vAlign w:val="bottom"/>
          </w:tcPr>
          <w:p>
            <w:pPr>
              <w:pStyle w:val="TableContents"/>
              <w:spacing w:before="0" w:after="0"/>
              <w:rPr>
                <w:color w:val="000000"/>
              </w:rPr>
            </w:pPr>
            <w:r>
              <w:rPr>
                <w:color w:val="000000"/>
              </w:rPr>
              <w:t>Noninterest-bearing deposits</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pPr>
            <w:r>
              <w:rPr/>
              <w:t>$</w:t>
            </w:r>
          </w:p>
        </w:tc>
        <w:tc>
          <w:tcPr>
            <w:tcW w:w="980" w:type="dxa"/>
            <w:tcBorders/>
            <w:shd w:fill="CCEEFF" w:val="clear"/>
            <w:vAlign w:val="bottom"/>
          </w:tcPr>
          <w:p>
            <w:pPr>
              <w:pStyle w:val="TableContents"/>
              <w:spacing w:before="0" w:after="0"/>
              <w:jc w:val="right"/>
              <w:rPr/>
            </w:pPr>
            <w:r>
              <w:rPr/>
              <w:t>1,110,939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c>
          <w:tcPr>
            <w:tcW w:w="1007" w:type="dxa"/>
            <w:tcBorders/>
            <w:shd w:fill="CCEEFF" w:val="clear"/>
            <w:vAlign w:val="bottom"/>
          </w:tcPr>
          <w:p>
            <w:pPr>
              <w:pStyle w:val="TableContents"/>
              <w:spacing w:before="0" w:after="0"/>
              <w:jc w:val="right"/>
              <w:rPr/>
            </w:pPr>
            <w:r>
              <w:rPr/>
              <w:t>31.7</w:t>
            </w:r>
          </w:p>
        </w:tc>
        <w:tc>
          <w:tcPr>
            <w:tcW w:w="21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0"/>
              <w:rPr/>
            </w:pPr>
            <w:r>
              <w:rPr/>
              <w:t>$</w:t>
            </w:r>
          </w:p>
        </w:tc>
        <w:tc>
          <w:tcPr>
            <w:tcW w:w="1030" w:type="dxa"/>
            <w:tcBorders/>
            <w:shd w:fill="CCEEFF" w:val="clear"/>
            <w:vAlign w:val="bottom"/>
          </w:tcPr>
          <w:p>
            <w:pPr>
              <w:pStyle w:val="TableContents"/>
              <w:spacing w:before="0" w:after="0"/>
              <w:jc w:val="right"/>
              <w:rPr/>
            </w:pPr>
            <w:r>
              <w:rPr/>
              <w:t>1,150,488</w:t>
            </w:r>
          </w:p>
        </w:tc>
        <w:tc>
          <w:tcPr>
            <w:tcW w:w="63"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c>
          <w:tcPr>
            <w:tcW w:w="1007" w:type="dxa"/>
            <w:tcBorders/>
            <w:shd w:fill="CCEEFF" w:val="clear"/>
            <w:vAlign w:val="bottom"/>
          </w:tcPr>
          <w:p>
            <w:pPr>
              <w:pStyle w:val="TableContents"/>
              <w:spacing w:before="0" w:after="0"/>
              <w:jc w:val="right"/>
              <w:rPr/>
            </w:pPr>
            <w:r>
              <w:rPr/>
              <w:t>33.8</w:t>
            </w:r>
          </w:p>
        </w:tc>
        <w:tc>
          <w:tcPr>
            <w:tcW w:w="215" w:type="dxa"/>
            <w:tcBorders/>
            <w:shd w:fill="CCEEFF" w:val="clear"/>
            <w:vAlign w:val="bottom"/>
          </w:tcPr>
          <w:p>
            <w:pPr>
              <w:pStyle w:val="TableContents"/>
              <w:spacing w:before="0" w:after="0"/>
              <w:rPr/>
            </w:pPr>
            <w:r>
              <w:rPr/>
              <w:t>%</w:t>
            </w:r>
          </w:p>
        </w:tc>
      </w:tr>
      <w:tr>
        <w:trPr/>
        <w:tc>
          <w:tcPr>
            <w:tcW w:w="3515" w:type="dxa"/>
            <w:tcBorders/>
            <w:shd w:fill="auto" w:val="clear"/>
            <w:vAlign w:val="bottom"/>
          </w:tcPr>
          <w:p>
            <w:pPr>
              <w:pStyle w:val="TableContents"/>
              <w:spacing w:before="0" w:after="0"/>
              <w:rPr>
                <w:color w:val="000000"/>
              </w:rPr>
            </w:pPr>
            <w:r>
              <w:rPr>
                <w:color w:val="000000"/>
              </w:rPr>
              <w:t>NOW and other transaction accounts</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0"/>
              <w:jc w:val="right"/>
              <w:rPr/>
            </w:pPr>
            <w:r>
              <w:rPr/>
              <w:t>321,644</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1007" w:type="dxa"/>
            <w:tcBorders/>
            <w:shd w:fill="auto" w:val="clear"/>
            <w:vAlign w:val="bottom"/>
          </w:tcPr>
          <w:p>
            <w:pPr>
              <w:pStyle w:val="TableContents"/>
              <w:spacing w:before="0" w:after="0"/>
              <w:jc w:val="right"/>
              <w:rPr/>
            </w:pPr>
            <w:r>
              <w:rPr/>
              <w:t>9.2</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rPr/>
            </w:pPr>
            <w:r>
              <w:rPr/>
              <w:t> </w:t>
            </w:r>
          </w:p>
        </w:tc>
        <w:tc>
          <w:tcPr>
            <w:tcW w:w="1030" w:type="dxa"/>
            <w:tcBorders/>
            <w:shd w:fill="auto" w:val="clear"/>
            <w:vAlign w:val="bottom"/>
          </w:tcPr>
          <w:p>
            <w:pPr>
              <w:pStyle w:val="TableContents"/>
              <w:spacing w:before="0" w:after="0"/>
              <w:jc w:val="right"/>
              <w:rPr/>
            </w:pPr>
            <w:r>
              <w:rPr/>
              <w:t>350,910</w:t>
            </w:r>
          </w:p>
        </w:tc>
        <w:tc>
          <w:tcPr>
            <w:tcW w:w="63"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1007" w:type="dxa"/>
            <w:tcBorders/>
            <w:shd w:fill="auto" w:val="clear"/>
            <w:vAlign w:val="bottom"/>
          </w:tcPr>
          <w:p>
            <w:pPr>
              <w:pStyle w:val="TableContents"/>
              <w:spacing w:before="0" w:after="0"/>
              <w:jc w:val="right"/>
              <w:rPr/>
            </w:pPr>
            <w:r>
              <w:rPr/>
              <w:t>10.3</w:t>
            </w:r>
          </w:p>
        </w:tc>
        <w:tc>
          <w:tcPr>
            <w:tcW w:w="215" w:type="dxa"/>
            <w:tcBorders/>
            <w:shd w:fill="auto" w:val="clear"/>
            <w:vAlign w:val="bottom"/>
          </w:tcPr>
          <w:p>
            <w:pPr>
              <w:pStyle w:val="TableContents"/>
              <w:spacing w:before="0" w:after="283"/>
              <w:rPr/>
            </w:pPr>
            <w:r>
              <w:rPr/>
              <w:t> </w:t>
            </w:r>
          </w:p>
        </w:tc>
      </w:tr>
      <w:tr>
        <w:trPr/>
        <w:tc>
          <w:tcPr>
            <w:tcW w:w="3515" w:type="dxa"/>
            <w:tcBorders/>
            <w:shd w:fill="CCEEFF" w:val="clear"/>
            <w:vAlign w:val="bottom"/>
          </w:tcPr>
          <w:p>
            <w:pPr>
              <w:pStyle w:val="TableContents"/>
              <w:spacing w:before="0" w:after="0"/>
              <w:rPr>
                <w:color w:val="000000"/>
              </w:rPr>
            </w:pPr>
            <w:r>
              <w:rPr>
                <w:color w:val="000000"/>
              </w:rPr>
              <w:t>Money market and other savings</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0"/>
              <w:jc w:val="right"/>
              <w:rPr/>
            </w:pPr>
            <w:r>
              <w:rPr/>
              <w:t>1,787,621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c>
          <w:tcPr>
            <w:tcW w:w="1007" w:type="dxa"/>
            <w:tcBorders/>
            <w:shd w:fill="CCEEFF" w:val="clear"/>
            <w:vAlign w:val="bottom"/>
          </w:tcPr>
          <w:p>
            <w:pPr>
              <w:pStyle w:val="TableContents"/>
              <w:spacing w:before="0" w:after="0"/>
              <w:jc w:val="right"/>
              <w:rPr/>
            </w:pPr>
            <w:r>
              <w:rPr/>
              <w:t>50.9</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rPr/>
            </w:pPr>
            <w:r>
              <w:rPr/>
              <w:t> </w:t>
            </w:r>
          </w:p>
        </w:tc>
        <w:tc>
          <w:tcPr>
            <w:tcW w:w="1030" w:type="dxa"/>
            <w:tcBorders/>
            <w:shd w:fill="CCEEFF" w:val="clear"/>
            <w:vAlign w:val="bottom"/>
          </w:tcPr>
          <w:p>
            <w:pPr>
              <w:pStyle w:val="TableContents"/>
              <w:spacing w:before="0" w:after="0"/>
              <w:jc w:val="right"/>
              <w:rPr/>
            </w:pPr>
            <w:r>
              <w:rPr/>
              <w:t>1,618,833</w:t>
            </w:r>
          </w:p>
        </w:tc>
        <w:tc>
          <w:tcPr>
            <w:tcW w:w="63"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c>
          <w:tcPr>
            <w:tcW w:w="1007" w:type="dxa"/>
            <w:tcBorders/>
            <w:shd w:fill="CCEEFF" w:val="clear"/>
            <w:vAlign w:val="bottom"/>
          </w:tcPr>
          <w:p>
            <w:pPr>
              <w:pStyle w:val="TableContents"/>
              <w:spacing w:before="0" w:after="0"/>
              <w:jc w:val="right"/>
              <w:rPr/>
            </w:pPr>
            <w:r>
              <w:rPr/>
              <w:t>47.5</w:t>
            </w:r>
          </w:p>
        </w:tc>
        <w:tc>
          <w:tcPr>
            <w:tcW w:w="215" w:type="dxa"/>
            <w:tcBorders/>
            <w:shd w:fill="CCEEFF" w:val="clear"/>
            <w:vAlign w:val="bottom"/>
          </w:tcPr>
          <w:p>
            <w:pPr>
              <w:pStyle w:val="TableContents"/>
              <w:spacing w:before="0" w:after="283"/>
              <w:rPr/>
            </w:pPr>
            <w:r>
              <w:rPr/>
              <w:t> </w:t>
            </w:r>
          </w:p>
        </w:tc>
      </w:tr>
      <w:tr>
        <w:trPr/>
        <w:tc>
          <w:tcPr>
            <w:tcW w:w="3515" w:type="dxa"/>
            <w:tcBorders/>
            <w:shd w:fill="auto" w:val="clear"/>
            <w:vAlign w:val="bottom"/>
          </w:tcPr>
          <w:p>
            <w:pPr>
              <w:pStyle w:val="TableContents"/>
              <w:spacing w:before="0" w:after="0"/>
              <w:rPr>
                <w:color w:val="000000"/>
              </w:rPr>
            </w:pPr>
            <w:r>
              <w:rPr>
                <w:color w:val="000000"/>
              </w:rPr>
              <w:t>Time deposits</w:t>
            </w:r>
          </w:p>
        </w:tc>
        <w:tc>
          <w:tcPr>
            <w:tcW w:w="60" w:type="dxa"/>
            <w:tcBorders/>
            <w:shd w:fill="auto" w:val="clear"/>
            <w:vAlign w:val="bottom"/>
          </w:tcPr>
          <w:p>
            <w:pPr>
              <w:pStyle w:val="TableContents"/>
              <w:spacing w:before="0" w:after="283"/>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rPr/>
            </w:pPr>
            <w:r>
              <w:rPr/>
              <w:t> </w:t>
            </w:r>
          </w:p>
        </w:tc>
        <w:tc>
          <w:tcPr>
            <w:tcW w:w="980" w:type="dxa"/>
            <w:tcBorders>
              <w:bottom w:val="single" w:sz="12" w:space="0" w:color="000000"/>
            </w:tcBorders>
            <w:shd w:fill="auto" w:val="clear"/>
            <w:tcMar>
              <w:bottom w:w="28" w:type="dxa"/>
            </w:tcMar>
            <w:vAlign w:val="bottom"/>
          </w:tcPr>
          <w:p>
            <w:pPr>
              <w:pStyle w:val="TableContents"/>
              <w:spacing w:before="0" w:after="0"/>
              <w:jc w:val="right"/>
              <w:rPr/>
            </w:pPr>
            <w:r>
              <w:rPr/>
              <w:t>287,850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7" w:type="dxa"/>
            <w:tcBorders>
              <w:bottom w:val="single" w:sz="12" w:space="0" w:color="000000"/>
            </w:tcBorders>
            <w:shd w:fill="auto" w:val="clear"/>
            <w:tcMar>
              <w:bottom w:w="28" w:type="dxa"/>
            </w:tcMar>
            <w:vAlign w:val="bottom"/>
          </w:tcPr>
          <w:p>
            <w:pPr>
              <w:pStyle w:val="TableContents"/>
              <w:spacing w:before="0" w:after="283"/>
              <w:rPr/>
            </w:pPr>
            <w:r>
              <w:rPr/>
              <w:t> </w:t>
            </w:r>
          </w:p>
        </w:tc>
        <w:tc>
          <w:tcPr>
            <w:tcW w:w="1007" w:type="dxa"/>
            <w:tcBorders>
              <w:bottom w:val="single" w:sz="12" w:space="0" w:color="000000"/>
            </w:tcBorders>
            <w:shd w:fill="auto" w:val="clear"/>
            <w:tcMar>
              <w:bottom w:w="28" w:type="dxa"/>
            </w:tcMar>
            <w:vAlign w:val="bottom"/>
          </w:tcPr>
          <w:p>
            <w:pPr>
              <w:pStyle w:val="TableContents"/>
              <w:spacing w:before="0" w:after="0"/>
              <w:jc w:val="right"/>
              <w:rPr/>
            </w:pPr>
            <w:r>
              <w:rPr/>
              <w:t>8.2</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7" w:type="dxa"/>
            <w:tcBorders>
              <w:bottom w:val="single" w:sz="12" w:space="0" w:color="000000"/>
            </w:tcBorders>
            <w:shd w:fill="auto" w:val="clear"/>
            <w:tcMar>
              <w:bottom w:w="28" w:type="dxa"/>
            </w:tcMar>
            <w:vAlign w:val="bottom"/>
          </w:tcPr>
          <w:p>
            <w:pPr>
              <w:pStyle w:val="TableContents"/>
              <w:spacing w:before="0" w:after="283"/>
              <w:rPr/>
            </w:pPr>
            <w:r>
              <w:rPr/>
              <w:t> </w:t>
            </w:r>
          </w:p>
        </w:tc>
        <w:tc>
          <w:tcPr>
            <w:tcW w:w="1030" w:type="dxa"/>
            <w:tcBorders>
              <w:bottom w:val="single" w:sz="12" w:space="0" w:color="000000"/>
            </w:tcBorders>
            <w:shd w:fill="auto" w:val="clear"/>
            <w:tcMar>
              <w:bottom w:w="28" w:type="dxa"/>
            </w:tcMar>
            <w:vAlign w:val="bottom"/>
          </w:tcPr>
          <w:p>
            <w:pPr>
              <w:pStyle w:val="TableContents"/>
              <w:spacing w:before="0" w:after="0"/>
              <w:jc w:val="right"/>
              <w:rPr/>
            </w:pPr>
            <w:r>
              <w:rPr/>
              <w:t>286,199</w:t>
            </w:r>
          </w:p>
        </w:tc>
        <w:tc>
          <w:tcPr>
            <w:tcW w:w="63"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107" w:type="dxa"/>
            <w:tcBorders>
              <w:bottom w:val="single" w:sz="12" w:space="0" w:color="000000"/>
            </w:tcBorders>
            <w:shd w:fill="auto" w:val="clear"/>
            <w:tcMar>
              <w:bottom w:w="28" w:type="dxa"/>
            </w:tcMar>
            <w:vAlign w:val="bottom"/>
          </w:tcPr>
          <w:p>
            <w:pPr>
              <w:pStyle w:val="TableContents"/>
              <w:spacing w:before="0" w:after="283"/>
              <w:rPr/>
            </w:pPr>
            <w:r>
              <w:rPr/>
              <w:t> </w:t>
            </w:r>
          </w:p>
        </w:tc>
        <w:tc>
          <w:tcPr>
            <w:tcW w:w="1007" w:type="dxa"/>
            <w:tcBorders>
              <w:bottom w:val="single" w:sz="12" w:space="0" w:color="000000"/>
            </w:tcBorders>
            <w:shd w:fill="auto" w:val="clear"/>
            <w:tcMar>
              <w:bottom w:w="28" w:type="dxa"/>
            </w:tcMar>
            <w:vAlign w:val="bottom"/>
          </w:tcPr>
          <w:p>
            <w:pPr>
              <w:pStyle w:val="TableContents"/>
              <w:spacing w:before="0" w:after="0"/>
              <w:jc w:val="right"/>
              <w:rPr/>
            </w:pPr>
            <w:r>
              <w:rPr/>
              <w:t>8.4</w:t>
            </w:r>
          </w:p>
        </w:tc>
        <w:tc>
          <w:tcPr>
            <w:tcW w:w="215" w:type="dxa"/>
            <w:tcBorders/>
            <w:shd w:fill="auto" w:val="clear"/>
            <w:vAlign w:val="bottom"/>
          </w:tcPr>
          <w:p>
            <w:pPr>
              <w:pStyle w:val="TableContents"/>
              <w:spacing w:before="0" w:after="283"/>
              <w:rPr/>
            </w:pPr>
            <w:r>
              <w:rPr/>
              <w:t> </w:t>
            </w:r>
          </w:p>
        </w:tc>
      </w:tr>
      <w:tr>
        <w:trPr/>
        <w:tc>
          <w:tcPr>
            <w:tcW w:w="3515" w:type="dxa"/>
            <w:tcBorders/>
            <w:shd w:fill="CCEEFF" w:val="clear"/>
            <w:vAlign w:val="bottom"/>
          </w:tcPr>
          <w:p>
            <w:pPr>
              <w:pStyle w:val="TableContents"/>
              <w:spacing w:before="0" w:after="0"/>
              <w:ind w:left="180" w:right="0" w:hanging="0"/>
              <w:rPr>
                <w:color w:val="000000"/>
              </w:rPr>
            </w:pPr>
            <w:r>
              <w:rPr>
                <w:color w:val="000000"/>
              </w:rPr>
              <w:t>Total deposits</w:t>
            </w:r>
          </w:p>
        </w:tc>
        <w:tc>
          <w:tcPr>
            <w:tcW w:w="60" w:type="dxa"/>
            <w:tcBorders/>
            <w:shd w:fill="CCEEFF" w:val="clear"/>
            <w:vAlign w:val="bottom"/>
          </w:tcPr>
          <w:p>
            <w:pPr>
              <w:pStyle w:val="TableContents"/>
              <w:spacing w:before="0" w:after="283"/>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rPr/>
            </w:pPr>
            <w:r>
              <w:rPr/>
              <w:t>$</w:t>
            </w:r>
          </w:p>
        </w:tc>
        <w:tc>
          <w:tcPr>
            <w:tcW w:w="980" w:type="dxa"/>
            <w:tcBorders>
              <w:bottom w:val="double" w:sz="8" w:space="0" w:color="000000"/>
            </w:tcBorders>
            <w:shd w:fill="CCEEFF" w:val="clear"/>
            <w:tcMar>
              <w:bottom w:w="28" w:type="dxa"/>
            </w:tcMar>
            <w:vAlign w:val="bottom"/>
          </w:tcPr>
          <w:p>
            <w:pPr>
              <w:pStyle w:val="TableContents"/>
              <w:spacing w:before="0" w:after="0"/>
              <w:jc w:val="right"/>
              <w:rPr/>
            </w:pPr>
            <w:r>
              <w:rPr/>
              <w:t>3,508,054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07" w:type="dxa"/>
            <w:tcBorders>
              <w:bottom w:val="double" w:sz="8" w:space="0" w:color="000000"/>
            </w:tcBorders>
            <w:shd w:fill="CCEEFF" w:val="clear"/>
            <w:tcMar>
              <w:bottom w:w="28" w:type="dxa"/>
            </w:tcMar>
            <w:vAlign w:val="bottom"/>
          </w:tcPr>
          <w:p>
            <w:pPr>
              <w:pStyle w:val="TableContents"/>
              <w:spacing w:before="0" w:after="283"/>
              <w:rPr/>
            </w:pPr>
            <w:r>
              <w:rPr/>
              <w:t> </w:t>
            </w:r>
          </w:p>
        </w:tc>
        <w:tc>
          <w:tcPr>
            <w:tcW w:w="1007" w:type="dxa"/>
            <w:tcBorders>
              <w:bottom w:val="double" w:sz="8" w:space="0" w:color="000000"/>
            </w:tcBorders>
            <w:shd w:fill="CCEEFF" w:val="clear"/>
            <w:tcMar>
              <w:bottom w:w="28" w:type="dxa"/>
            </w:tcMar>
            <w:vAlign w:val="bottom"/>
          </w:tcPr>
          <w:p>
            <w:pPr>
              <w:pStyle w:val="TableContents"/>
              <w:spacing w:before="0" w:after="0"/>
              <w:jc w:val="right"/>
              <w:rPr/>
            </w:pPr>
            <w:r>
              <w:rPr/>
              <w:t>100.0</w:t>
            </w:r>
          </w:p>
        </w:tc>
        <w:tc>
          <w:tcPr>
            <w:tcW w:w="21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147" w:type="dxa"/>
            <w:tcBorders>
              <w:bottom w:val="double" w:sz="8" w:space="0" w:color="000000"/>
            </w:tcBorders>
            <w:shd w:fill="CCEEFF" w:val="clear"/>
            <w:tcMar>
              <w:bottom w:w="28" w:type="dxa"/>
            </w:tcMar>
            <w:vAlign w:val="bottom"/>
          </w:tcPr>
          <w:p>
            <w:pPr>
              <w:pStyle w:val="TableContents"/>
              <w:spacing w:before="0" w:after="0"/>
              <w:rPr/>
            </w:pPr>
            <w:r>
              <w:rPr/>
              <w:t>$</w:t>
            </w:r>
          </w:p>
        </w:tc>
        <w:tc>
          <w:tcPr>
            <w:tcW w:w="1030" w:type="dxa"/>
            <w:tcBorders>
              <w:bottom w:val="double" w:sz="8" w:space="0" w:color="000000"/>
            </w:tcBorders>
            <w:shd w:fill="CCEEFF" w:val="clear"/>
            <w:tcMar>
              <w:bottom w:w="28" w:type="dxa"/>
            </w:tcMar>
            <w:vAlign w:val="bottom"/>
          </w:tcPr>
          <w:p>
            <w:pPr>
              <w:pStyle w:val="TableContents"/>
              <w:spacing w:before="0" w:after="0"/>
              <w:jc w:val="right"/>
              <w:rPr/>
            </w:pPr>
            <w:r>
              <w:rPr/>
              <w:t>3,406,430</w:t>
            </w:r>
          </w:p>
        </w:tc>
        <w:tc>
          <w:tcPr>
            <w:tcW w:w="63" w:type="dxa"/>
            <w:tcBorders/>
            <w:shd w:fill="CCEEFF" w:val="clear"/>
            <w:vAlign w:val="bottom"/>
          </w:tcPr>
          <w:p>
            <w:pPr>
              <w:pStyle w:val="TableContents"/>
              <w:spacing w:before="0" w:after="283"/>
              <w:rPr/>
            </w:pPr>
            <w:r>
              <w:rPr/>
              <w:t> </w:t>
            </w:r>
          </w:p>
        </w:tc>
        <w:tc>
          <w:tcPr>
            <w:tcW w:w="63" w:type="dxa"/>
            <w:tcBorders/>
            <w:shd w:fill="CCEEFF" w:val="clear"/>
            <w:vAlign w:val="bottom"/>
          </w:tcPr>
          <w:p>
            <w:pPr>
              <w:pStyle w:val="TableContents"/>
              <w:spacing w:before="0" w:after="283"/>
              <w:rPr/>
            </w:pPr>
            <w:r>
              <w:rPr/>
              <w:t> </w:t>
            </w:r>
          </w:p>
        </w:tc>
        <w:tc>
          <w:tcPr>
            <w:tcW w:w="107" w:type="dxa"/>
            <w:tcBorders>
              <w:bottom w:val="double" w:sz="8" w:space="0" w:color="000000"/>
            </w:tcBorders>
            <w:shd w:fill="CCEEFF" w:val="clear"/>
            <w:tcMar>
              <w:bottom w:w="28" w:type="dxa"/>
            </w:tcMar>
            <w:vAlign w:val="bottom"/>
          </w:tcPr>
          <w:p>
            <w:pPr>
              <w:pStyle w:val="TableContents"/>
              <w:spacing w:before="0" w:after="283"/>
              <w:rPr/>
            </w:pPr>
            <w:r>
              <w:rPr/>
              <w:t> </w:t>
            </w:r>
          </w:p>
        </w:tc>
        <w:tc>
          <w:tcPr>
            <w:tcW w:w="1007" w:type="dxa"/>
            <w:tcBorders>
              <w:bottom w:val="double" w:sz="8" w:space="0" w:color="000000"/>
            </w:tcBorders>
            <w:shd w:fill="CCEEFF" w:val="clear"/>
            <w:tcMar>
              <w:bottom w:w="28" w:type="dxa"/>
            </w:tcMar>
            <w:vAlign w:val="bottom"/>
          </w:tcPr>
          <w:p>
            <w:pPr>
              <w:pStyle w:val="TableContents"/>
              <w:spacing w:before="0" w:after="0"/>
              <w:jc w:val="right"/>
              <w:rPr/>
            </w:pPr>
            <w:r>
              <w:rPr/>
              <w:t>100.0</w:t>
            </w:r>
          </w:p>
        </w:tc>
        <w:tc>
          <w:tcPr>
            <w:tcW w:w="215" w:type="dxa"/>
            <w:tcBorders/>
            <w:shd w:fill="CCEEFF" w:val="clear"/>
            <w:vAlign w:val="bottom"/>
          </w:tcPr>
          <w:p>
            <w:pPr>
              <w:pStyle w:val="TableContents"/>
              <w:spacing w:before="0" w:after="0"/>
              <w:rPr/>
            </w:pPr>
            <w:r>
              <w:rPr/>
              <w:t>%</w:t>
            </w:r>
          </w:p>
        </w:tc>
      </w:tr>
    </w:tbl>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Average deposit balances and weighted average rates paid on deposits, on an annualized basis, for the periods indicated are shown below.</w:t>
      </w:r>
    </w:p>
    <w:p>
      <w:pPr>
        <w:pStyle w:val="TextBody"/>
        <w:spacing w:before="0" w:after="0"/>
        <w:jc w:val="left"/>
        <w:rPr/>
      </w:pPr>
      <w:r>
        <w:rPr/>
      </w:r>
    </w:p>
    <w:tbl>
      <w:tblPr>
        <w:tblW w:w="10205" w:type="dxa"/>
        <w:jc w:val="left"/>
        <w:tblInd w:w="0" w:type="dxa"/>
        <w:tblCellMar>
          <w:top w:w="0" w:type="dxa"/>
          <w:left w:w="0" w:type="dxa"/>
          <w:bottom w:w="0" w:type="dxa"/>
          <w:right w:w="0" w:type="dxa"/>
        </w:tblCellMar>
      </w:tblPr>
      <w:tblGrid>
        <w:gridCol w:w="3885"/>
        <w:gridCol w:w="60"/>
        <w:gridCol w:w="171"/>
        <w:gridCol w:w="1208"/>
        <w:gridCol w:w="73"/>
        <w:gridCol w:w="73"/>
        <w:gridCol w:w="162"/>
        <w:gridCol w:w="1194"/>
        <w:gridCol w:w="215"/>
        <w:gridCol w:w="60"/>
        <w:gridCol w:w="171"/>
        <w:gridCol w:w="1208"/>
        <w:gridCol w:w="73"/>
        <w:gridCol w:w="73"/>
        <w:gridCol w:w="162"/>
        <w:gridCol w:w="1194"/>
        <w:gridCol w:w="223"/>
      </w:tblGrid>
      <w:tr>
        <w:trPr/>
        <w:tc>
          <w:tcPr>
            <w:tcW w:w="388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881" w:type="dxa"/>
            <w:gridSpan w:val="6"/>
            <w:tcBorders/>
            <w:shd w:fill="auto" w:val="clear"/>
            <w:vAlign w:val="bottom"/>
          </w:tcPr>
          <w:p>
            <w:pPr>
              <w:pStyle w:val="TableContents"/>
              <w:spacing w:before="0" w:after="0"/>
              <w:jc w:val="center"/>
              <w:rPr>
                <w:b/>
                <w:color w:val="000000"/>
              </w:rPr>
            </w:pPr>
            <w:r>
              <w:rPr>
                <w:b/>
                <w:color w:val="000000"/>
              </w:rPr>
              <w:t>Three Months Ended</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881" w:type="dxa"/>
            <w:gridSpan w:val="6"/>
            <w:tcBorders/>
            <w:shd w:fill="auto" w:val="clear"/>
            <w:vAlign w:val="bottom"/>
          </w:tcPr>
          <w:p>
            <w:pPr>
              <w:pStyle w:val="TableContents"/>
              <w:spacing w:before="0" w:after="0"/>
              <w:jc w:val="center"/>
              <w:rPr>
                <w:b/>
                <w:color w:val="000000"/>
              </w:rPr>
            </w:pPr>
            <w:r>
              <w:rPr>
                <w:b/>
                <w:color w:val="000000"/>
              </w:rPr>
              <w:t>Three Months Ended</w:t>
            </w:r>
          </w:p>
        </w:tc>
        <w:tc>
          <w:tcPr>
            <w:tcW w:w="223" w:type="dxa"/>
            <w:tcBorders/>
            <w:shd w:fill="auto" w:val="clear"/>
            <w:vAlign w:val="bottom"/>
          </w:tcPr>
          <w:p>
            <w:pPr>
              <w:pStyle w:val="TableContents"/>
              <w:spacing w:before="0" w:after="283"/>
              <w:rPr/>
            </w:pPr>
            <w:r>
              <w:rPr/>
              <w:t> </w:t>
            </w:r>
          </w:p>
        </w:tc>
      </w:tr>
      <w:tr>
        <w:trPr/>
        <w:tc>
          <w:tcPr>
            <w:tcW w:w="388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881" w:type="dxa"/>
            <w:gridSpan w:val="6"/>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March 31, 2023</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881" w:type="dxa"/>
            <w:gridSpan w:val="6"/>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March 31, 2022</w:t>
            </w:r>
          </w:p>
        </w:tc>
        <w:tc>
          <w:tcPr>
            <w:tcW w:w="223" w:type="dxa"/>
            <w:tcBorders/>
            <w:shd w:fill="auto" w:val="clear"/>
            <w:vAlign w:val="bottom"/>
          </w:tcPr>
          <w:p>
            <w:pPr>
              <w:pStyle w:val="TableContents"/>
              <w:spacing w:before="0" w:after="283"/>
              <w:rPr/>
            </w:pPr>
            <w:r>
              <w:rPr/>
              <w:t> </w:t>
            </w:r>
          </w:p>
        </w:tc>
      </w:tr>
      <w:tr>
        <w:trPr/>
        <w:tc>
          <w:tcPr>
            <w:tcW w:w="388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79"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Average</w:t>
            </w:r>
          </w:p>
          <w:p>
            <w:pPr>
              <w:pStyle w:val="TableContents"/>
              <w:spacing w:before="0" w:after="0"/>
              <w:jc w:val="center"/>
              <w:rPr>
                <w:b/>
                <w:color w:val="000000"/>
              </w:rPr>
            </w:pPr>
            <w:r>
              <w:rPr>
                <w:b/>
                <w:color w:val="000000"/>
              </w:rPr>
              <w:t>Balance</w:t>
            </w:r>
          </w:p>
        </w:tc>
        <w:tc>
          <w:tcPr>
            <w:tcW w:w="73"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c>
          <w:tcPr>
            <w:tcW w:w="1356"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Weighted</w:t>
            </w:r>
          </w:p>
          <w:p>
            <w:pPr>
              <w:pStyle w:val="TableContents"/>
              <w:spacing w:before="0" w:after="0"/>
              <w:jc w:val="center"/>
              <w:rPr>
                <w:b/>
                <w:color w:val="000000"/>
              </w:rPr>
            </w:pPr>
            <w:r>
              <w:rPr>
                <w:b/>
                <w:color w:val="000000"/>
              </w:rPr>
              <w:t>Average Rate</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79"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Average</w:t>
            </w:r>
          </w:p>
          <w:p>
            <w:pPr>
              <w:pStyle w:val="TableContents"/>
              <w:spacing w:before="0" w:after="0"/>
              <w:jc w:val="center"/>
              <w:rPr>
                <w:b/>
                <w:color w:val="000000"/>
              </w:rPr>
            </w:pPr>
            <w:r>
              <w:rPr>
                <w:b/>
                <w:color w:val="000000"/>
              </w:rPr>
              <w:t>Balance</w:t>
            </w:r>
          </w:p>
        </w:tc>
        <w:tc>
          <w:tcPr>
            <w:tcW w:w="73"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c>
          <w:tcPr>
            <w:tcW w:w="1356"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Weighted</w:t>
            </w:r>
          </w:p>
          <w:p>
            <w:pPr>
              <w:pStyle w:val="TableContents"/>
              <w:spacing w:before="0" w:after="0"/>
              <w:jc w:val="center"/>
              <w:rPr>
                <w:b/>
                <w:color w:val="000000"/>
              </w:rPr>
            </w:pPr>
            <w:r>
              <w:rPr>
                <w:b/>
                <w:color w:val="000000"/>
              </w:rPr>
              <w:t>Average Rate</w:t>
            </w:r>
          </w:p>
        </w:tc>
        <w:tc>
          <w:tcPr>
            <w:tcW w:w="223" w:type="dxa"/>
            <w:tcBorders/>
            <w:shd w:fill="auto" w:val="clear"/>
            <w:vAlign w:val="bottom"/>
          </w:tcPr>
          <w:p>
            <w:pPr>
              <w:pStyle w:val="TableContents"/>
              <w:spacing w:before="0" w:after="283"/>
              <w:rPr/>
            </w:pPr>
            <w:r>
              <w:rPr/>
              <w:t> </w:t>
            </w:r>
          </w:p>
        </w:tc>
      </w:tr>
      <w:tr>
        <w:trPr/>
        <w:tc>
          <w:tcPr>
            <w:tcW w:w="388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37" w:type="dxa"/>
            <w:gridSpan w:val="14"/>
            <w:tcBorders/>
            <w:shd w:fill="auto" w:val="clear"/>
            <w:vAlign w:val="bottom"/>
          </w:tcPr>
          <w:p>
            <w:pPr>
              <w:pStyle w:val="TableContents"/>
              <w:spacing w:before="0" w:after="0"/>
              <w:ind w:left="0" w:right="0" w:hanging="140"/>
              <w:jc w:val="center"/>
              <w:rPr>
                <w:b/>
                <w:color w:val="000000"/>
              </w:rPr>
            </w:pPr>
            <w:r>
              <w:rPr>
                <w:b/>
                <w:color w:val="000000"/>
              </w:rPr>
              <w:t>(Dollars in thousands)</w:t>
            </w:r>
          </w:p>
        </w:tc>
        <w:tc>
          <w:tcPr>
            <w:tcW w:w="223" w:type="dxa"/>
            <w:tcBorders/>
            <w:shd w:fill="auto" w:val="clear"/>
            <w:vAlign w:val="bottom"/>
          </w:tcPr>
          <w:p>
            <w:pPr>
              <w:pStyle w:val="TableContents"/>
              <w:spacing w:before="0" w:after="283"/>
              <w:rPr/>
            </w:pPr>
            <w:r>
              <w:rPr/>
              <w:t> </w:t>
            </w:r>
          </w:p>
        </w:tc>
      </w:tr>
      <w:tr>
        <w:trPr/>
        <w:tc>
          <w:tcPr>
            <w:tcW w:w="3885" w:type="dxa"/>
            <w:tcBorders/>
            <w:shd w:fill="CCEEFF" w:val="clear"/>
            <w:vAlign w:val="bottom"/>
          </w:tcPr>
          <w:p>
            <w:pPr>
              <w:pStyle w:val="TableContents"/>
              <w:spacing w:before="0" w:after="0"/>
              <w:ind w:left="144" w:right="0" w:hanging="144"/>
              <w:rPr>
                <w:color w:val="000000"/>
              </w:rPr>
            </w:pPr>
            <w:r>
              <w:rPr>
                <w:color w:val="000000"/>
              </w:rPr>
              <w:t>Noninterest-bearing deposits</w:t>
            </w:r>
          </w:p>
        </w:tc>
        <w:tc>
          <w:tcPr>
            <w:tcW w:w="60"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0"/>
              <w:rPr>
                <w:color w:val="000000"/>
              </w:rPr>
            </w:pPr>
            <w:r>
              <w:rPr>
                <w:color w:val="000000"/>
              </w:rPr>
              <w:t>$</w:t>
            </w:r>
          </w:p>
        </w:tc>
        <w:tc>
          <w:tcPr>
            <w:tcW w:w="1208" w:type="dxa"/>
            <w:tcBorders/>
            <w:shd w:fill="CCEEFF" w:val="clear"/>
            <w:vAlign w:val="bottom"/>
          </w:tcPr>
          <w:p>
            <w:pPr>
              <w:pStyle w:val="TableContents"/>
              <w:spacing w:before="0" w:after="0"/>
              <w:jc w:val="right"/>
              <w:rPr>
                <w:color w:val="000000"/>
              </w:rPr>
            </w:pPr>
            <w:r>
              <w:rPr>
                <w:color w:val="000000"/>
              </w:rPr>
              <w:t>1,109,344</w:t>
            </w:r>
          </w:p>
        </w:tc>
        <w:tc>
          <w:tcPr>
            <w:tcW w:w="73" w:type="dxa"/>
            <w:tcBorders/>
            <w:shd w:fill="CCEEFF" w:val="clear"/>
            <w:vAlign w:val="bottom"/>
          </w:tcPr>
          <w:p>
            <w:pPr>
              <w:pStyle w:val="TableContents"/>
              <w:spacing w:before="0" w:after="283"/>
              <w:rPr/>
            </w:pPr>
            <w:r>
              <w:rPr/>
              <w:t> </w:t>
            </w:r>
          </w:p>
        </w:tc>
        <w:tc>
          <w:tcPr>
            <w:tcW w:w="73"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1194" w:type="dxa"/>
            <w:tcBorders/>
            <w:shd w:fill="CCEEFF" w:val="clear"/>
            <w:vAlign w:val="bottom"/>
          </w:tcPr>
          <w:p>
            <w:pPr>
              <w:pStyle w:val="TableContents"/>
              <w:spacing w:before="0" w:after="0"/>
              <w:jc w:val="right"/>
              <w:rPr>
                <w:color w:val="000000"/>
              </w:rPr>
            </w:pPr>
            <w:r>
              <w:rPr>
                <w:color w:val="000000"/>
              </w:rPr>
              <w:t>—</w:t>
            </w:r>
          </w:p>
        </w:tc>
        <w:tc>
          <w:tcPr>
            <w:tcW w:w="215" w:type="dxa"/>
            <w:tcBorders/>
            <w:shd w:fill="CCEEFF" w:val="clear"/>
            <w:vAlign w:val="bottom"/>
          </w:tcPr>
          <w:p>
            <w:pPr>
              <w:pStyle w:val="TableContents"/>
              <w:spacing w:before="0" w:after="0"/>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0"/>
              <w:rPr>
                <w:color w:val="000000"/>
              </w:rPr>
            </w:pPr>
            <w:r>
              <w:rPr>
                <w:color w:val="000000"/>
              </w:rPr>
              <w:t>$</w:t>
            </w:r>
          </w:p>
        </w:tc>
        <w:tc>
          <w:tcPr>
            <w:tcW w:w="1208" w:type="dxa"/>
            <w:tcBorders/>
            <w:shd w:fill="CCEEFF" w:val="clear"/>
            <w:vAlign w:val="bottom"/>
          </w:tcPr>
          <w:p>
            <w:pPr>
              <w:pStyle w:val="TableContents"/>
              <w:spacing w:before="0" w:after="0"/>
              <w:jc w:val="right"/>
              <w:rPr>
                <w:color w:val="000000"/>
              </w:rPr>
            </w:pPr>
            <w:r>
              <w:rPr>
                <w:color w:val="000000"/>
              </w:rPr>
              <w:t>1,104,091</w:t>
            </w:r>
          </w:p>
        </w:tc>
        <w:tc>
          <w:tcPr>
            <w:tcW w:w="73" w:type="dxa"/>
            <w:tcBorders/>
            <w:shd w:fill="CCEEFF" w:val="clear"/>
            <w:vAlign w:val="bottom"/>
          </w:tcPr>
          <w:p>
            <w:pPr>
              <w:pStyle w:val="TableContents"/>
              <w:spacing w:before="0" w:after="283"/>
              <w:rPr/>
            </w:pPr>
            <w:r>
              <w:rPr/>
              <w:t> </w:t>
            </w:r>
          </w:p>
        </w:tc>
        <w:tc>
          <w:tcPr>
            <w:tcW w:w="73"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1194" w:type="dxa"/>
            <w:tcBorders/>
            <w:shd w:fill="CCEEFF" w:val="clear"/>
            <w:vAlign w:val="bottom"/>
          </w:tcPr>
          <w:p>
            <w:pPr>
              <w:pStyle w:val="TableContents"/>
              <w:spacing w:before="0" w:after="0"/>
              <w:jc w:val="right"/>
              <w:rPr>
                <w:color w:val="000000"/>
              </w:rPr>
            </w:pPr>
            <w:r>
              <w:rPr>
                <w:color w:val="000000"/>
              </w:rPr>
              <w:t>—</w:t>
            </w:r>
          </w:p>
        </w:tc>
        <w:tc>
          <w:tcPr>
            <w:tcW w:w="223" w:type="dxa"/>
            <w:tcBorders/>
            <w:shd w:fill="CCEEFF" w:val="clear"/>
            <w:vAlign w:val="bottom"/>
          </w:tcPr>
          <w:p>
            <w:pPr>
              <w:pStyle w:val="TableContents"/>
              <w:spacing w:before="0" w:after="0"/>
              <w:rPr>
                <w:color w:val="000000"/>
              </w:rPr>
            </w:pPr>
            <w:r>
              <w:rPr>
                <w:color w:val="000000"/>
              </w:rPr>
              <w:t>%</w:t>
            </w:r>
          </w:p>
        </w:tc>
      </w:tr>
      <w:tr>
        <w:trPr/>
        <w:tc>
          <w:tcPr>
            <w:tcW w:w="3885" w:type="dxa"/>
            <w:tcBorders/>
            <w:shd w:fill="auto" w:val="clear"/>
            <w:vAlign w:val="bottom"/>
          </w:tcPr>
          <w:p>
            <w:pPr>
              <w:pStyle w:val="TableContents"/>
              <w:spacing w:before="0" w:after="0"/>
              <w:ind w:left="144" w:right="0" w:hanging="144"/>
              <w:rPr>
                <w:color w:val="000000"/>
              </w:rPr>
            </w:pPr>
            <w:r>
              <w:rPr>
                <w:color w:val="000000"/>
              </w:rPr>
              <w:t>Interest-bearing deposits:</w:t>
            </w:r>
          </w:p>
        </w:tc>
        <w:tc>
          <w:tcPr>
            <w:tcW w:w="60"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1208" w:type="dxa"/>
            <w:tcBorders/>
            <w:shd w:fill="auto" w:val="clear"/>
            <w:vAlign w:val="bottom"/>
          </w:tcPr>
          <w:p>
            <w:pPr>
              <w:pStyle w:val="TableContents"/>
              <w:spacing w:before="0" w:after="283"/>
              <w:jc w:val="right"/>
              <w:rPr/>
            </w:pPr>
            <w:r>
              <w:rPr/>
              <w:t> </w:t>
            </w:r>
          </w:p>
        </w:tc>
        <w:tc>
          <w:tcPr>
            <w:tcW w:w="73"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1194" w:type="dxa"/>
            <w:tcBorders/>
            <w:shd w:fill="auto" w:val="clear"/>
            <w:vAlign w:val="bottom"/>
          </w:tcPr>
          <w:p>
            <w:pPr>
              <w:pStyle w:val="TableContents"/>
              <w:spacing w:before="0" w:after="283"/>
              <w:jc w:val="right"/>
              <w:rPr/>
            </w:pPr>
            <w:r>
              <w:rPr/>
              <w:t> </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1208" w:type="dxa"/>
            <w:tcBorders/>
            <w:shd w:fill="auto" w:val="clear"/>
            <w:vAlign w:val="bottom"/>
          </w:tcPr>
          <w:p>
            <w:pPr>
              <w:pStyle w:val="TableContents"/>
              <w:spacing w:before="0" w:after="283"/>
              <w:jc w:val="right"/>
              <w:rPr/>
            </w:pPr>
            <w:r>
              <w:rPr/>
              <w:t> </w:t>
            </w:r>
          </w:p>
        </w:tc>
        <w:tc>
          <w:tcPr>
            <w:tcW w:w="73"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1194" w:type="dxa"/>
            <w:tcBorders/>
            <w:shd w:fill="auto" w:val="clear"/>
            <w:vAlign w:val="bottom"/>
          </w:tcPr>
          <w:p>
            <w:pPr>
              <w:pStyle w:val="TableContents"/>
              <w:spacing w:before="0" w:after="283"/>
              <w:jc w:val="right"/>
              <w:rPr/>
            </w:pPr>
            <w:r>
              <w:rPr/>
              <w:t> </w:t>
            </w:r>
          </w:p>
        </w:tc>
        <w:tc>
          <w:tcPr>
            <w:tcW w:w="223" w:type="dxa"/>
            <w:tcBorders/>
            <w:shd w:fill="auto" w:val="clear"/>
            <w:vAlign w:val="bottom"/>
          </w:tcPr>
          <w:p>
            <w:pPr>
              <w:pStyle w:val="TableContents"/>
              <w:spacing w:before="0" w:after="283"/>
              <w:rPr/>
            </w:pPr>
            <w:r>
              <w:rPr/>
              <w:t> </w:t>
            </w:r>
          </w:p>
        </w:tc>
      </w:tr>
      <w:tr>
        <w:trPr/>
        <w:tc>
          <w:tcPr>
            <w:tcW w:w="3885" w:type="dxa"/>
            <w:tcBorders/>
            <w:shd w:fill="CCEEFF" w:val="clear"/>
            <w:vAlign w:val="bottom"/>
          </w:tcPr>
          <w:p>
            <w:pPr>
              <w:pStyle w:val="TableContents"/>
              <w:spacing w:before="0" w:after="0"/>
              <w:ind w:left="324" w:right="0" w:hanging="144"/>
              <w:rPr>
                <w:color w:val="000000"/>
              </w:rPr>
            </w:pPr>
            <w:r>
              <w:rPr>
                <w:color w:val="000000"/>
              </w:rPr>
              <w:t>NOW and interest-bearing demand accounts</w:t>
            </w:r>
          </w:p>
        </w:tc>
        <w:tc>
          <w:tcPr>
            <w:tcW w:w="60"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1208" w:type="dxa"/>
            <w:tcBorders/>
            <w:shd w:fill="CCEEFF" w:val="clear"/>
            <w:vAlign w:val="bottom"/>
          </w:tcPr>
          <w:p>
            <w:pPr>
              <w:pStyle w:val="TableContents"/>
              <w:spacing w:before="0" w:after="0"/>
              <w:jc w:val="right"/>
              <w:rPr>
                <w:color w:val="000000"/>
              </w:rPr>
            </w:pPr>
            <w:r>
              <w:rPr>
                <w:color w:val="000000"/>
              </w:rPr>
              <w:t>335,227</w:t>
            </w:r>
          </w:p>
        </w:tc>
        <w:tc>
          <w:tcPr>
            <w:tcW w:w="73" w:type="dxa"/>
            <w:tcBorders/>
            <w:shd w:fill="CCEEFF" w:val="clear"/>
            <w:vAlign w:val="bottom"/>
          </w:tcPr>
          <w:p>
            <w:pPr>
              <w:pStyle w:val="TableContents"/>
              <w:spacing w:before="0" w:after="283"/>
              <w:rPr/>
            </w:pPr>
            <w:r>
              <w:rPr/>
              <w:t> </w:t>
            </w:r>
          </w:p>
        </w:tc>
        <w:tc>
          <w:tcPr>
            <w:tcW w:w="73"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1194" w:type="dxa"/>
            <w:tcBorders/>
            <w:shd w:fill="CCEEFF" w:val="clear"/>
            <w:vAlign w:val="bottom"/>
          </w:tcPr>
          <w:p>
            <w:pPr>
              <w:pStyle w:val="TableContents"/>
              <w:spacing w:before="0" w:after="0"/>
              <w:jc w:val="right"/>
              <w:rPr>
                <w:color w:val="000000"/>
              </w:rPr>
            </w:pPr>
            <w:r>
              <w:rPr>
                <w:color w:val="000000"/>
              </w:rPr>
              <w:t>1.67</w:t>
            </w:r>
          </w:p>
        </w:tc>
        <w:tc>
          <w:tcPr>
            <w:tcW w:w="215" w:type="dxa"/>
            <w:tcBorders/>
            <w:shd w:fill="CCEEFF" w:val="clear"/>
            <w:vAlign w:val="bottom"/>
          </w:tcPr>
          <w:p>
            <w:pPr>
              <w:pStyle w:val="TableContents"/>
              <w:spacing w:before="0" w:after="0"/>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1208" w:type="dxa"/>
            <w:tcBorders/>
            <w:shd w:fill="CCEEFF" w:val="clear"/>
            <w:vAlign w:val="bottom"/>
          </w:tcPr>
          <w:p>
            <w:pPr>
              <w:pStyle w:val="TableContents"/>
              <w:spacing w:before="0" w:after="0"/>
              <w:jc w:val="right"/>
              <w:rPr>
                <w:color w:val="000000"/>
              </w:rPr>
            </w:pPr>
            <w:r>
              <w:rPr>
                <w:color w:val="000000"/>
              </w:rPr>
              <w:t>375,242</w:t>
            </w:r>
          </w:p>
        </w:tc>
        <w:tc>
          <w:tcPr>
            <w:tcW w:w="73" w:type="dxa"/>
            <w:tcBorders/>
            <w:shd w:fill="CCEEFF" w:val="clear"/>
            <w:vAlign w:val="bottom"/>
          </w:tcPr>
          <w:p>
            <w:pPr>
              <w:pStyle w:val="TableContents"/>
              <w:spacing w:before="0" w:after="283"/>
              <w:rPr/>
            </w:pPr>
            <w:r>
              <w:rPr/>
              <w:t> </w:t>
            </w:r>
          </w:p>
        </w:tc>
        <w:tc>
          <w:tcPr>
            <w:tcW w:w="73"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1194" w:type="dxa"/>
            <w:tcBorders/>
            <w:shd w:fill="CCEEFF" w:val="clear"/>
            <w:vAlign w:val="bottom"/>
          </w:tcPr>
          <w:p>
            <w:pPr>
              <w:pStyle w:val="TableContents"/>
              <w:spacing w:before="0" w:after="0"/>
              <w:jc w:val="right"/>
              <w:rPr>
                <w:color w:val="000000"/>
              </w:rPr>
            </w:pPr>
            <w:r>
              <w:rPr>
                <w:color w:val="000000"/>
              </w:rPr>
              <w:t>0.09</w:t>
            </w:r>
          </w:p>
        </w:tc>
        <w:tc>
          <w:tcPr>
            <w:tcW w:w="223" w:type="dxa"/>
            <w:tcBorders/>
            <w:shd w:fill="CCEEFF" w:val="clear"/>
            <w:vAlign w:val="bottom"/>
          </w:tcPr>
          <w:p>
            <w:pPr>
              <w:pStyle w:val="TableContents"/>
              <w:spacing w:before="0" w:after="0"/>
              <w:rPr>
                <w:color w:val="000000"/>
              </w:rPr>
            </w:pPr>
            <w:r>
              <w:rPr>
                <w:color w:val="000000"/>
              </w:rPr>
              <w:t>%</w:t>
            </w:r>
          </w:p>
        </w:tc>
      </w:tr>
      <w:tr>
        <w:trPr/>
        <w:tc>
          <w:tcPr>
            <w:tcW w:w="3885" w:type="dxa"/>
            <w:tcBorders/>
            <w:shd w:fill="auto" w:val="clear"/>
            <w:vAlign w:val="bottom"/>
          </w:tcPr>
          <w:p>
            <w:pPr>
              <w:pStyle w:val="TableContents"/>
              <w:spacing w:before="0" w:after="0"/>
              <w:ind w:left="324" w:right="0" w:hanging="144"/>
              <w:rPr>
                <w:color w:val="000000"/>
              </w:rPr>
            </w:pPr>
            <w:r>
              <w:rPr>
                <w:color w:val="000000"/>
              </w:rPr>
              <w:t>Savings accounts</w:t>
            </w:r>
          </w:p>
        </w:tc>
        <w:tc>
          <w:tcPr>
            <w:tcW w:w="60"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1208" w:type="dxa"/>
            <w:tcBorders/>
            <w:shd w:fill="auto" w:val="clear"/>
            <w:vAlign w:val="bottom"/>
          </w:tcPr>
          <w:p>
            <w:pPr>
              <w:pStyle w:val="TableContents"/>
              <w:spacing w:before="0" w:after="0"/>
              <w:jc w:val="right"/>
              <w:rPr>
                <w:color w:val="000000"/>
              </w:rPr>
            </w:pPr>
            <w:r>
              <w:rPr>
                <w:color w:val="000000"/>
              </w:rPr>
              <w:t>151,953</w:t>
            </w:r>
          </w:p>
        </w:tc>
        <w:tc>
          <w:tcPr>
            <w:tcW w:w="73"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1194" w:type="dxa"/>
            <w:tcBorders/>
            <w:shd w:fill="auto" w:val="clear"/>
            <w:vAlign w:val="bottom"/>
          </w:tcPr>
          <w:p>
            <w:pPr>
              <w:pStyle w:val="TableContents"/>
              <w:spacing w:before="0" w:after="0"/>
              <w:jc w:val="right"/>
              <w:rPr>
                <w:color w:val="000000"/>
              </w:rPr>
            </w:pPr>
            <w:r>
              <w:rPr>
                <w:color w:val="000000"/>
              </w:rPr>
              <w:t>1.06</w:t>
            </w:r>
          </w:p>
        </w:tc>
        <w:tc>
          <w:tcPr>
            <w:tcW w:w="215" w:type="dxa"/>
            <w:tcBorders/>
            <w:shd w:fill="auto" w:val="clear"/>
            <w:vAlign w:val="bottom"/>
          </w:tcPr>
          <w:p>
            <w:pPr>
              <w:pStyle w:val="TableContents"/>
              <w:spacing w:before="0" w:after="0"/>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1208" w:type="dxa"/>
            <w:tcBorders/>
            <w:shd w:fill="auto" w:val="clear"/>
            <w:vAlign w:val="bottom"/>
          </w:tcPr>
          <w:p>
            <w:pPr>
              <w:pStyle w:val="TableContents"/>
              <w:spacing w:before="0" w:after="0"/>
              <w:jc w:val="right"/>
              <w:rPr>
                <w:color w:val="000000"/>
              </w:rPr>
            </w:pPr>
            <w:r>
              <w:rPr>
                <w:color w:val="000000"/>
              </w:rPr>
              <w:t>149,016</w:t>
            </w:r>
          </w:p>
        </w:tc>
        <w:tc>
          <w:tcPr>
            <w:tcW w:w="73"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1194" w:type="dxa"/>
            <w:tcBorders/>
            <w:shd w:fill="auto" w:val="clear"/>
            <w:vAlign w:val="bottom"/>
          </w:tcPr>
          <w:p>
            <w:pPr>
              <w:pStyle w:val="TableContents"/>
              <w:spacing w:before="0" w:after="0"/>
              <w:jc w:val="right"/>
              <w:rPr>
                <w:color w:val="000000"/>
              </w:rPr>
            </w:pPr>
            <w:r>
              <w:rPr>
                <w:color w:val="000000"/>
              </w:rPr>
              <w:t>0.09</w:t>
            </w:r>
          </w:p>
        </w:tc>
        <w:tc>
          <w:tcPr>
            <w:tcW w:w="223" w:type="dxa"/>
            <w:tcBorders/>
            <w:shd w:fill="auto" w:val="clear"/>
            <w:vAlign w:val="bottom"/>
          </w:tcPr>
          <w:p>
            <w:pPr>
              <w:pStyle w:val="TableContents"/>
              <w:spacing w:before="0" w:after="0"/>
              <w:rPr>
                <w:color w:val="000000"/>
              </w:rPr>
            </w:pPr>
            <w:r>
              <w:rPr>
                <w:color w:val="000000"/>
              </w:rPr>
              <w:t>%</w:t>
            </w:r>
          </w:p>
        </w:tc>
      </w:tr>
      <w:tr>
        <w:trPr/>
        <w:tc>
          <w:tcPr>
            <w:tcW w:w="3885" w:type="dxa"/>
            <w:tcBorders/>
            <w:shd w:fill="CCEEFF" w:val="clear"/>
            <w:vAlign w:val="bottom"/>
          </w:tcPr>
          <w:p>
            <w:pPr>
              <w:pStyle w:val="TableContents"/>
              <w:spacing w:before="0" w:after="0"/>
              <w:ind w:left="324" w:right="0" w:hanging="144"/>
              <w:rPr>
                <w:color w:val="000000"/>
              </w:rPr>
            </w:pPr>
            <w:r>
              <w:rPr>
                <w:color w:val="000000"/>
              </w:rPr>
              <w:t>Money market accounts</w:t>
            </w:r>
          </w:p>
        </w:tc>
        <w:tc>
          <w:tcPr>
            <w:tcW w:w="60"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1208" w:type="dxa"/>
            <w:tcBorders/>
            <w:shd w:fill="CCEEFF" w:val="clear"/>
            <w:vAlign w:val="bottom"/>
          </w:tcPr>
          <w:p>
            <w:pPr>
              <w:pStyle w:val="TableContents"/>
              <w:spacing w:before="0" w:after="0"/>
              <w:jc w:val="right"/>
              <w:rPr>
                <w:color w:val="000000"/>
              </w:rPr>
            </w:pPr>
            <w:r>
              <w:rPr>
                <w:color w:val="000000"/>
              </w:rPr>
              <w:t>1,501,375</w:t>
            </w:r>
          </w:p>
        </w:tc>
        <w:tc>
          <w:tcPr>
            <w:tcW w:w="73" w:type="dxa"/>
            <w:tcBorders/>
            <w:shd w:fill="CCEEFF" w:val="clear"/>
            <w:vAlign w:val="bottom"/>
          </w:tcPr>
          <w:p>
            <w:pPr>
              <w:pStyle w:val="TableContents"/>
              <w:spacing w:before="0" w:after="283"/>
              <w:rPr/>
            </w:pPr>
            <w:r>
              <w:rPr/>
              <w:t> </w:t>
            </w:r>
          </w:p>
        </w:tc>
        <w:tc>
          <w:tcPr>
            <w:tcW w:w="73"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1194" w:type="dxa"/>
            <w:tcBorders/>
            <w:shd w:fill="CCEEFF" w:val="clear"/>
            <w:vAlign w:val="bottom"/>
          </w:tcPr>
          <w:p>
            <w:pPr>
              <w:pStyle w:val="TableContents"/>
              <w:spacing w:before="0" w:after="0"/>
              <w:jc w:val="right"/>
              <w:rPr>
                <w:color w:val="000000"/>
              </w:rPr>
            </w:pPr>
            <w:r>
              <w:rPr>
                <w:color w:val="000000"/>
              </w:rPr>
              <w:t>2.22</w:t>
            </w:r>
          </w:p>
        </w:tc>
        <w:tc>
          <w:tcPr>
            <w:tcW w:w="215" w:type="dxa"/>
            <w:tcBorders/>
            <w:shd w:fill="CCEEFF" w:val="clear"/>
            <w:vAlign w:val="bottom"/>
          </w:tcPr>
          <w:p>
            <w:pPr>
              <w:pStyle w:val="TableContents"/>
              <w:spacing w:before="0" w:after="0"/>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1208" w:type="dxa"/>
            <w:tcBorders/>
            <w:shd w:fill="CCEEFF" w:val="clear"/>
            <w:vAlign w:val="bottom"/>
          </w:tcPr>
          <w:p>
            <w:pPr>
              <w:pStyle w:val="TableContents"/>
              <w:spacing w:before="0" w:after="0"/>
              <w:jc w:val="right"/>
              <w:rPr>
                <w:color w:val="000000"/>
              </w:rPr>
            </w:pPr>
            <w:r>
              <w:rPr>
                <w:color w:val="000000"/>
              </w:rPr>
              <w:t>1,413,506</w:t>
            </w:r>
          </w:p>
        </w:tc>
        <w:tc>
          <w:tcPr>
            <w:tcW w:w="73" w:type="dxa"/>
            <w:tcBorders/>
            <w:shd w:fill="CCEEFF" w:val="clear"/>
            <w:vAlign w:val="bottom"/>
          </w:tcPr>
          <w:p>
            <w:pPr>
              <w:pStyle w:val="TableContents"/>
              <w:spacing w:before="0" w:after="283"/>
              <w:rPr/>
            </w:pPr>
            <w:r>
              <w:rPr/>
              <w:t> </w:t>
            </w:r>
          </w:p>
        </w:tc>
        <w:tc>
          <w:tcPr>
            <w:tcW w:w="73"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1194" w:type="dxa"/>
            <w:tcBorders/>
            <w:shd w:fill="CCEEFF" w:val="clear"/>
            <w:vAlign w:val="bottom"/>
          </w:tcPr>
          <w:p>
            <w:pPr>
              <w:pStyle w:val="TableContents"/>
              <w:spacing w:before="0" w:after="0"/>
              <w:jc w:val="right"/>
              <w:rPr>
                <w:color w:val="000000"/>
              </w:rPr>
            </w:pPr>
            <w:r>
              <w:rPr>
                <w:color w:val="000000"/>
              </w:rPr>
              <w:t>0.23</w:t>
            </w:r>
          </w:p>
        </w:tc>
        <w:tc>
          <w:tcPr>
            <w:tcW w:w="223" w:type="dxa"/>
            <w:tcBorders/>
            <w:shd w:fill="CCEEFF" w:val="clear"/>
            <w:vAlign w:val="bottom"/>
          </w:tcPr>
          <w:p>
            <w:pPr>
              <w:pStyle w:val="TableContents"/>
              <w:spacing w:before="0" w:after="0"/>
              <w:rPr>
                <w:color w:val="000000"/>
              </w:rPr>
            </w:pPr>
            <w:r>
              <w:rPr>
                <w:color w:val="000000"/>
              </w:rPr>
              <w:t>%</w:t>
            </w:r>
          </w:p>
        </w:tc>
      </w:tr>
      <w:tr>
        <w:trPr/>
        <w:tc>
          <w:tcPr>
            <w:tcW w:w="3885" w:type="dxa"/>
            <w:tcBorders/>
            <w:shd w:fill="auto" w:val="clear"/>
            <w:vAlign w:val="bottom"/>
          </w:tcPr>
          <w:p>
            <w:pPr>
              <w:pStyle w:val="TableContents"/>
              <w:spacing w:before="0" w:after="0"/>
              <w:ind w:left="324" w:right="0" w:hanging="144"/>
              <w:rPr>
                <w:color w:val="000000"/>
              </w:rPr>
            </w:pPr>
            <w:r>
              <w:rPr>
                <w:color w:val="000000"/>
              </w:rPr>
              <w:t>Time deposits</w:t>
            </w:r>
          </w:p>
        </w:tc>
        <w:tc>
          <w:tcPr>
            <w:tcW w:w="60" w:type="dxa"/>
            <w:tcBorders/>
            <w:shd w:fill="auto" w:val="clear"/>
            <w:vAlign w:val="bottom"/>
          </w:tcPr>
          <w:p>
            <w:pPr>
              <w:pStyle w:val="TableContents"/>
              <w:spacing w:before="0" w:after="283"/>
              <w:rPr/>
            </w:pPr>
            <w:r>
              <w:rPr/>
              <w:t> </w:t>
            </w:r>
          </w:p>
        </w:tc>
        <w:tc>
          <w:tcPr>
            <w:tcW w:w="171" w:type="dxa"/>
            <w:tcBorders>
              <w:bottom w:val="single" w:sz="12" w:space="0" w:color="000000"/>
            </w:tcBorders>
            <w:shd w:fill="auto" w:val="clear"/>
            <w:tcMar>
              <w:bottom w:w="28" w:type="dxa"/>
            </w:tcMar>
            <w:vAlign w:val="bottom"/>
          </w:tcPr>
          <w:p>
            <w:pPr>
              <w:pStyle w:val="TableContents"/>
              <w:spacing w:before="0" w:after="283"/>
              <w:rPr/>
            </w:pPr>
            <w:r>
              <w:rPr/>
              <w:t> </w:t>
            </w:r>
          </w:p>
        </w:tc>
        <w:tc>
          <w:tcPr>
            <w:tcW w:w="1208"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283,997</w:t>
            </w:r>
          </w:p>
        </w:tc>
        <w:tc>
          <w:tcPr>
            <w:tcW w:w="73"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1194" w:type="dxa"/>
            <w:tcBorders/>
            <w:shd w:fill="auto" w:val="clear"/>
            <w:vAlign w:val="bottom"/>
          </w:tcPr>
          <w:p>
            <w:pPr>
              <w:pStyle w:val="TableContents"/>
              <w:spacing w:before="0" w:after="0"/>
              <w:jc w:val="right"/>
              <w:rPr>
                <w:color w:val="000000"/>
              </w:rPr>
            </w:pPr>
            <w:r>
              <w:rPr>
                <w:color w:val="000000"/>
              </w:rPr>
              <w:t>1.98</w:t>
            </w:r>
          </w:p>
        </w:tc>
        <w:tc>
          <w:tcPr>
            <w:tcW w:w="215" w:type="dxa"/>
            <w:tcBorders/>
            <w:shd w:fill="auto" w:val="clear"/>
            <w:vAlign w:val="bottom"/>
          </w:tcPr>
          <w:p>
            <w:pPr>
              <w:pStyle w:val="TableContents"/>
              <w:spacing w:before="0" w:after="0"/>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171" w:type="dxa"/>
            <w:tcBorders>
              <w:bottom w:val="single" w:sz="12" w:space="0" w:color="000000"/>
            </w:tcBorders>
            <w:shd w:fill="auto" w:val="clear"/>
            <w:tcMar>
              <w:bottom w:w="28" w:type="dxa"/>
            </w:tcMar>
            <w:vAlign w:val="bottom"/>
          </w:tcPr>
          <w:p>
            <w:pPr>
              <w:pStyle w:val="TableContents"/>
              <w:spacing w:before="0" w:after="283"/>
              <w:rPr/>
            </w:pPr>
            <w:r>
              <w:rPr/>
              <w:t> </w:t>
            </w:r>
          </w:p>
        </w:tc>
        <w:tc>
          <w:tcPr>
            <w:tcW w:w="1208"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339,104</w:t>
            </w:r>
          </w:p>
        </w:tc>
        <w:tc>
          <w:tcPr>
            <w:tcW w:w="73"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1194" w:type="dxa"/>
            <w:tcBorders/>
            <w:shd w:fill="auto" w:val="clear"/>
            <w:vAlign w:val="bottom"/>
          </w:tcPr>
          <w:p>
            <w:pPr>
              <w:pStyle w:val="TableContents"/>
              <w:spacing w:before="0" w:after="0"/>
              <w:jc w:val="right"/>
              <w:rPr>
                <w:color w:val="000000"/>
              </w:rPr>
            </w:pPr>
            <w:r>
              <w:rPr>
                <w:color w:val="000000"/>
              </w:rPr>
              <w:t>1.17</w:t>
            </w:r>
          </w:p>
        </w:tc>
        <w:tc>
          <w:tcPr>
            <w:tcW w:w="223" w:type="dxa"/>
            <w:tcBorders/>
            <w:shd w:fill="auto" w:val="clear"/>
            <w:vAlign w:val="bottom"/>
          </w:tcPr>
          <w:p>
            <w:pPr>
              <w:pStyle w:val="TableContents"/>
              <w:spacing w:before="0" w:after="0"/>
              <w:rPr>
                <w:color w:val="000000"/>
              </w:rPr>
            </w:pPr>
            <w:r>
              <w:rPr>
                <w:color w:val="000000"/>
              </w:rPr>
              <w:t>%</w:t>
            </w:r>
          </w:p>
        </w:tc>
      </w:tr>
      <w:tr>
        <w:trPr/>
        <w:tc>
          <w:tcPr>
            <w:tcW w:w="3885" w:type="dxa"/>
            <w:tcBorders/>
            <w:shd w:fill="CCEEFF" w:val="clear"/>
            <w:vAlign w:val="bottom"/>
          </w:tcPr>
          <w:p>
            <w:pPr>
              <w:pStyle w:val="TableContents"/>
              <w:spacing w:before="0" w:after="0"/>
              <w:ind w:left="504" w:right="0" w:hanging="144"/>
              <w:rPr>
                <w:color w:val="000000"/>
              </w:rPr>
            </w:pPr>
            <w:r>
              <w:rPr>
                <w:color w:val="000000"/>
              </w:rPr>
              <w:t>Total interest-bearing deposits</w:t>
            </w:r>
          </w:p>
        </w:tc>
        <w:tc>
          <w:tcPr>
            <w:tcW w:w="60" w:type="dxa"/>
            <w:tcBorders/>
            <w:shd w:fill="CCEEFF" w:val="clear"/>
            <w:vAlign w:val="bottom"/>
          </w:tcPr>
          <w:p>
            <w:pPr>
              <w:pStyle w:val="TableContents"/>
              <w:spacing w:before="0" w:after="283"/>
              <w:rPr/>
            </w:pPr>
            <w:r>
              <w:rPr/>
              <w:t> </w:t>
            </w:r>
          </w:p>
        </w:tc>
        <w:tc>
          <w:tcPr>
            <w:tcW w:w="171" w:type="dxa"/>
            <w:tcBorders>
              <w:bottom w:val="single" w:sz="12" w:space="0" w:color="000000"/>
            </w:tcBorders>
            <w:shd w:fill="CCEEFF" w:val="clear"/>
            <w:tcMar>
              <w:bottom w:w="28" w:type="dxa"/>
            </w:tcMar>
            <w:vAlign w:val="bottom"/>
          </w:tcPr>
          <w:p>
            <w:pPr>
              <w:pStyle w:val="TableContents"/>
              <w:spacing w:before="0" w:after="283"/>
              <w:rPr/>
            </w:pPr>
            <w:r>
              <w:rPr/>
              <w:t> </w:t>
            </w:r>
          </w:p>
        </w:tc>
        <w:tc>
          <w:tcPr>
            <w:tcW w:w="1208"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2,272,552</w:t>
            </w:r>
          </w:p>
        </w:tc>
        <w:tc>
          <w:tcPr>
            <w:tcW w:w="73" w:type="dxa"/>
            <w:tcBorders/>
            <w:shd w:fill="CCEEFF" w:val="clear"/>
            <w:vAlign w:val="bottom"/>
          </w:tcPr>
          <w:p>
            <w:pPr>
              <w:pStyle w:val="TableContents"/>
              <w:spacing w:before="0" w:after="283"/>
              <w:rPr/>
            </w:pPr>
            <w:r>
              <w:rPr/>
              <w:t> </w:t>
            </w:r>
          </w:p>
        </w:tc>
        <w:tc>
          <w:tcPr>
            <w:tcW w:w="73"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1194" w:type="dxa"/>
            <w:tcBorders/>
            <w:shd w:fill="CCEEFF" w:val="clear"/>
            <w:vAlign w:val="bottom"/>
          </w:tcPr>
          <w:p>
            <w:pPr>
              <w:pStyle w:val="TableContents"/>
              <w:spacing w:before="0" w:after="0"/>
              <w:jc w:val="right"/>
              <w:rPr>
                <w:color w:val="000000"/>
              </w:rPr>
            </w:pPr>
            <w:r>
              <w:rPr>
                <w:color w:val="000000"/>
              </w:rPr>
              <w:t>2.03</w:t>
            </w:r>
          </w:p>
        </w:tc>
        <w:tc>
          <w:tcPr>
            <w:tcW w:w="215" w:type="dxa"/>
            <w:tcBorders/>
            <w:shd w:fill="CCEEFF" w:val="clear"/>
            <w:vAlign w:val="bottom"/>
          </w:tcPr>
          <w:p>
            <w:pPr>
              <w:pStyle w:val="TableContents"/>
              <w:spacing w:before="0" w:after="0"/>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171" w:type="dxa"/>
            <w:tcBorders>
              <w:bottom w:val="single" w:sz="12" w:space="0" w:color="000000"/>
            </w:tcBorders>
            <w:shd w:fill="CCEEFF" w:val="clear"/>
            <w:tcMar>
              <w:bottom w:w="28" w:type="dxa"/>
            </w:tcMar>
            <w:vAlign w:val="bottom"/>
          </w:tcPr>
          <w:p>
            <w:pPr>
              <w:pStyle w:val="TableContents"/>
              <w:spacing w:before="0" w:after="283"/>
              <w:rPr/>
            </w:pPr>
            <w:r>
              <w:rPr/>
              <w:t> </w:t>
            </w:r>
          </w:p>
        </w:tc>
        <w:tc>
          <w:tcPr>
            <w:tcW w:w="1208" w:type="dxa"/>
            <w:tcBorders>
              <w:bottom w:val="single" w:sz="12" w:space="0" w:color="000000"/>
            </w:tcBorders>
            <w:shd w:fill="CCEEFF" w:val="clear"/>
            <w:tcMar>
              <w:bottom w:w="28" w:type="dxa"/>
            </w:tcMar>
            <w:vAlign w:val="bottom"/>
          </w:tcPr>
          <w:p>
            <w:pPr>
              <w:pStyle w:val="TableContents"/>
              <w:spacing w:before="0" w:after="0"/>
              <w:jc w:val="right"/>
              <w:rPr>
                <w:color w:val="000000"/>
              </w:rPr>
            </w:pPr>
            <w:r>
              <w:rPr>
                <w:color w:val="000000"/>
              </w:rPr>
              <w:t>2,276,868</w:t>
            </w:r>
          </w:p>
        </w:tc>
        <w:tc>
          <w:tcPr>
            <w:tcW w:w="73" w:type="dxa"/>
            <w:tcBorders/>
            <w:shd w:fill="CCEEFF" w:val="clear"/>
            <w:vAlign w:val="bottom"/>
          </w:tcPr>
          <w:p>
            <w:pPr>
              <w:pStyle w:val="TableContents"/>
              <w:spacing w:before="0" w:after="283"/>
              <w:rPr/>
            </w:pPr>
            <w:r>
              <w:rPr/>
              <w:t> </w:t>
            </w:r>
          </w:p>
        </w:tc>
        <w:tc>
          <w:tcPr>
            <w:tcW w:w="73"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1194" w:type="dxa"/>
            <w:tcBorders/>
            <w:shd w:fill="CCEEFF" w:val="clear"/>
            <w:vAlign w:val="bottom"/>
          </w:tcPr>
          <w:p>
            <w:pPr>
              <w:pStyle w:val="TableContents"/>
              <w:spacing w:before="0" w:after="0"/>
              <w:jc w:val="right"/>
              <w:rPr>
                <w:color w:val="000000"/>
              </w:rPr>
            </w:pPr>
            <w:r>
              <w:rPr>
                <w:color w:val="000000"/>
              </w:rPr>
              <w:t>0.34</w:t>
            </w:r>
          </w:p>
        </w:tc>
        <w:tc>
          <w:tcPr>
            <w:tcW w:w="223" w:type="dxa"/>
            <w:tcBorders/>
            <w:shd w:fill="CCEEFF" w:val="clear"/>
            <w:vAlign w:val="bottom"/>
          </w:tcPr>
          <w:p>
            <w:pPr>
              <w:pStyle w:val="TableContents"/>
              <w:spacing w:before="0" w:after="0"/>
              <w:rPr>
                <w:color w:val="000000"/>
              </w:rPr>
            </w:pPr>
            <w:r>
              <w:rPr>
                <w:color w:val="000000"/>
              </w:rPr>
              <w:t>%</w:t>
            </w:r>
          </w:p>
        </w:tc>
      </w:tr>
      <w:tr>
        <w:trPr/>
        <w:tc>
          <w:tcPr>
            <w:tcW w:w="3885" w:type="dxa"/>
            <w:tcBorders/>
            <w:shd w:fill="auto" w:val="clear"/>
            <w:vAlign w:val="bottom"/>
          </w:tcPr>
          <w:p>
            <w:pPr>
              <w:pStyle w:val="TableContents"/>
              <w:spacing w:before="0" w:after="0"/>
              <w:ind w:left="684" w:right="0" w:hanging="144"/>
              <w:rPr>
                <w:color w:val="000000"/>
              </w:rPr>
            </w:pPr>
            <w:r>
              <w:rPr>
                <w:color w:val="000000"/>
              </w:rPr>
              <w:t>Total deposits</w:t>
            </w:r>
          </w:p>
        </w:tc>
        <w:tc>
          <w:tcPr>
            <w:tcW w:w="60" w:type="dxa"/>
            <w:tcBorders/>
            <w:shd w:fill="auto" w:val="clear"/>
            <w:vAlign w:val="bottom"/>
          </w:tcPr>
          <w:p>
            <w:pPr>
              <w:pStyle w:val="TableContents"/>
              <w:spacing w:before="0" w:after="283"/>
              <w:rPr/>
            </w:pPr>
            <w:r>
              <w:rPr/>
              <w:t> </w:t>
            </w:r>
          </w:p>
        </w:tc>
        <w:tc>
          <w:tcPr>
            <w:tcW w:w="171" w:type="dxa"/>
            <w:tcBorders>
              <w:bottom w:val="double" w:sz="8" w:space="0" w:color="000000"/>
            </w:tcBorders>
            <w:shd w:fill="auto" w:val="clear"/>
            <w:tcMar>
              <w:bottom w:w="28" w:type="dxa"/>
            </w:tcMar>
            <w:vAlign w:val="bottom"/>
          </w:tcPr>
          <w:p>
            <w:pPr>
              <w:pStyle w:val="TableContents"/>
              <w:spacing w:before="0" w:after="0"/>
              <w:rPr>
                <w:color w:val="000000"/>
              </w:rPr>
            </w:pPr>
            <w:r>
              <w:rPr>
                <w:color w:val="000000"/>
              </w:rPr>
              <w:t>$</w:t>
            </w:r>
          </w:p>
        </w:tc>
        <w:tc>
          <w:tcPr>
            <w:tcW w:w="1208" w:type="dxa"/>
            <w:tcBorders>
              <w:bottom w:val="double" w:sz="8" w:space="0" w:color="000000"/>
            </w:tcBorders>
            <w:shd w:fill="auto" w:val="clear"/>
            <w:tcMar>
              <w:bottom w:w="28" w:type="dxa"/>
            </w:tcMar>
            <w:vAlign w:val="bottom"/>
          </w:tcPr>
          <w:p>
            <w:pPr>
              <w:pStyle w:val="TableContents"/>
              <w:spacing w:before="0" w:after="0"/>
              <w:jc w:val="right"/>
              <w:rPr>
                <w:color w:val="000000"/>
              </w:rPr>
            </w:pPr>
            <w:r>
              <w:rPr>
                <w:color w:val="000000"/>
              </w:rPr>
              <w:t>3,381,896</w:t>
            </w:r>
          </w:p>
        </w:tc>
        <w:tc>
          <w:tcPr>
            <w:tcW w:w="73"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1194" w:type="dxa"/>
            <w:tcBorders/>
            <w:shd w:fill="auto" w:val="clear"/>
            <w:vAlign w:val="bottom"/>
          </w:tcPr>
          <w:p>
            <w:pPr>
              <w:pStyle w:val="TableContents"/>
              <w:spacing w:before="0" w:after="0"/>
              <w:jc w:val="right"/>
              <w:rPr>
                <w:color w:val="000000"/>
              </w:rPr>
            </w:pPr>
            <w:r>
              <w:rPr>
                <w:color w:val="000000"/>
              </w:rPr>
              <w:t>1.36</w:t>
            </w:r>
          </w:p>
        </w:tc>
        <w:tc>
          <w:tcPr>
            <w:tcW w:w="215" w:type="dxa"/>
            <w:tcBorders/>
            <w:shd w:fill="auto" w:val="clear"/>
            <w:vAlign w:val="bottom"/>
          </w:tcPr>
          <w:p>
            <w:pPr>
              <w:pStyle w:val="TableContents"/>
              <w:spacing w:before="0" w:after="0"/>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171" w:type="dxa"/>
            <w:tcBorders>
              <w:bottom w:val="double" w:sz="8" w:space="0" w:color="000000"/>
            </w:tcBorders>
            <w:shd w:fill="auto" w:val="clear"/>
            <w:tcMar>
              <w:bottom w:w="28" w:type="dxa"/>
            </w:tcMar>
            <w:vAlign w:val="bottom"/>
          </w:tcPr>
          <w:p>
            <w:pPr>
              <w:pStyle w:val="TableContents"/>
              <w:spacing w:before="0" w:after="0"/>
              <w:rPr>
                <w:color w:val="000000"/>
              </w:rPr>
            </w:pPr>
            <w:r>
              <w:rPr>
                <w:color w:val="000000"/>
              </w:rPr>
              <w:t>$</w:t>
            </w:r>
          </w:p>
        </w:tc>
        <w:tc>
          <w:tcPr>
            <w:tcW w:w="1208" w:type="dxa"/>
            <w:tcBorders>
              <w:bottom w:val="double" w:sz="8" w:space="0" w:color="000000"/>
            </w:tcBorders>
            <w:shd w:fill="auto" w:val="clear"/>
            <w:tcMar>
              <w:bottom w:w="28" w:type="dxa"/>
            </w:tcMar>
            <w:vAlign w:val="bottom"/>
          </w:tcPr>
          <w:p>
            <w:pPr>
              <w:pStyle w:val="TableContents"/>
              <w:spacing w:before="0" w:after="0"/>
              <w:jc w:val="right"/>
              <w:rPr>
                <w:color w:val="000000"/>
              </w:rPr>
            </w:pPr>
            <w:r>
              <w:rPr>
                <w:color w:val="000000"/>
              </w:rPr>
              <w:t>3,380,959</w:t>
            </w:r>
          </w:p>
        </w:tc>
        <w:tc>
          <w:tcPr>
            <w:tcW w:w="73" w:type="dxa"/>
            <w:tcBorders/>
            <w:shd w:fill="auto" w:val="clear"/>
            <w:vAlign w:val="bottom"/>
          </w:tcPr>
          <w:p>
            <w:pPr>
              <w:pStyle w:val="TableContents"/>
              <w:spacing w:before="0" w:after="283"/>
              <w:rPr/>
            </w:pPr>
            <w:r>
              <w:rPr/>
              <w:t> </w:t>
            </w:r>
          </w:p>
        </w:tc>
        <w:tc>
          <w:tcPr>
            <w:tcW w:w="73"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1194" w:type="dxa"/>
            <w:tcBorders/>
            <w:shd w:fill="auto" w:val="clear"/>
            <w:vAlign w:val="bottom"/>
          </w:tcPr>
          <w:p>
            <w:pPr>
              <w:pStyle w:val="TableContents"/>
              <w:spacing w:before="0" w:after="0"/>
              <w:jc w:val="right"/>
              <w:rPr>
                <w:color w:val="000000"/>
              </w:rPr>
            </w:pPr>
            <w:r>
              <w:rPr>
                <w:color w:val="000000"/>
              </w:rPr>
              <w:t>0.23</w:t>
            </w:r>
          </w:p>
        </w:tc>
        <w:tc>
          <w:tcPr>
            <w:tcW w:w="223" w:type="dxa"/>
            <w:tcBorders/>
            <w:shd w:fill="auto" w:val="clear"/>
            <w:vAlign w:val="bottom"/>
          </w:tcPr>
          <w:p>
            <w:pPr>
              <w:pStyle w:val="TableContents"/>
              <w:spacing w:before="0" w:after="0"/>
              <w:rPr>
                <w:color w:val="000000"/>
              </w:rPr>
            </w:pPr>
            <w:r>
              <w:rPr>
                <w:color w:val="000000"/>
              </w:rPr>
              <w:t>%</w:t>
            </w:r>
          </w:p>
        </w:tc>
      </w:tr>
    </w:tbl>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scheduled maturities of uninsured certificates of deposits or other time deposits as of March 31, 2023 follows:</w:t>
      </w:r>
    </w:p>
    <w:p>
      <w:pPr>
        <w:pStyle w:val="TextBody"/>
        <w:spacing w:before="0" w:after="0"/>
        <w:jc w:val="left"/>
        <w:rPr/>
      </w:pPr>
      <w:r>
        <w:rPr/>
      </w:r>
    </w:p>
    <w:tbl>
      <w:tblPr>
        <w:tblW w:w="7848" w:type="dxa"/>
        <w:jc w:val="left"/>
        <w:tblInd w:w="0" w:type="dxa"/>
        <w:tblCellMar>
          <w:top w:w="0" w:type="dxa"/>
          <w:left w:w="0" w:type="dxa"/>
          <w:bottom w:w="0" w:type="dxa"/>
          <w:right w:w="0" w:type="dxa"/>
        </w:tblCellMar>
      </w:tblPr>
      <w:tblGrid>
        <w:gridCol w:w="2255"/>
        <w:gridCol w:w="60"/>
        <w:gridCol w:w="160"/>
        <w:gridCol w:w="640"/>
        <w:gridCol w:w="60"/>
        <w:gridCol w:w="60"/>
        <w:gridCol w:w="235"/>
        <w:gridCol w:w="940"/>
        <w:gridCol w:w="60"/>
        <w:gridCol w:w="60"/>
        <w:gridCol w:w="187"/>
        <w:gridCol w:w="912"/>
        <w:gridCol w:w="60"/>
        <w:gridCol w:w="60"/>
        <w:gridCol w:w="187"/>
        <w:gridCol w:w="912"/>
        <w:gridCol w:w="60"/>
        <w:gridCol w:w="60"/>
        <w:gridCol w:w="140"/>
        <w:gridCol w:w="680"/>
        <w:gridCol w:w="60"/>
      </w:tblGrid>
      <w:tr>
        <w:trPr/>
        <w:tc>
          <w:tcPr>
            <w:tcW w:w="2255" w:type="dxa"/>
            <w:tcBorders/>
            <w:shd w:fill="auto" w:val="clear"/>
            <w:vAlign w:val="bottom"/>
          </w:tcPr>
          <w:p>
            <w:pPr>
              <w:pStyle w:val="TableContents"/>
              <w:spacing w:before="0" w:after="0"/>
              <w:ind w:left="144" w:right="0" w:hanging="144"/>
              <w:rPr>
                <w:b/>
                <w:color w:val="000000"/>
              </w:rPr>
            </w:pPr>
            <w:r>
              <w:rPr>
                <w:b/>
                <w:color w:val="000000"/>
              </w:rPr>
              <w:t>(Dollars in thousands)</w:t>
            </w:r>
          </w:p>
        </w:tc>
        <w:tc>
          <w:tcPr>
            <w:tcW w:w="60" w:type="dxa"/>
            <w:tcBorders/>
            <w:shd w:fill="auto" w:val="clear"/>
            <w:vAlign w:val="bottom"/>
          </w:tcPr>
          <w:p>
            <w:pPr>
              <w:pStyle w:val="TableContents"/>
              <w:spacing w:before="0" w:after="283"/>
              <w:rPr/>
            </w:pPr>
            <w:r>
              <w:rPr/>
              <w:t> </w:t>
            </w:r>
          </w:p>
        </w:tc>
        <w:tc>
          <w:tcPr>
            <w:tcW w:w="80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Three</w:t>
            </w:r>
          </w:p>
          <w:p>
            <w:pPr>
              <w:pStyle w:val="TableContents"/>
              <w:spacing w:before="0" w:after="0"/>
              <w:jc w:val="center"/>
              <w:rPr>
                <w:b/>
                <w:color w:val="000000"/>
              </w:rPr>
            </w:pPr>
            <w:r>
              <w:rPr>
                <w:b/>
                <w:color w:val="000000"/>
              </w:rPr>
              <w:t>Months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75"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Three to</w:t>
            </w:r>
          </w:p>
          <w:p>
            <w:pPr>
              <w:pStyle w:val="TableContents"/>
              <w:spacing w:before="0" w:after="0"/>
              <w:jc w:val="center"/>
              <w:rPr>
                <w:b/>
                <w:color w:val="000000"/>
              </w:rPr>
            </w:pPr>
            <w:r>
              <w:rPr>
                <w:b/>
                <w:color w:val="000000"/>
              </w:rPr>
              <w:t>Six Months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9"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Six to</w:t>
            </w:r>
          </w:p>
          <w:p>
            <w:pPr>
              <w:pStyle w:val="TableContents"/>
              <w:spacing w:before="0" w:after="0"/>
              <w:jc w:val="center"/>
              <w:rPr>
                <w:b/>
                <w:color w:val="000000"/>
              </w:rPr>
            </w:pPr>
            <w:r>
              <w:rPr>
                <w:b/>
                <w:color w:val="000000"/>
              </w:rPr>
              <w:t>12 Months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9"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After</w:t>
            </w:r>
          </w:p>
          <w:p>
            <w:pPr>
              <w:pStyle w:val="TableContents"/>
              <w:spacing w:before="0" w:after="0"/>
              <w:jc w:val="center"/>
              <w:rPr>
                <w:b/>
                <w:color w:val="000000"/>
              </w:rPr>
            </w:pPr>
            <w:r>
              <w:rPr>
                <w:b/>
                <w:color w:val="000000"/>
              </w:rPr>
              <w:t>12 Months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Total</w:t>
            </w:r>
          </w:p>
        </w:tc>
        <w:tc>
          <w:tcPr>
            <w:tcW w:w="60" w:type="dxa"/>
            <w:tcBorders/>
            <w:shd w:fill="auto" w:val="clear"/>
            <w:vAlign w:val="bottom"/>
          </w:tcPr>
          <w:p>
            <w:pPr>
              <w:pStyle w:val="TableContents"/>
              <w:spacing w:before="0" w:after="283"/>
              <w:rPr/>
            </w:pPr>
            <w:r>
              <w:rPr/>
              <w:t> </w:t>
            </w:r>
          </w:p>
        </w:tc>
      </w:tr>
      <w:tr>
        <w:trPr/>
        <w:tc>
          <w:tcPr>
            <w:tcW w:w="22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0"/>
              <w:rPr>
                <w:color w:val="000000"/>
              </w:rPr>
            </w:pPr>
            <w:r>
              <w:rPr>
                <w:color w:val="000000"/>
              </w:rPr>
              <w:t>$</w:t>
            </w:r>
          </w:p>
        </w:tc>
        <w:tc>
          <w:tcPr>
            <w:tcW w:w="640" w:type="dxa"/>
            <w:tcBorders/>
            <w:shd w:fill="CCEEFF" w:val="clear"/>
            <w:vAlign w:val="bottom"/>
          </w:tcPr>
          <w:p>
            <w:pPr>
              <w:pStyle w:val="TableContents"/>
              <w:spacing w:before="0" w:after="0"/>
              <w:jc w:val="right"/>
              <w:rPr>
                <w:color w:val="000000"/>
              </w:rPr>
            </w:pPr>
            <w:r>
              <w:rPr>
                <w:color w:val="000000"/>
              </w:rPr>
              <w:t>5,337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35" w:type="dxa"/>
            <w:tcBorders/>
            <w:shd w:fill="CCEEFF" w:val="clear"/>
            <w:vAlign w:val="bottom"/>
          </w:tcPr>
          <w:p>
            <w:pPr>
              <w:pStyle w:val="TableContents"/>
              <w:spacing w:before="0" w:after="0"/>
              <w:rPr>
                <w:color w:val="000000"/>
              </w:rPr>
            </w:pPr>
            <w:r>
              <w:rPr>
                <w:color w:val="000000"/>
              </w:rPr>
              <w:t>$</w:t>
            </w:r>
          </w:p>
        </w:tc>
        <w:tc>
          <w:tcPr>
            <w:tcW w:w="940" w:type="dxa"/>
            <w:tcBorders/>
            <w:shd w:fill="CCEEFF" w:val="clear"/>
            <w:vAlign w:val="bottom"/>
          </w:tcPr>
          <w:p>
            <w:pPr>
              <w:pStyle w:val="TableContents"/>
              <w:spacing w:before="0" w:after="0"/>
              <w:jc w:val="right"/>
              <w:rPr>
                <w:color w:val="000000"/>
              </w:rPr>
            </w:pPr>
            <w:r>
              <w:rPr>
                <w:color w:val="000000"/>
              </w:rPr>
              <w:t>3,969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0"/>
              <w:rPr>
                <w:color w:val="000000"/>
              </w:rPr>
            </w:pPr>
            <w:r>
              <w:rPr>
                <w:color w:val="000000"/>
              </w:rPr>
              <w:t>$</w:t>
            </w:r>
          </w:p>
        </w:tc>
        <w:tc>
          <w:tcPr>
            <w:tcW w:w="912" w:type="dxa"/>
            <w:tcBorders/>
            <w:shd w:fill="CCEEFF" w:val="clear"/>
            <w:vAlign w:val="bottom"/>
          </w:tcPr>
          <w:p>
            <w:pPr>
              <w:pStyle w:val="TableContents"/>
              <w:spacing w:before="0" w:after="0"/>
              <w:jc w:val="right"/>
              <w:rPr>
                <w:color w:val="000000"/>
              </w:rPr>
            </w:pPr>
            <w:r>
              <w:rPr>
                <w:color w:val="000000"/>
              </w:rPr>
              <w:t>34,203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0"/>
              <w:rPr>
                <w:color w:val="000000"/>
              </w:rPr>
            </w:pPr>
            <w:r>
              <w:rPr>
                <w:color w:val="000000"/>
              </w:rPr>
              <w:t>$</w:t>
            </w:r>
          </w:p>
        </w:tc>
        <w:tc>
          <w:tcPr>
            <w:tcW w:w="912" w:type="dxa"/>
            <w:tcBorders/>
            <w:shd w:fill="CCEEFF" w:val="clear"/>
            <w:vAlign w:val="bottom"/>
          </w:tcPr>
          <w:p>
            <w:pPr>
              <w:pStyle w:val="TableContents"/>
              <w:spacing w:before="0" w:after="0"/>
              <w:jc w:val="right"/>
              <w:rPr>
                <w:color w:val="000000"/>
              </w:rPr>
            </w:pPr>
            <w:r>
              <w:rPr>
                <w:color w:val="000000"/>
              </w:rPr>
              <w:t>21,015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color w:val="000000"/>
              </w:rPr>
            </w:pPr>
            <w:r>
              <w:rPr>
                <w:color w:val="000000"/>
              </w:rPr>
              <w:t>$</w:t>
            </w:r>
          </w:p>
        </w:tc>
        <w:tc>
          <w:tcPr>
            <w:tcW w:w="680" w:type="dxa"/>
            <w:tcBorders/>
            <w:shd w:fill="CCEEFF" w:val="clear"/>
            <w:vAlign w:val="bottom"/>
          </w:tcPr>
          <w:p>
            <w:pPr>
              <w:pStyle w:val="TableContents"/>
              <w:spacing w:before="0" w:after="0"/>
              <w:jc w:val="right"/>
              <w:rPr>
                <w:color w:val="000000"/>
              </w:rPr>
            </w:pPr>
            <w:r>
              <w:rPr>
                <w:color w:val="000000"/>
              </w:rPr>
              <w:t>64,524</w:t>
            </w:r>
          </w:p>
        </w:tc>
        <w:tc>
          <w:tcPr>
            <w:tcW w:w="60" w:type="dxa"/>
            <w:tcBorders/>
            <w:shd w:fill="CCEEFF" w:val="clear"/>
            <w:vAlign w:val="bottom"/>
          </w:tcPr>
          <w:p>
            <w:pPr>
              <w:pStyle w:val="TableContents"/>
              <w:spacing w:before="0" w:after="283"/>
              <w:rPr/>
            </w:pPr>
            <w:r>
              <w:rPr/>
              <w:t> </w:t>
            </w:r>
          </w:p>
        </w:tc>
      </w:tr>
    </w:tbl>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estimated amount of uninsured deposits as of March 31, 2023 was $600.2 million. This represented approximately 17% of total deposits and excludes collateralized public fund deposits.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Time deposits in amounts of more than $250 thousand represent the type of deposit most likely to affect the Company’s future earnings because of interest rate sensitivity. The effective cost of these funds is generally higher than other time deposits because the funds are usually obtained at premium rates of interest. Time deposits in amounts of more than $250 thousand totaled $120.5 million at March 31, 2023.</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43</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b w:val="false"/>
            <w:i/>
            <w:color w:val="000000"/>
            <w:sz w:val="16"/>
          </w:rPr>
          <w:t>Table of Contents</w:t>
        </w:r>
      </w:hyperlink>
    </w:p>
    <w:p>
      <w:pPr>
        <w:pStyle w:val="TextBody"/>
        <w:spacing w:before="0" w:after="0"/>
        <w:jc w:val="left"/>
        <w:rPr>
          <w:rFonts w:ascii="Times New Roman" w:hAnsi="Times New Roman"/>
          <w:b/>
          <w:i/>
          <w:color w:val="000000"/>
          <w:sz w:val="20"/>
        </w:rPr>
      </w:pPr>
      <w:r>
        <w:rPr>
          <w:rFonts w:ascii="Times New Roman" w:hAnsi="Times New Roman"/>
          <w:b/>
          <w:i/>
          <w:color w:val="000000"/>
          <w:sz w:val="20"/>
        </w:rPr>
        <w:t>Borrowed Funds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In addition to deposits, we utilize advances from the FHLB and other borrowings as a supplementary funding source to finance our operations.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i/>
          <w:color w:val="000000"/>
          <w:sz w:val="20"/>
        </w:rPr>
        <w:t>FHLB Advances</w:t>
      </w:r>
      <w:r>
        <w:rPr>
          <w:rFonts w:ascii="Times New Roman" w:hAnsi="Times New Roman"/>
          <w:color w:val="000000"/>
          <w:sz w:val="20"/>
        </w:rPr>
        <w:t>. The FHLB allows us to borrow, both short and long-term, on a blanket floating lien status collateralized by first mortgage loans and commercial real estate loans as well as FHLB stock. At March 31, 2023 and December 31, 2022, we had total remaining borrowing capacity from the FHLB of $987.8 million and $920.2 million, respectively.</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We had no long-term FHLB borrowings during the three months ended March 31, 2023 or 2022.</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i/>
          <w:color w:val="000000"/>
          <w:sz w:val="20"/>
        </w:rPr>
        <w:t>Federal Reserve Bank of Dallas</w:t>
      </w:r>
      <w:r>
        <w:rPr>
          <w:rFonts w:ascii="Times New Roman" w:hAnsi="Times New Roman"/>
          <w:color w:val="000000"/>
          <w:sz w:val="20"/>
        </w:rPr>
        <w:t>. The Bank has a line of credit with the Federal Reserve Bank of Dallas (the “FRB”). The amount of the line is determined on a monthly basis by the FRB. The line is collateralized by a blanket floating lien on all agriculture, commercial and consumer loans. The amount of the line was $585.6 million and $648.3 million at March 31, 2023 and December 31, 2022, respectively.</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We had no long-term FRB borrowings during the three months ended March 31, 2023 or 2022.</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In addition, we have access to the FRB’s BTFP. As of March 31, 2023, the Company has not pledged any securities for the BTFP but has approximately $179 million of available securities that can be used as collateral for additional borrowings through the program.</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i/>
          <w:color w:val="000000"/>
          <w:sz w:val="20"/>
        </w:rPr>
        <w:t>Lines of Credit</w:t>
      </w:r>
      <w:r>
        <w:rPr>
          <w:rFonts w:ascii="Times New Roman" w:hAnsi="Times New Roman"/>
          <w:color w:val="000000"/>
          <w:sz w:val="20"/>
        </w:rPr>
        <w:t>. The Bank has uncollateralized lines of credit with multiple banks as a source of funding for liquidity management. The total amount of the lines was $160.0 million and $160.0 million as of March 31, 2023 and December 31, 2022, respectively. The lines were not used during the three months ended March 31, 2023 or the three months ended March 31, 2022.</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i/>
          <w:color w:val="000000"/>
          <w:sz w:val="20"/>
        </w:rPr>
        <w:t>Subordinated Debt</w:t>
      </w:r>
      <w:r>
        <w:rPr>
          <w:rFonts w:ascii="Times New Roman" w:hAnsi="Times New Roman"/>
          <w:color w:val="000000"/>
          <w:sz w:val="20"/>
        </w:rPr>
        <w:t xml:space="preserve">. In December 2018, the Company issued $26.5 million in subordinated notes. Notes totaling $12.4 million have a maturity date of December 2028 and an average fixed rate of 5.74% for the first five years. The remaining $14.1 million of notes have a maturity date of December 2030 and an average fixed rate of 6.41% for the first seven years. After the fixed rate periods, all notes will float at the </w:t>
      </w:r>
      <w:r>
        <w:rPr>
          <w:rFonts w:ascii="Times New Roman" w:hAnsi="Times New Roman"/>
          <w:i/>
          <w:color w:val="000000"/>
          <w:sz w:val="20"/>
        </w:rPr>
        <w:t>Wall Street Journal</w:t>
      </w:r>
      <w:r>
        <w:rPr>
          <w:rFonts w:ascii="Times New Roman" w:hAnsi="Times New Roman"/>
          <w:color w:val="000000"/>
          <w:sz w:val="20"/>
        </w:rPr>
        <w:t xml:space="preserve"> prime rate, with a floor of 4.0% and a ceiling of 7.5%. These notes pay interest quarterly, are unsecured, and may be called by the Company at any time after the remaining maturity is five years or less. Additionally, these notes are intended to qualify for Tier 2 capital treatment, subject to regulatory limitations.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On September 29, 2020, the Company issued $50.0 million in subordinated notes. Proceeds were reduced by approximately $926 thousand in debt issuance costs. The notes have a maturity date of September 2030 with a fixed rate of 4.50% for the first five years. After the expiration of the fixed rate period, the notes will reset quarterly at a variable rate equal to the then current three-month Secured Overnight Financing Rate, as published by the Federal Reserve Bank of New York, plus 438 basis points. These notes pay interest semi-annually, are unsecured, and may be called by the Company at any time after the remaining maturity is five years or less. Additionally, these notes are intended to qualify for Tier 2 capital treatment, subject to regulatory limitations.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As of March 31, 2023, the total amount of subordinated debt securities outstanding was $76.5 million less approximately $465 thousand of remaining debt issuance costs for a total balance of $76.0 million.</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i/>
          <w:color w:val="000000"/>
          <w:sz w:val="20"/>
        </w:rPr>
        <w:t>Junior Subordinated Deferrable Interest Debentures and Trust Preferred Securities</w:t>
      </w:r>
      <w:r>
        <w:rPr>
          <w:rFonts w:ascii="Times New Roman" w:hAnsi="Times New Roman"/>
          <w:color w:val="000000"/>
          <w:sz w:val="20"/>
        </w:rPr>
        <w:t>. Between March 2004 and June 2007, the Company formed three wholly-owned statutory business trusts solely for the purpose of issuing trust preferred securities, the proceeds of which were invested in junior subordinated deferrable interest debentures. The trusts are not consolidated and the debentures issued by the Company to the trusts are reflected in the Company’s Consolidated Balance Sheets. The Company records interest expense on the debentures in its consolidated financial statements. The amount of debentures outstanding was $46.4 million at March 31, 2023 and December 31, 2022. The Company has the right, as has been exercised in the past, to defer payments of interest on the securities for up to twenty consecutive quarters. During such time, corporate dividends may not be paid. The Company is current in its interest payments on the debentures.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chart below indicates certain information, as of March 31, 2023, about each of the statutory trusts and the junior subordinated deferrable interest debentures, including the date the junior subordinated deferrable interest debentures were issued, outstanding amounts of trust preferred securities and junior subordinated deferrable interest debentures, the maturity date of the junior subordinated deferrable interest debentures, and the interest rates on the junior subordinated deferrable interest debentures.</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44</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b w:val="false"/>
            <w:i/>
            <w:color w:val="000000"/>
            <w:sz w:val="16"/>
          </w:rPr>
          <w:t>Table of Contents</w:t>
        </w:r>
      </w:hyperlink>
    </w:p>
    <w:tbl>
      <w:tblPr>
        <w:tblW w:w="10205" w:type="dxa"/>
        <w:jc w:val="left"/>
        <w:tblInd w:w="0" w:type="dxa"/>
        <w:tblCellMar>
          <w:top w:w="0" w:type="dxa"/>
          <w:left w:w="0" w:type="dxa"/>
          <w:bottom w:w="28" w:type="dxa"/>
          <w:right w:w="0" w:type="dxa"/>
        </w:tblCellMar>
      </w:tblPr>
      <w:tblGrid>
        <w:gridCol w:w="2683"/>
        <w:gridCol w:w="530"/>
        <w:gridCol w:w="60"/>
        <w:gridCol w:w="241"/>
        <w:gridCol w:w="1175"/>
        <w:gridCol w:w="60"/>
        <w:gridCol w:w="60"/>
        <w:gridCol w:w="203"/>
        <w:gridCol w:w="987"/>
        <w:gridCol w:w="60"/>
        <w:gridCol w:w="60"/>
        <w:gridCol w:w="166"/>
        <w:gridCol w:w="1398"/>
        <w:gridCol w:w="60"/>
        <w:gridCol w:w="2462"/>
      </w:tblGrid>
      <w:tr>
        <w:trPr/>
        <w:tc>
          <w:tcPr>
            <w:tcW w:w="2683" w:type="dxa"/>
            <w:tcBorders>
              <w:bottom w:val="single" w:sz="12" w:space="0" w:color="000000"/>
            </w:tcBorders>
            <w:shd w:fill="auto" w:val="clear"/>
            <w:vAlign w:val="bottom"/>
          </w:tcPr>
          <w:p>
            <w:pPr>
              <w:pStyle w:val="TableContents"/>
              <w:spacing w:before="0" w:after="0"/>
              <w:ind w:left="144" w:right="0" w:hanging="144"/>
              <w:rPr>
                <w:b/>
                <w:color w:val="000000"/>
              </w:rPr>
            </w:pPr>
            <w:r>
              <w:rPr>
                <w:b/>
                <w:color w:val="000000"/>
              </w:rPr>
              <w:t>Name of Trust</w:t>
            </w:r>
          </w:p>
        </w:tc>
        <w:tc>
          <w:tcPr>
            <w:tcW w:w="530" w:type="dxa"/>
            <w:tcBorders>
              <w:bottom w:val="single" w:sz="12" w:space="0" w:color="000000"/>
            </w:tcBorders>
            <w:shd w:fill="auto" w:val="clear"/>
            <w:vAlign w:val="bottom"/>
          </w:tcPr>
          <w:p>
            <w:pPr>
              <w:pStyle w:val="TableContents"/>
              <w:spacing w:before="0" w:after="0"/>
              <w:jc w:val="center"/>
              <w:rPr>
                <w:b/>
                <w:color w:val="000000"/>
              </w:rPr>
            </w:pPr>
            <w:r>
              <w:rPr>
                <w:b/>
                <w:color w:val="000000"/>
              </w:rPr>
              <w:t>Issue</w:t>
            </w:r>
          </w:p>
          <w:p>
            <w:pPr>
              <w:pStyle w:val="TableContents"/>
              <w:spacing w:before="0" w:after="0"/>
              <w:jc w:val="center"/>
              <w:rPr>
                <w:b/>
                <w:color w:val="000000"/>
              </w:rPr>
            </w:pPr>
            <w:r>
              <w:rPr>
                <w:b/>
                <w:color w:val="000000"/>
              </w:rPr>
              <w:t>Date</w:t>
            </w:r>
          </w:p>
        </w:tc>
        <w:tc>
          <w:tcPr>
            <w:tcW w:w="60" w:type="dxa"/>
            <w:tcBorders/>
            <w:shd w:fill="auto" w:val="clear"/>
            <w:tcMar>
              <w:bottom w:w="0" w:type="dxa"/>
            </w:tcMar>
            <w:vAlign w:val="bottom"/>
          </w:tcPr>
          <w:p>
            <w:pPr>
              <w:pStyle w:val="TableContents"/>
              <w:spacing w:before="0" w:after="283"/>
              <w:rPr/>
            </w:pPr>
            <w:r>
              <w:rPr/>
              <w:t> </w:t>
            </w:r>
          </w:p>
        </w:tc>
        <w:tc>
          <w:tcPr>
            <w:tcW w:w="1416" w:type="dxa"/>
            <w:gridSpan w:val="2"/>
            <w:tcBorders>
              <w:bottom w:val="single" w:sz="12" w:space="0" w:color="000000"/>
            </w:tcBorders>
            <w:shd w:fill="auto" w:val="clear"/>
            <w:vAlign w:val="bottom"/>
          </w:tcPr>
          <w:p>
            <w:pPr>
              <w:pStyle w:val="TableContents"/>
              <w:spacing w:before="0" w:after="0"/>
              <w:jc w:val="center"/>
              <w:rPr>
                <w:b/>
                <w:color w:val="000000"/>
              </w:rPr>
            </w:pPr>
            <w:r>
              <w:rPr>
                <w:b/>
                <w:color w:val="000000"/>
              </w:rPr>
              <w:t>Amount of</w:t>
            </w:r>
          </w:p>
          <w:p>
            <w:pPr>
              <w:pStyle w:val="TableContents"/>
              <w:spacing w:before="0" w:after="0"/>
              <w:jc w:val="center"/>
              <w:rPr>
                <w:b/>
                <w:color w:val="000000"/>
              </w:rPr>
            </w:pPr>
            <w:r>
              <w:rPr>
                <w:b/>
                <w:color w:val="000000"/>
              </w:rPr>
              <w:t>Trust Preferred</w:t>
            </w:r>
          </w:p>
          <w:p>
            <w:pPr>
              <w:pStyle w:val="TableContents"/>
              <w:spacing w:before="0" w:after="0"/>
              <w:jc w:val="center"/>
              <w:rPr>
                <w:b/>
                <w:color w:val="000000"/>
              </w:rPr>
            </w:pPr>
            <w:r>
              <w:rPr>
                <w:b/>
                <w:color w:val="000000"/>
              </w:rPr>
              <w:t>Securities</w:t>
            </w:r>
          </w:p>
        </w:tc>
        <w:tc>
          <w:tcPr>
            <w:tcW w:w="60"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rPr/>
            </w:pPr>
            <w:r>
              <w:rPr/>
              <w:t> </w:t>
            </w:r>
          </w:p>
        </w:tc>
        <w:tc>
          <w:tcPr>
            <w:tcW w:w="1190" w:type="dxa"/>
            <w:gridSpan w:val="2"/>
            <w:tcBorders>
              <w:bottom w:val="single" w:sz="12" w:space="0" w:color="000000"/>
            </w:tcBorders>
            <w:shd w:fill="auto" w:val="clear"/>
            <w:vAlign w:val="bottom"/>
          </w:tcPr>
          <w:p>
            <w:pPr>
              <w:pStyle w:val="TableContents"/>
              <w:spacing w:before="0" w:after="0"/>
              <w:jc w:val="center"/>
              <w:rPr>
                <w:b/>
                <w:color w:val="000000"/>
              </w:rPr>
            </w:pPr>
            <w:r>
              <w:rPr>
                <w:b/>
                <w:color w:val="000000"/>
              </w:rPr>
              <w:t>Amount of</w:t>
            </w:r>
          </w:p>
          <w:p>
            <w:pPr>
              <w:pStyle w:val="TableContents"/>
              <w:spacing w:before="0" w:after="0"/>
              <w:jc w:val="center"/>
              <w:rPr>
                <w:b/>
                <w:color w:val="000000"/>
              </w:rPr>
            </w:pPr>
            <w:r>
              <w:rPr>
                <w:b/>
                <w:color w:val="000000"/>
              </w:rPr>
              <w:t>Debentures</w:t>
            </w:r>
          </w:p>
        </w:tc>
        <w:tc>
          <w:tcPr>
            <w:tcW w:w="60"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rPr/>
            </w:pPr>
            <w:r>
              <w:rPr/>
              <w:t> </w:t>
            </w:r>
          </w:p>
        </w:tc>
        <w:tc>
          <w:tcPr>
            <w:tcW w:w="1564" w:type="dxa"/>
            <w:gridSpan w:val="2"/>
            <w:tcBorders>
              <w:bottom w:val="single" w:sz="12" w:space="0" w:color="000000"/>
            </w:tcBorders>
            <w:shd w:fill="auto" w:val="clear"/>
            <w:vAlign w:val="bottom"/>
          </w:tcPr>
          <w:p>
            <w:pPr>
              <w:pStyle w:val="TableContents"/>
              <w:spacing w:before="0" w:after="0"/>
              <w:jc w:val="center"/>
              <w:rPr>
                <w:b/>
                <w:color w:val="000000"/>
              </w:rPr>
            </w:pPr>
            <w:r>
              <w:rPr>
                <w:b/>
                <w:color w:val="000000"/>
              </w:rPr>
              <w:t>Stated</w:t>
            </w:r>
          </w:p>
          <w:p>
            <w:pPr>
              <w:pStyle w:val="TableContents"/>
              <w:spacing w:before="0" w:after="0"/>
              <w:jc w:val="center"/>
              <w:rPr>
                <w:b/>
                <w:color w:val="000000"/>
              </w:rPr>
            </w:pPr>
            <w:r>
              <w:rPr>
                <w:b/>
                <w:color w:val="000000"/>
              </w:rPr>
              <w:t>Maturity Date of</w:t>
            </w:r>
          </w:p>
          <w:p>
            <w:pPr>
              <w:pStyle w:val="TableContents"/>
              <w:spacing w:before="0" w:after="0"/>
              <w:jc w:val="center"/>
              <w:rPr>
                <w:b/>
                <w:color w:val="000000"/>
              </w:rPr>
            </w:pPr>
            <w:r>
              <w:rPr>
                <w:b/>
                <w:color w:val="000000"/>
              </w:rPr>
              <w:t>Trust Preferred</w:t>
            </w:r>
          </w:p>
          <w:p>
            <w:pPr>
              <w:pStyle w:val="TableContents"/>
              <w:spacing w:before="0" w:after="0"/>
              <w:jc w:val="center"/>
              <w:rPr>
                <w:b/>
                <w:color w:val="000000"/>
              </w:rPr>
            </w:pPr>
            <w:r>
              <w:rPr>
                <w:b/>
                <w:color w:val="000000"/>
              </w:rPr>
              <w:t>Securities and</w:t>
            </w:r>
          </w:p>
          <w:p>
            <w:pPr>
              <w:pStyle w:val="TableContents"/>
              <w:spacing w:lineRule="auto" w:line="240" w:before="0" w:after="0"/>
              <w:jc w:val="center"/>
              <w:rPr>
                <w:b/>
                <w:color w:val="000000"/>
              </w:rPr>
            </w:pPr>
            <w:r>
              <w:rPr>
                <w:b/>
                <w:color w:val="000000"/>
              </w:rPr>
              <w:t>Debentures(1)</w:t>
            </w:r>
          </w:p>
        </w:tc>
        <w:tc>
          <w:tcPr>
            <w:tcW w:w="60" w:type="dxa"/>
            <w:tcBorders/>
            <w:shd w:fill="auto" w:val="clear"/>
            <w:tcMar>
              <w:bottom w:w="0" w:type="dxa"/>
            </w:tcMar>
            <w:vAlign w:val="bottom"/>
          </w:tcPr>
          <w:p>
            <w:pPr>
              <w:pStyle w:val="TableContents"/>
              <w:spacing w:before="0" w:after="283"/>
              <w:rPr/>
            </w:pPr>
            <w:r>
              <w:rPr/>
              <w:t> </w:t>
            </w:r>
          </w:p>
        </w:tc>
        <w:tc>
          <w:tcPr>
            <w:tcW w:w="2462" w:type="dxa"/>
            <w:tcBorders>
              <w:bottom w:val="single" w:sz="12" w:space="0" w:color="000000"/>
            </w:tcBorders>
            <w:shd w:fill="auto" w:val="clear"/>
            <w:vAlign w:val="bottom"/>
          </w:tcPr>
          <w:p>
            <w:pPr>
              <w:pStyle w:val="TableContents"/>
              <w:spacing w:before="0" w:after="0"/>
              <w:jc w:val="center"/>
              <w:rPr>
                <w:b/>
                <w:color w:val="000000"/>
              </w:rPr>
            </w:pPr>
            <w:r>
              <w:rPr>
                <w:b/>
                <w:color w:val="000000"/>
              </w:rPr>
              <w:t>Interest Rate of</w:t>
            </w:r>
          </w:p>
          <w:p>
            <w:pPr>
              <w:pStyle w:val="TableContents"/>
              <w:spacing w:before="0" w:after="0"/>
              <w:jc w:val="center"/>
              <w:rPr>
                <w:b/>
                <w:color w:val="000000"/>
              </w:rPr>
            </w:pPr>
            <w:r>
              <w:rPr>
                <w:b/>
                <w:color w:val="000000"/>
              </w:rPr>
              <w:t>Trust Preferred</w:t>
            </w:r>
          </w:p>
          <w:p>
            <w:pPr>
              <w:pStyle w:val="TableContents"/>
              <w:spacing w:before="0" w:after="0"/>
              <w:jc w:val="center"/>
              <w:rPr>
                <w:b/>
                <w:color w:val="000000"/>
              </w:rPr>
            </w:pPr>
            <w:r>
              <w:rPr>
                <w:b/>
                <w:color w:val="000000"/>
              </w:rPr>
              <w:t>Securities and</w:t>
            </w:r>
          </w:p>
          <w:p>
            <w:pPr>
              <w:pStyle w:val="TableContents"/>
              <w:spacing w:lineRule="auto" w:line="240" w:before="0" w:after="0"/>
              <w:jc w:val="center"/>
              <w:rPr>
                <w:b/>
                <w:color w:val="000000"/>
              </w:rPr>
            </w:pPr>
            <w:r>
              <w:rPr>
                <w:b/>
                <w:color w:val="000000"/>
              </w:rPr>
              <w:t>Debentures(2)(3)</w:t>
            </w:r>
          </w:p>
        </w:tc>
      </w:tr>
      <w:tr>
        <w:trPr/>
        <w:tc>
          <w:tcPr>
            <w:tcW w:w="2683" w:type="dxa"/>
            <w:tcBorders/>
            <w:shd w:fill="auto" w:val="clear"/>
            <w:tcMar>
              <w:bottom w:w="0" w:type="dxa"/>
            </w:tcMar>
            <w:vAlign w:val="bottom"/>
          </w:tcPr>
          <w:p>
            <w:pPr>
              <w:pStyle w:val="TableContents"/>
              <w:spacing w:before="0" w:after="283"/>
              <w:rPr/>
            </w:pPr>
            <w:r>
              <w:rPr/>
              <w:t> </w:t>
            </w:r>
          </w:p>
        </w:tc>
        <w:tc>
          <w:tcPr>
            <w:tcW w:w="7522" w:type="dxa"/>
            <w:gridSpan w:val="14"/>
            <w:tcBorders/>
            <w:shd w:fill="auto" w:val="clear"/>
            <w:tcMar>
              <w:bottom w:w="0" w:type="dxa"/>
            </w:tcMar>
            <w:vAlign w:val="bottom"/>
          </w:tcPr>
          <w:p>
            <w:pPr>
              <w:pStyle w:val="TableContents"/>
              <w:spacing w:before="0" w:after="0"/>
              <w:jc w:val="center"/>
              <w:rPr>
                <w:b/>
                <w:color w:val="000000"/>
              </w:rPr>
            </w:pPr>
            <w:r>
              <w:rPr>
                <w:b/>
                <w:color w:val="000000"/>
              </w:rPr>
              <w:t>(Dollars in thousands)</w:t>
            </w:r>
          </w:p>
        </w:tc>
      </w:tr>
      <w:tr>
        <w:trPr/>
        <w:tc>
          <w:tcPr>
            <w:tcW w:w="2683" w:type="dxa"/>
            <w:tcBorders/>
            <w:shd w:fill="CCEEFF" w:val="clear"/>
            <w:tcMar>
              <w:bottom w:w="0" w:type="dxa"/>
            </w:tcMar>
            <w:vAlign w:val="bottom"/>
          </w:tcPr>
          <w:p>
            <w:pPr>
              <w:pStyle w:val="TableContents"/>
              <w:spacing w:before="0" w:after="0"/>
              <w:ind w:left="144" w:right="0" w:hanging="144"/>
              <w:rPr>
                <w:color w:val="000000"/>
              </w:rPr>
            </w:pPr>
            <w:r>
              <w:rPr>
                <w:color w:val="000000"/>
              </w:rPr>
              <w:t>South Plains Financial Capital Trust III</w:t>
            </w:r>
          </w:p>
        </w:tc>
        <w:tc>
          <w:tcPr>
            <w:tcW w:w="530" w:type="dxa"/>
            <w:tcBorders/>
            <w:shd w:fill="CCEEFF" w:val="clear"/>
            <w:tcMar>
              <w:bottom w:w="0" w:type="dxa"/>
            </w:tcMar>
            <w:vAlign w:val="bottom"/>
          </w:tcPr>
          <w:p>
            <w:pPr>
              <w:pStyle w:val="TableContents"/>
              <w:spacing w:before="0" w:after="0"/>
              <w:jc w:val="center"/>
              <w:rPr/>
            </w:pPr>
            <w:r>
              <w:rPr/>
              <w:t>2004</w:t>
            </w:r>
          </w:p>
        </w:tc>
        <w:tc>
          <w:tcPr>
            <w:tcW w:w="60" w:type="dxa"/>
            <w:tcBorders/>
            <w:shd w:fill="CCEEFF" w:val="clear"/>
            <w:tcMar>
              <w:bottom w:w="0" w:type="dxa"/>
            </w:tcMar>
            <w:vAlign w:val="bottom"/>
          </w:tcPr>
          <w:p>
            <w:pPr>
              <w:pStyle w:val="TableContents"/>
              <w:spacing w:before="0" w:after="283"/>
              <w:rPr/>
            </w:pPr>
            <w:r>
              <w:rPr/>
              <w:t> </w:t>
            </w:r>
          </w:p>
        </w:tc>
        <w:tc>
          <w:tcPr>
            <w:tcW w:w="241" w:type="dxa"/>
            <w:tcBorders/>
            <w:shd w:fill="CCEEFF" w:val="clear"/>
            <w:tcMar>
              <w:bottom w:w="0" w:type="dxa"/>
            </w:tcMar>
            <w:vAlign w:val="bottom"/>
          </w:tcPr>
          <w:p>
            <w:pPr>
              <w:pStyle w:val="TableContents"/>
              <w:spacing w:before="0" w:after="0"/>
              <w:rPr/>
            </w:pPr>
            <w:r>
              <w:rPr/>
              <w:t>$</w:t>
            </w:r>
          </w:p>
        </w:tc>
        <w:tc>
          <w:tcPr>
            <w:tcW w:w="1175" w:type="dxa"/>
            <w:tcBorders/>
            <w:shd w:fill="CCEEFF" w:val="clear"/>
            <w:tcMar>
              <w:bottom w:w="0" w:type="dxa"/>
            </w:tcMar>
            <w:vAlign w:val="bottom"/>
          </w:tcPr>
          <w:p>
            <w:pPr>
              <w:pStyle w:val="TableContents"/>
              <w:spacing w:before="0" w:after="0"/>
              <w:jc w:val="right"/>
              <w:rPr/>
            </w:pPr>
            <w:r>
              <w:rPr/>
              <w:t>10,000</w:t>
            </w:r>
          </w:p>
        </w:tc>
        <w:tc>
          <w:tcPr>
            <w:tcW w:w="60"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203" w:type="dxa"/>
            <w:tcBorders/>
            <w:shd w:fill="CCEEFF" w:val="clear"/>
            <w:tcMar>
              <w:bottom w:w="0" w:type="dxa"/>
            </w:tcMar>
            <w:vAlign w:val="bottom"/>
          </w:tcPr>
          <w:p>
            <w:pPr>
              <w:pStyle w:val="TableContents"/>
              <w:spacing w:before="0" w:after="0"/>
              <w:rPr/>
            </w:pPr>
            <w:r>
              <w:rPr/>
              <w:t>$</w:t>
            </w:r>
          </w:p>
        </w:tc>
        <w:tc>
          <w:tcPr>
            <w:tcW w:w="987" w:type="dxa"/>
            <w:tcBorders/>
            <w:shd w:fill="CCEEFF" w:val="clear"/>
            <w:tcMar>
              <w:bottom w:w="0" w:type="dxa"/>
            </w:tcMar>
            <w:vAlign w:val="bottom"/>
          </w:tcPr>
          <w:p>
            <w:pPr>
              <w:pStyle w:val="TableContents"/>
              <w:spacing w:before="0" w:after="0"/>
              <w:jc w:val="right"/>
              <w:rPr/>
            </w:pPr>
            <w:r>
              <w:rPr/>
              <w:t>10,310</w:t>
            </w:r>
          </w:p>
        </w:tc>
        <w:tc>
          <w:tcPr>
            <w:tcW w:w="60"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166" w:type="dxa"/>
            <w:tcBorders/>
            <w:shd w:fill="CCEEFF" w:val="clear"/>
            <w:tcMar>
              <w:bottom w:w="0" w:type="dxa"/>
            </w:tcMar>
            <w:vAlign w:val="bottom"/>
          </w:tcPr>
          <w:p>
            <w:pPr>
              <w:pStyle w:val="TableContents"/>
              <w:spacing w:before="0" w:after="283"/>
              <w:rPr/>
            </w:pPr>
            <w:r>
              <w:rPr/>
              <w:t> </w:t>
            </w:r>
          </w:p>
        </w:tc>
        <w:tc>
          <w:tcPr>
            <w:tcW w:w="1398" w:type="dxa"/>
            <w:tcBorders/>
            <w:shd w:fill="CCEEFF" w:val="clear"/>
            <w:tcMar>
              <w:bottom w:w="0" w:type="dxa"/>
            </w:tcMar>
            <w:vAlign w:val="bottom"/>
          </w:tcPr>
          <w:p>
            <w:pPr>
              <w:pStyle w:val="TableContents"/>
              <w:spacing w:before="0" w:after="0"/>
              <w:jc w:val="right"/>
              <w:rPr/>
            </w:pPr>
            <w:r>
              <w:rPr/>
              <w:t>2034</w:t>
            </w:r>
          </w:p>
        </w:tc>
        <w:tc>
          <w:tcPr>
            <w:tcW w:w="60" w:type="dxa"/>
            <w:tcBorders/>
            <w:shd w:fill="CCEEFF" w:val="clear"/>
            <w:tcMar>
              <w:bottom w:w="0" w:type="dxa"/>
            </w:tcMar>
            <w:vAlign w:val="bottom"/>
          </w:tcPr>
          <w:p>
            <w:pPr>
              <w:pStyle w:val="TableContents"/>
              <w:spacing w:before="0" w:after="283"/>
              <w:rPr/>
            </w:pPr>
            <w:r>
              <w:rPr/>
              <w:t> </w:t>
            </w:r>
          </w:p>
        </w:tc>
        <w:tc>
          <w:tcPr>
            <w:tcW w:w="2462" w:type="dxa"/>
            <w:tcBorders/>
            <w:shd w:fill="CCEEFF" w:val="clear"/>
            <w:tcMar>
              <w:bottom w:w="0" w:type="dxa"/>
            </w:tcMar>
            <w:vAlign w:val="bottom"/>
          </w:tcPr>
          <w:p>
            <w:pPr>
              <w:pStyle w:val="TableContents"/>
              <w:spacing w:before="0" w:after="0"/>
              <w:jc w:val="right"/>
              <w:rPr/>
            </w:pPr>
            <w:r>
              <w:rPr/>
              <w:t>3-mo. LIBOR + 265 bps; 7.47%</w:t>
            </w:r>
          </w:p>
        </w:tc>
      </w:tr>
      <w:tr>
        <w:trPr/>
        <w:tc>
          <w:tcPr>
            <w:tcW w:w="2683" w:type="dxa"/>
            <w:tcBorders/>
            <w:shd w:fill="auto" w:val="clear"/>
            <w:tcMar>
              <w:bottom w:w="0" w:type="dxa"/>
            </w:tcMar>
            <w:vAlign w:val="bottom"/>
          </w:tcPr>
          <w:p>
            <w:pPr>
              <w:pStyle w:val="TableContents"/>
              <w:spacing w:before="0" w:after="0"/>
              <w:ind w:left="144" w:right="0" w:hanging="144"/>
              <w:rPr>
                <w:color w:val="000000"/>
              </w:rPr>
            </w:pPr>
            <w:r>
              <w:rPr>
                <w:color w:val="000000"/>
              </w:rPr>
              <w:t>South Plains Financial Capital Trust IV</w:t>
            </w:r>
          </w:p>
        </w:tc>
        <w:tc>
          <w:tcPr>
            <w:tcW w:w="530" w:type="dxa"/>
            <w:tcBorders/>
            <w:shd w:fill="auto" w:val="clear"/>
            <w:tcMar>
              <w:bottom w:w="0" w:type="dxa"/>
            </w:tcMar>
            <w:vAlign w:val="bottom"/>
          </w:tcPr>
          <w:p>
            <w:pPr>
              <w:pStyle w:val="TableContents"/>
              <w:spacing w:before="0" w:after="0"/>
              <w:jc w:val="center"/>
              <w:rPr/>
            </w:pPr>
            <w:r>
              <w:rPr/>
              <w:t>2005</w:t>
            </w:r>
          </w:p>
        </w:tc>
        <w:tc>
          <w:tcPr>
            <w:tcW w:w="60" w:type="dxa"/>
            <w:tcBorders/>
            <w:shd w:fill="auto" w:val="clear"/>
            <w:tcMar>
              <w:bottom w:w="0" w:type="dxa"/>
            </w:tcMar>
            <w:vAlign w:val="bottom"/>
          </w:tcPr>
          <w:p>
            <w:pPr>
              <w:pStyle w:val="TableContents"/>
              <w:spacing w:before="0" w:after="283"/>
              <w:rPr/>
            </w:pPr>
            <w:r>
              <w:rPr/>
              <w:t> </w:t>
            </w:r>
          </w:p>
        </w:tc>
        <w:tc>
          <w:tcPr>
            <w:tcW w:w="241" w:type="dxa"/>
            <w:tcBorders/>
            <w:shd w:fill="auto" w:val="clear"/>
            <w:tcMar>
              <w:bottom w:w="0" w:type="dxa"/>
            </w:tcMar>
            <w:vAlign w:val="bottom"/>
          </w:tcPr>
          <w:p>
            <w:pPr>
              <w:pStyle w:val="TableContents"/>
              <w:spacing w:before="0" w:after="283"/>
              <w:rPr/>
            </w:pPr>
            <w:r>
              <w:rPr/>
              <w:t> </w:t>
            </w:r>
          </w:p>
        </w:tc>
        <w:tc>
          <w:tcPr>
            <w:tcW w:w="1175" w:type="dxa"/>
            <w:tcBorders/>
            <w:shd w:fill="auto" w:val="clear"/>
            <w:tcMar>
              <w:bottom w:w="0" w:type="dxa"/>
            </w:tcMar>
            <w:vAlign w:val="bottom"/>
          </w:tcPr>
          <w:p>
            <w:pPr>
              <w:pStyle w:val="TableContents"/>
              <w:spacing w:before="0" w:after="0"/>
              <w:jc w:val="right"/>
              <w:rPr/>
            </w:pPr>
            <w:r>
              <w:rPr/>
              <w:t>20,000</w:t>
            </w:r>
          </w:p>
        </w:tc>
        <w:tc>
          <w:tcPr>
            <w:tcW w:w="60"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rPr/>
            </w:pPr>
            <w:r>
              <w:rPr/>
              <w:t> </w:t>
            </w:r>
          </w:p>
        </w:tc>
        <w:tc>
          <w:tcPr>
            <w:tcW w:w="203" w:type="dxa"/>
            <w:tcBorders/>
            <w:shd w:fill="auto" w:val="clear"/>
            <w:tcMar>
              <w:bottom w:w="0" w:type="dxa"/>
            </w:tcMar>
            <w:vAlign w:val="bottom"/>
          </w:tcPr>
          <w:p>
            <w:pPr>
              <w:pStyle w:val="TableContents"/>
              <w:spacing w:before="0" w:after="283"/>
              <w:rPr/>
            </w:pPr>
            <w:r>
              <w:rPr/>
              <w:t> </w:t>
            </w:r>
          </w:p>
        </w:tc>
        <w:tc>
          <w:tcPr>
            <w:tcW w:w="987" w:type="dxa"/>
            <w:tcBorders/>
            <w:shd w:fill="auto" w:val="clear"/>
            <w:tcMar>
              <w:bottom w:w="0" w:type="dxa"/>
            </w:tcMar>
            <w:vAlign w:val="bottom"/>
          </w:tcPr>
          <w:p>
            <w:pPr>
              <w:pStyle w:val="TableContents"/>
              <w:spacing w:before="0" w:after="0"/>
              <w:jc w:val="right"/>
              <w:rPr/>
            </w:pPr>
            <w:r>
              <w:rPr/>
              <w:t>20,619</w:t>
            </w:r>
          </w:p>
        </w:tc>
        <w:tc>
          <w:tcPr>
            <w:tcW w:w="60"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rPr/>
            </w:pPr>
            <w:r>
              <w:rPr/>
              <w:t> </w:t>
            </w:r>
          </w:p>
        </w:tc>
        <w:tc>
          <w:tcPr>
            <w:tcW w:w="166" w:type="dxa"/>
            <w:tcBorders/>
            <w:shd w:fill="auto" w:val="clear"/>
            <w:tcMar>
              <w:bottom w:w="0" w:type="dxa"/>
            </w:tcMar>
            <w:vAlign w:val="bottom"/>
          </w:tcPr>
          <w:p>
            <w:pPr>
              <w:pStyle w:val="TableContents"/>
              <w:spacing w:before="0" w:after="283"/>
              <w:rPr/>
            </w:pPr>
            <w:r>
              <w:rPr/>
              <w:t> </w:t>
            </w:r>
          </w:p>
        </w:tc>
        <w:tc>
          <w:tcPr>
            <w:tcW w:w="1398" w:type="dxa"/>
            <w:tcBorders/>
            <w:shd w:fill="auto" w:val="clear"/>
            <w:tcMar>
              <w:bottom w:w="0" w:type="dxa"/>
            </w:tcMar>
            <w:vAlign w:val="bottom"/>
          </w:tcPr>
          <w:p>
            <w:pPr>
              <w:pStyle w:val="TableContents"/>
              <w:spacing w:before="0" w:after="0"/>
              <w:jc w:val="right"/>
              <w:rPr/>
            </w:pPr>
            <w:r>
              <w:rPr/>
              <w:t>2035</w:t>
            </w:r>
          </w:p>
        </w:tc>
        <w:tc>
          <w:tcPr>
            <w:tcW w:w="60" w:type="dxa"/>
            <w:tcBorders/>
            <w:shd w:fill="auto" w:val="clear"/>
            <w:tcMar>
              <w:bottom w:w="0" w:type="dxa"/>
            </w:tcMar>
            <w:vAlign w:val="bottom"/>
          </w:tcPr>
          <w:p>
            <w:pPr>
              <w:pStyle w:val="TableContents"/>
              <w:spacing w:before="0" w:after="283"/>
              <w:rPr/>
            </w:pPr>
            <w:r>
              <w:rPr/>
              <w:t> </w:t>
            </w:r>
          </w:p>
        </w:tc>
        <w:tc>
          <w:tcPr>
            <w:tcW w:w="2462" w:type="dxa"/>
            <w:tcBorders/>
            <w:shd w:fill="auto" w:val="clear"/>
            <w:tcMar>
              <w:bottom w:w="0" w:type="dxa"/>
            </w:tcMar>
            <w:vAlign w:val="bottom"/>
          </w:tcPr>
          <w:p>
            <w:pPr>
              <w:pStyle w:val="TableContents"/>
              <w:spacing w:before="0" w:after="0"/>
              <w:jc w:val="right"/>
              <w:rPr/>
            </w:pPr>
            <w:r>
              <w:rPr/>
              <w:t>3-mo. LIBOR + 139 bps; 6.26%</w:t>
            </w:r>
          </w:p>
        </w:tc>
      </w:tr>
      <w:tr>
        <w:trPr/>
        <w:tc>
          <w:tcPr>
            <w:tcW w:w="2683" w:type="dxa"/>
            <w:tcBorders/>
            <w:shd w:fill="CCEEFF" w:val="clear"/>
            <w:tcMar>
              <w:bottom w:w="0" w:type="dxa"/>
            </w:tcMar>
            <w:vAlign w:val="bottom"/>
          </w:tcPr>
          <w:p>
            <w:pPr>
              <w:pStyle w:val="TableContents"/>
              <w:spacing w:before="0" w:after="0"/>
              <w:ind w:left="144" w:right="0" w:hanging="144"/>
              <w:rPr>
                <w:color w:val="000000"/>
              </w:rPr>
            </w:pPr>
            <w:r>
              <w:rPr>
                <w:color w:val="000000"/>
              </w:rPr>
              <w:t>South Plains Financial Capital Trust V</w:t>
            </w:r>
          </w:p>
        </w:tc>
        <w:tc>
          <w:tcPr>
            <w:tcW w:w="530" w:type="dxa"/>
            <w:tcBorders/>
            <w:shd w:fill="CCEEFF" w:val="clear"/>
            <w:tcMar>
              <w:bottom w:w="0" w:type="dxa"/>
            </w:tcMar>
            <w:vAlign w:val="bottom"/>
          </w:tcPr>
          <w:p>
            <w:pPr>
              <w:pStyle w:val="TableContents"/>
              <w:spacing w:before="0" w:after="0"/>
              <w:jc w:val="center"/>
              <w:rPr/>
            </w:pPr>
            <w:r>
              <w:rPr/>
              <w:t>2007</w:t>
            </w:r>
          </w:p>
        </w:tc>
        <w:tc>
          <w:tcPr>
            <w:tcW w:w="60" w:type="dxa"/>
            <w:tcBorders/>
            <w:shd w:fill="CCEEFF" w:val="clear"/>
            <w:tcMar>
              <w:bottom w:w="0" w:type="dxa"/>
            </w:tcMar>
            <w:vAlign w:val="bottom"/>
          </w:tcPr>
          <w:p>
            <w:pPr>
              <w:pStyle w:val="TableContents"/>
              <w:spacing w:before="0" w:after="283"/>
              <w:rPr/>
            </w:pPr>
            <w:r>
              <w:rPr/>
              <w:t> </w:t>
            </w:r>
          </w:p>
        </w:tc>
        <w:tc>
          <w:tcPr>
            <w:tcW w:w="241" w:type="dxa"/>
            <w:tcBorders>
              <w:bottom w:val="single" w:sz="12" w:space="0" w:color="000000"/>
            </w:tcBorders>
            <w:shd w:fill="CCEEFF" w:val="clear"/>
            <w:vAlign w:val="bottom"/>
          </w:tcPr>
          <w:p>
            <w:pPr>
              <w:pStyle w:val="TableContents"/>
              <w:spacing w:before="0" w:after="283"/>
              <w:rPr/>
            </w:pPr>
            <w:r>
              <w:rPr/>
              <w:t> </w:t>
            </w:r>
          </w:p>
        </w:tc>
        <w:tc>
          <w:tcPr>
            <w:tcW w:w="1175" w:type="dxa"/>
            <w:tcBorders>
              <w:bottom w:val="single" w:sz="12" w:space="0" w:color="000000"/>
            </w:tcBorders>
            <w:shd w:fill="CCEEFF" w:val="clear"/>
            <w:vAlign w:val="bottom"/>
          </w:tcPr>
          <w:p>
            <w:pPr>
              <w:pStyle w:val="TableContents"/>
              <w:spacing w:before="0" w:after="0"/>
              <w:jc w:val="right"/>
              <w:rPr/>
            </w:pPr>
            <w:r>
              <w:rPr/>
              <w:t>15,000</w:t>
            </w:r>
          </w:p>
        </w:tc>
        <w:tc>
          <w:tcPr>
            <w:tcW w:w="60"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203" w:type="dxa"/>
            <w:tcBorders>
              <w:bottom w:val="single" w:sz="12" w:space="0" w:color="000000"/>
            </w:tcBorders>
            <w:shd w:fill="CCEEFF" w:val="clear"/>
            <w:vAlign w:val="bottom"/>
          </w:tcPr>
          <w:p>
            <w:pPr>
              <w:pStyle w:val="TableContents"/>
              <w:spacing w:before="0" w:after="283"/>
              <w:rPr/>
            </w:pPr>
            <w:r>
              <w:rPr/>
              <w:t> </w:t>
            </w:r>
          </w:p>
        </w:tc>
        <w:tc>
          <w:tcPr>
            <w:tcW w:w="987" w:type="dxa"/>
            <w:tcBorders>
              <w:bottom w:val="single" w:sz="12" w:space="0" w:color="000000"/>
            </w:tcBorders>
            <w:shd w:fill="CCEEFF" w:val="clear"/>
            <w:vAlign w:val="bottom"/>
          </w:tcPr>
          <w:p>
            <w:pPr>
              <w:pStyle w:val="TableContents"/>
              <w:spacing w:before="0" w:after="0"/>
              <w:jc w:val="right"/>
              <w:rPr/>
            </w:pPr>
            <w:r>
              <w:rPr/>
              <w:t>15,464</w:t>
            </w:r>
          </w:p>
        </w:tc>
        <w:tc>
          <w:tcPr>
            <w:tcW w:w="60" w:type="dxa"/>
            <w:tcBorders/>
            <w:shd w:fill="CCEEFF" w:val="clear"/>
            <w:tcMar>
              <w:bottom w:w="0" w:type="dxa"/>
            </w:tcMar>
            <w:vAlign w:val="bottom"/>
          </w:tcPr>
          <w:p>
            <w:pPr>
              <w:pStyle w:val="TableContents"/>
              <w:spacing w:before="0" w:after="283"/>
              <w:rPr/>
            </w:pPr>
            <w:r>
              <w:rPr/>
              <w:t> </w:t>
            </w:r>
          </w:p>
        </w:tc>
        <w:tc>
          <w:tcPr>
            <w:tcW w:w="60" w:type="dxa"/>
            <w:tcBorders/>
            <w:shd w:fill="CCEEFF" w:val="clear"/>
            <w:tcMar>
              <w:bottom w:w="0" w:type="dxa"/>
            </w:tcMar>
            <w:vAlign w:val="bottom"/>
          </w:tcPr>
          <w:p>
            <w:pPr>
              <w:pStyle w:val="TableContents"/>
              <w:spacing w:before="0" w:after="283"/>
              <w:rPr/>
            </w:pPr>
            <w:r>
              <w:rPr/>
              <w:t> </w:t>
            </w:r>
          </w:p>
        </w:tc>
        <w:tc>
          <w:tcPr>
            <w:tcW w:w="166" w:type="dxa"/>
            <w:tcBorders/>
            <w:shd w:fill="CCEEFF" w:val="clear"/>
            <w:tcMar>
              <w:bottom w:w="0" w:type="dxa"/>
            </w:tcMar>
            <w:vAlign w:val="bottom"/>
          </w:tcPr>
          <w:p>
            <w:pPr>
              <w:pStyle w:val="TableContents"/>
              <w:spacing w:before="0" w:after="283"/>
              <w:rPr/>
            </w:pPr>
            <w:r>
              <w:rPr/>
              <w:t> </w:t>
            </w:r>
          </w:p>
        </w:tc>
        <w:tc>
          <w:tcPr>
            <w:tcW w:w="1398" w:type="dxa"/>
            <w:tcBorders/>
            <w:shd w:fill="CCEEFF" w:val="clear"/>
            <w:tcMar>
              <w:bottom w:w="0" w:type="dxa"/>
            </w:tcMar>
            <w:vAlign w:val="bottom"/>
          </w:tcPr>
          <w:p>
            <w:pPr>
              <w:pStyle w:val="TableContents"/>
              <w:spacing w:before="0" w:after="0"/>
              <w:jc w:val="right"/>
              <w:rPr/>
            </w:pPr>
            <w:r>
              <w:rPr/>
              <w:t>2037</w:t>
            </w:r>
          </w:p>
        </w:tc>
        <w:tc>
          <w:tcPr>
            <w:tcW w:w="60" w:type="dxa"/>
            <w:tcBorders/>
            <w:shd w:fill="CCEEFF" w:val="clear"/>
            <w:tcMar>
              <w:bottom w:w="0" w:type="dxa"/>
            </w:tcMar>
            <w:vAlign w:val="bottom"/>
          </w:tcPr>
          <w:p>
            <w:pPr>
              <w:pStyle w:val="TableContents"/>
              <w:spacing w:before="0" w:after="283"/>
              <w:rPr/>
            </w:pPr>
            <w:r>
              <w:rPr/>
              <w:t> </w:t>
            </w:r>
          </w:p>
        </w:tc>
        <w:tc>
          <w:tcPr>
            <w:tcW w:w="2462" w:type="dxa"/>
            <w:tcBorders/>
            <w:shd w:fill="CCEEFF" w:val="clear"/>
            <w:tcMar>
              <w:bottom w:w="0" w:type="dxa"/>
            </w:tcMar>
            <w:vAlign w:val="bottom"/>
          </w:tcPr>
          <w:p>
            <w:pPr>
              <w:pStyle w:val="TableContents"/>
              <w:spacing w:before="0" w:after="0"/>
              <w:jc w:val="right"/>
              <w:rPr/>
            </w:pPr>
            <w:r>
              <w:rPr/>
              <w:t>3-mo. LIBOR + 150 bps; 6.37%</w:t>
            </w:r>
          </w:p>
        </w:tc>
      </w:tr>
      <w:tr>
        <w:trPr/>
        <w:tc>
          <w:tcPr>
            <w:tcW w:w="2683" w:type="dxa"/>
            <w:tcBorders/>
            <w:shd w:fill="auto" w:val="clear"/>
            <w:tcMar>
              <w:bottom w:w="0" w:type="dxa"/>
            </w:tcMar>
            <w:vAlign w:val="bottom"/>
          </w:tcPr>
          <w:p>
            <w:pPr>
              <w:pStyle w:val="TableContents"/>
              <w:spacing w:before="0" w:after="0"/>
              <w:ind w:left="144" w:right="0" w:hanging="144"/>
              <w:rPr>
                <w:color w:val="000000"/>
              </w:rPr>
            </w:pPr>
            <w:r>
              <w:rPr>
                <w:color w:val="000000"/>
              </w:rPr>
              <w:t>Total</w:t>
            </w:r>
          </w:p>
        </w:tc>
        <w:tc>
          <w:tcPr>
            <w:tcW w:w="530"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rPr/>
            </w:pPr>
            <w:r>
              <w:rPr/>
              <w:t> </w:t>
            </w:r>
          </w:p>
        </w:tc>
        <w:tc>
          <w:tcPr>
            <w:tcW w:w="241" w:type="dxa"/>
            <w:tcBorders>
              <w:bottom w:val="double" w:sz="8" w:space="0" w:color="000000"/>
            </w:tcBorders>
            <w:shd w:fill="auto" w:val="clear"/>
            <w:vAlign w:val="bottom"/>
          </w:tcPr>
          <w:p>
            <w:pPr>
              <w:pStyle w:val="TableContents"/>
              <w:spacing w:before="0" w:after="0"/>
              <w:rPr/>
            </w:pPr>
            <w:r>
              <w:rPr/>
              <w:t>$</w:t>
            </w:r>
          </w:p>
        </w:tc>
        <w:tc>
          <w:tcPr>
            <w:tcW w:w="1175" w:type="dxa"/>
            <w:tcBorders>
              <w:bottom w:val="double" w:sz="8" w:space="0" w:color="000000"/>
            </w:tcBorders>
            <w:shd w:fill="auto" w:val="clear"/>
            <w:vAlign w:val="bottom"/>
          </w:tcPr>
          <w:p>
            <w:pPr>
              <w:pStyle w:val="TableContents"/>
              <w:spacing w:before="0" w:after="0"/>
              <w:jc w:val="right"/>
              <w:rPr/>
            </w:pPr>
            <w:r>
              <w:rPr/>
              <w:t>45,000</w:t>
            </w:r>
          </w:p>
        </w:tc>
        <w:tc>
          <w:tcPr>
            <w:tcW w:w="60"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rPr/>
            </w:pPr>
            <w:r>
              <w:rPr/>
              <w:t> </w:t>
            </w:r>
          </w:p>
        </w:tc>
        <w:tc>
          <w:tcPr>
            <w:tcW w:w="203" w:type="dxa"/>
            <w:tcBorders>
              <w:bottom w:val="double" w:sz="8" w:space="0" w:color="000000"/>
            </w:tcBorders>
            <w:shd w:fill="auto" w:val="clear"/>
            <w:vAlign w:val="bottom"/>
          </w:tcPr>
          <w:p>
            <w:pPr>
              <w:pStyle w:val="TableContents"/>
              <w:spacing w:before="0" w:after="0"/>
              <w:rPr/>
            </w:pPr>
            <w:r>
              <w:rPr/>
              <w:t>$</w:t>
            </w:r>
          </w:p>
        </w:tc>
        <w:tc>
          <w:tcPr>
            <w:tcW w:w="987" w:type="dxa"/>
            <w:tcBorders>
              <w:bottom w:val="double" w:sz="8" w:space="0" w:color="000000"/>
            </w:tcBorders>
            <w:shd w:fill="auto" w:val="clear"/>
            <w:vAlign w:val="bottom"/>
          </w:tcPr>
          <w:p>
            <w:pPr>
              <w:pStyle w:val="TableContents"/>
              <w:spacing w:before="0" w:after="0"/>
              <w:jc w:val="right"/>
              <w:rPr/>
            </w:pPr>
            <w:r>
              <w:rPr/>
              <w:t>46,393</w:t>
            </w:r>
          </w:p>
        </w:tc>
        <w:tc>
          <w:tcPr>
            <w:tcW w:w="60" w:type="dxa"/>
            <w:tcBorders/>
            <w:shd w:fill="auto" w:val="clear"/>
            <w:tcMar>
              <w:bottom w:w="0" w:type="dxa"/>
            </w:tcMar>
            <w:vAlign w:val="bottom"/>
          </w:tcPr>
          <w:p>
            <w:pPr>
              <w:pStyle w:val="TableContents"/>
              <w:spacing w:before="0" w:after="283"/>
              <w:rPr/>
            </w:pPr>
            <w:r>
              <w:rPr/>
              <w:t> </w:t>
            </w:r>
          </w:p>
        </w:tc>
        <w:tc>
          <w:tcPr>
            <w:tcW w:w="60" w:type="dxa"/>
            <w:tcBorders/>
            <w:shd w:fill="auto" w:val="clear"/>
            <w:tcMar>
              <w:bottom w:w="0" w:type="dxa"/>
            </w:tcMar>
            <w:vAlign w:val="bottom"/>
          </w:tcPr>
          <w:p>
            <w:pPr>
              <w:pStyle w:val="TableContents"/>
              <w:spacing w:before="0" w:after="283"/>
              <w:rPr/>
            </w:pPr>
            <w:r>
              <w:rPr/>
              <w:t> </w:t>
            </w:r>
          </w:p>
        </w:tc>
        <w:tc>
          <w:tcPr>
            <w:tcW w:w="166" w:type="dxa"/>
            <w:tcBorders/>
            <w:shd w:fill="auto" w:val="clear"/>
            <w:tcMar>
              <w:bottom w:w="0" w:type="dxa"/>
            </w:tcMar>
            <w:vAlign w:val="bottom"/>
          </w:tcPr>
          <w:p>
            <w:pPr>
              <w:pStyle w:val="TableContents"/>
              <w:spacing w:before="0" w:after="283"/>
              <w:rPr/>
            </w:pPr>
            <w:r>
              <w:rPr/>
              <w:t> </w:t>
            </w:r>
          </w:p>
        </w:tc>
        <w:tc>
          <w:tcPr>
            <w:tcW w:w="1398" w:type="dxa"/>
            <w:tcBorders/>
            <w:shd w:fill="auto" w:val="clear"/>
            <w:tcMar>
              <w:bottom w:w="0" w:type="dxa"/>
            </w:tcMar>
            <w:vAlign w:val="bottom"/>
          </w:tcPr>
          <w:p>
            <w:pPr>
              <w:pStyle w:val="TableContents"/>
              <w:spacing w:before="0" w:after="283"/>
              <w:jc w:val="right"/>
              <w:rPr/>
            </w:pPr>
            <w:r>
              <w:rPr/>
              <w:t> </w:t>
            </w:r>
          </w:p>
        </w:tc>
        <w:tc>
          <w:tcPr>
            <w:tcW w:w="60" w:type="dxa"/>
            <w:tcBorders/>
            <w:shd w:fill="auto" w:val="clear"/>
            <w:tcMar>
              <w:bottom w:w="0" w:type="dxa"/>
            </w:tcMar>
            <w:vAlign w:val="bottom"/>
          </w:tcPr>
          <w:p>
            <w:pPr>
              <w:pStyle w:val="TableContents"/>
              <w:spacing w:before="0" w:after="283"/>
              <w:rPr/>
            </w:pPr>
            <w:r>
              <w:rPr/>
              <w:t> </w:t>
            </w:r>
          </w:p>
        </w:tc>
        <w:tc>
          <w:tcPr>
            <w:tcW w:w="2462" w:type="dxa"/>
            <w:tcBorders/>
            <w:shd w:fill="auto" w:val="clear"/>
            <w:tcMar>
              <w:bottom w:w="0" w:type="dxa"/>
            </w:tcMar>
            <w:vAlign w:val="bottom"/>
          </w:tcPr>
          <w:p>
            <w:pPr>
              <w:pStyle w:val="TableContents"/>
              <w:spacing w:before="0" w:after="283"/>
              <w:rPr/>
            </w:pPr>
            <w:r>
              <w:rPr/>
              <w:t>  </w:t>
            </w:r>
          </w:p>
        </w:tc>
      </w:tr>
    </w:tbl>
    <w:p>
      <w:pPr>
        <w:pStyle w:val="TextBody"/>
        <w:spacing w:before="0" w:after="0"/>
        <w:rPr/>
      </w:pPr>
      <w:r>
        <w:rPr/>
      </w:r>
    </w:p>
    <w:tbl>
      <w:tblPr>
        <w:tblW w:w="4480" w:type="dxa"/>
        <w:jc w:val="left"/>
        <w:tblInd w:w="0" w:type="dxa"/>
        <w:tblCellMar>
          <w:top w:w="0" w:type="dxa"/>
          <w:left w:w="0" w:type="dxa"/>
          <w:bottom w:w="0" w:type="dxa"/>
          <w:right w:w="0" w:type="dxa"/>
        </w:tblCellMar>
      </w:tblPr>
      <w:tblGrid>
        <w:gridCol w:w="305"/>
        <w:gridCol w:w="4175"/>
      </w:tblGrid>
      <w:tr>
        <w:trPr/>
        <w:tc>
          <w:tcPr>
            <w:tcW w:w="305" w:type="dxa"/>
            <w:tcBorders/>
            <w:shd w:fill="auto" w:val="clear"/>
            <w:vAlign w:val="center"/>
          </w:tcPr>
          <w:p>
            <w:pPr>
              <w:pStyle w:val="TableContents"/>
              <w:spacing w:before="0" w:after="283"/>
              <w:rPr>
                <w:color w:val="000000"/>
              </w:rPr>
            </w:pPr>
            <w:r>
              <w:rPr>
                <w:color w:val="000000"/>
              </w:rPr>
              <w:t>(1)</w:t>
            </w:r>
          </w:p>
        </w:tc>
        <w:tc>
          <w:tcPr>
            <w:tcW w:w="4175" w:type="dxa"/>
            <w:tcBorders/>
            <w:shd w:fill="auto" w:val="clear"/>
            <w:vAlign w:val="center"/>
          </w:tcPr>
          <w:p>
            <w:pPr>
              <w:pStyle w:val="TableContents"/>
              <w:spacing w:before="0" w:after="0"/>
              <w:rPr>
                <w:color w:val="000000"/>
              </w:rPr>
            </w:pPr>
            <w:r>
              <w:rPr>
                <w:color w:val="000000"/>
              </w:rPr>
              <w:t>May be redeemed at the Company’s option.</w:t>
            </w:r>
          </w:p>
        </w:tc>
      </w:tr>
    </w:tbl>
    <w:tbl>
      <w:tblPr>
        <w:tblW w:w="5620" w:type="dxa"/>
        <w:jc w:val="left"/>
        <w:tblInd w:w="0" w:type="dxa"/>
        <w:tblCellMar>
          <w:top w:w="0" w:type="dxa"/>
          <w:left w:w="0" w:type="dxa"/>
          <w:bottom w:w="0" w:type="dxa"/>
          <w:right w:w="0" w:type="dxa"/>
        </w:tblCellMar>
      </w:tblPr>
      <w:tblGrid>
        <w:gridCol w:w="305"/>
        <w:gridCol w:w="5315"/>
      </w:tblGrid>
      <w:tr>
        <w:trPr/>
        <w:tc>
          <w:tcPr>
            <w:tcW w:w="305" w:type="dxa"/>
            <w:tcBorders/>
            <w:shd w:fill="auto" w:val="clear"/>
            <w:vAlign w:val="center"/>
          </w:tcPr>
          <w:p>
            <w:pPr>
              <w:pStyle w:val="TableContents"/>
              <w:spacing w:before="0" w:after="283"/>
              <w:rPr>
                <w:color w:val="000000"/>
              </w:rPr>
            </w:pPr>
            <w:r>
              <w:rPr>
                <w:color w:val="000000"/>
              </w:rPr>
              <w:t>(2)</w:t>
            </w:r>
          </w:p>
        </w:tc>
        <w:tc>
          <w:tcPr>
            <w:tcW w:w="5315" w:type="dxa"/>
            <w:tcBorders/>
            <w:shd w:fill="auto" w:val="clear"/>
            <w:vAlign w:val="center"/>
          </w:tcPr>
          <w:p>
            <w:pPr>
              <w:pStyle w:val="TableContents"/>
              <w:spacing w:before="0" w:after="0"/>
              <w:rPr>
                <w:color w:val="000000"/>
              </w:rPr>
            </w:pPr>
            <w:r>
              <w:rPr>
                <w:color w:val="000000"/>
              </w:rPr>
              <w:t>Interest payable quarterly with principal due at maturity.</w:t>
            </w:r>
          </w:p>
        </w:tc>
      </w:tr>
    </w:tbl>
    <w:tbl>
      <w:tblPr>
        <w:tblW w:w="5050" w:type="dxa"/>
        <w:jc w:val="left"/>
        <w:tblInd w:w="0" w:type="dxa"/>
        <w:tblCellMar>
          <w:top w:w="0" w:type="dxa"/>
          <w:left w:w="0" w:type="dxa"/>
          <w:bottom w:w="0" w:type="dxa"/>
          <w:right w:w="0" w:type="dxa"/>
        </w:tblCellMar>
      </w:tblPr>
      <w:tblGrid>
        <w:gridCol w:w="305"/>
        <w:gridCol w:w="4745"/>
      </w:tblGrid>
      <w:tr>
        <w:trPr/>
        <w:tc>
          <w:tcPr>
            <w:tcW w:w="305" w:type="dxa"/>
            <w:tcBorders/>
            <w:shd w:fill="auto" w:val="clear"/>
            <w:vAlign w:val="center"/>
          </w:tcPr>
          <w:p>
            <w:pPr>
              <w:pStyle w:val="TableContents"/>
              <w:spacing w:before="0" w:after="283"/>
              <w:rPr>
                <w:color w:val="000000"/>
              </w:rPr>
            </w:pPr>
            <w:r>
              <w:rPr>
                <w:color w:val="000000"/>
              </w:rPr>
              <w:t>(3)</w:t>
            </w:r>
          </w:p>
        </w:tc>
        <w:tc>
          <w:tcPr>
            <w:tcW w:w="4745" w:type="dxa"/>
            <w:tcBorders/>
            <w:shd w:fill="auto" w:val="clear"/>
            <w:vAlign w:val="center"/>
          </w:tcPr>
          <w:p>
            <w:pPr>
              <w:pStyle w:val="TableContents"/>
              <w:spacing w:before="0" w:after="0"/>
              <w:rPr>
                <w:color w:val="000000"/>
              </w:rPr>
            </w:pPr>
            <w:r>
              <w:rPr>
                <w:color w:val="000000"/>
              </w:rPr>
              <w:t>Rate as of last reset date, prior to March 31, 2023.</w:t>
            </w:r>
          </w:p>
        </w:tc>
      </w:tr>
    </w:tbl>
    <w:p>
      <w:pPr>
        <w:pStyle w:val="TextBody"/>
        <w:spacing w:before="0" w:after="0"/>
        <w:jc w:val="left"/>
        <w:rPr/>
      </w:pPr>
      <w:r>
        <w:rPr/>
      </w:r>
    </w:p>
    <w:p>
      <w:pPr>
        <w:pStyle w:val="TextBody"/>
        <w:spacing w:before="0" w:after="0"/>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spacing w:before="0" w:after="0"/>
        <w:jc w:val="left"/>
        <w:rPr/>
      </w:pPr>
      <w:r>
        <w:rPr/>
      </w:r>
    </w:p>
    <w:p>
      <w:pPr>
        <w:pStyle w:val="TextBody"/>
        <w:spacing w:before="0" w:after="0"/>
        <w:jc w:val="left"/>
        <w:rPr>
          <w:rFonts w:ascii="Times New Roman" w:hAnsi="Times New Roman"/>
          <w:i/>
          <w:color w:val="000000"/>
          <w:sz w:val="20"/>
        </w:rPr>
      </w:pPr>
      <w:r>
        <w:rPr>
          <w:rFonts w:ascii="Times New Roman" w:hAnsi="Times New Roman"/>
          <w:i/>
          <w:color w:val="000000"/>
          <w:sz w:val="20"/>
        </w:rPr>
        <w:t>Liquidity</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Liquidity refers to the measure of our ability to meet the cash flow requirements of depositors and borrowers, while at the same time meeting our operating, capital and strategic cash flow needs, all at a reasonable cost. We continuously monitor our liquidity position to ensure that assets and liabilities are managed in a manner that will meet all short-term and long-term cash requirements. We manage our liquidity position to meet the daily cash flow needs of customers, while maintaining an appropriate balance between assets and liabilities to meet the return on investment objectives of our shareholders.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Our liquidity position is supported by management of liquid assets and access to alternative sources of funds. Our liquid assets include cash, interest-bearing deposits in correspondent banks, federal funds sold, and fair value of unpledged investment securities. Other available sources of liquidity include wholesale deposits, and additional borrowings from correspondent banks, FHLB advances, and the Federal Reserve discount window. At March 31, 2023, the Bank had the capacity to borrow additional funds from the FHLB and Federal Reserve discount window of up to approximately $987.8 million and $585.6 million, respectively.</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Our short-term and long-term liquidity requirements are primarily met through cash flow from operations, redeployment of prepaying and maturing balances in our loan and investment portfolios, and increases in customer deposits. Other alternative sources of funds will supplement these primary sources to the extent necessary to meet additional liquidity requirements on either a short-term or long-term basis.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Management believes that the Company has adequate liquidity to meet its obligations. However, if general economic conditions, potential recession in the United States and our market areas, the impacts related to or resulting from recent bank failures and any continuation of the recent uncertainty in the banking industry, including the associated impact to the Company and other financial institutions of any regulatory changes or other mitigation efforts taken by government agencies in response thereto, increased competition for deposits and related changes in deposit customer behavior, changes in market interest rates, the persistence of the current inflationary environment in the United States and our market areas, or other events, cause these sources of external funding to become restricted or are eliminated, the Company may not be able to raise adequate funds or may incur substantially higher funding costs or operating restrictions in order to raise the necessary funds to support the Company’s operations and growth.</w:t>
      </w:r>
    </w:p>
    <w:p>
      <w:pPr>
        <w:pStyle w:val="TextBody"/>
        <w:spacing w:before="0" w:after="0"/>
        <w:jc w:val="left"/>
        <w:rPr/>
      </w:pPr>
      <w:r>
        <w:rPr/>
      </w:r>
    </w:p>
    <w:p>
      <w:pPr>
        <w:pStyle w:val="TextBody"/>
        <w:spacing w:before="0" w:after="0"/>
        <w:jc w:val="left"/>
        <w:rPr>
          <w:rFonts w:ascii="Times New Roman" w:hAnsi="Times New Roman"/>
          <w:i/>
          <w:color w:val="000000"/>
          <w:sz w:val="20"/>
        </w:rPr>
      </w:pPr>
      <w:r>
        <w:rPr>
          <w:rFonts w:ascii="Times New Roman" w:hAnsi="Times New Roman"/>
          <w:i/>
          <w:color w:val="000000"/>
          <w:sz w:val="20"/>
        </w:rPr>
        <w:t>Capital</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Total stockholders’ equity increased to $368.0 million as of March 31, 2023, compared to $357.0 million as of December 31, 2022, an increase of $10.9 million, or 3.1%. The increase from December 31, 2022 was primarily the result of $9.2 million in net earnings for the three months ended March 31, 2023 and an increase in accumulated other comprehensive income of $4.7 million related to fair value changes in available for sale securities and related fair value hedges, net of tax, partially offset by $2.0 million of dividends paid.</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We are subject to various regulatory capital requirements administered by the federal and state banking regulators. Failure to meet regulatory capital requirements may result in certain mandatory and possible additional discretionary actions by regulators that, if undertaken, could have a direct material effect on our financial statements. Under capital adequacy guidelines and the regulatory framework for “prompt corrective action” (described below), we must meet specific capital guidelines that involve quantitative measures of our assets, liabilities and certain off-balance sheet items as calculated under regulatory accounting policies. The capital amounts and classifications are subject to qualitative judgments by the federal banking regulators about components, risk weightings and other factors. Qualitative measures established by regulation to ensure capital adequacy required us to maintain minimum amounts and ratio of common equity tier 1 (“CET1”) capital, tier 1 capital and total capital to risk-weighted assets and of tier 1 capital to average consolidated assets, referred to as the “leverage ratio.”</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45</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b w:val="false"/>
            <w:i/>
            <w:color w:val="000000"/>
            <w:sz w:val="16"/>
          </w:rPr>
          <w:t>Table of Contents</w:t>
        </w:r>
      </w:hyperlink>
    </w:p>
    <w:p>
      <w:pPr>
        <w:pStyle w:val="TextBody"/>
        <w:spacing w:before="0" w:after="0"/>
        <w:jc w:val="both"/>
        <w:rPr>
          <w:rFonts w:ascii="Times New Roman" w:hAnsi="Times New Roman"/>
          <w:color w:val="000000"/>
          <w:sz w:val="20"/>
        </w:rPr>
      </w:pPr>
      <w:r>
        <w:rPr>
          <w:rFonts w:ascii="Times New Roman" w:hAnsi="Times New Roman"/>
          <w:color w:val="000000"/>
          <w:sz w:val="20"/>
        </w:rPr>
        <w:t>The risk-based capital ratios measure the adequacy of a bank’s capital against the riskiness of its assets and off-balance sheet activities. Failure to maintain adequate capital is a basis for “prompt corrective action” or other regulatory enforcement action. In assessing a bank’s capital adequacy, regulators also consider other factors such as interest rate risk exposure; liquidity, funding and market risks; quality and level of earnings; concentrations of credit, quality of loans and investments; risks of any nontraditional activities; effectiveness of bank policies; and management’s overall ability to monitor and control risks.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As of March 31, 2023 and December 31, 2022, the Company met the definition of “well-capitalized” under the applicable regulations of the Board of Governors of the Federal Reserve System and the Bank was “well capitalized” under the FDIC’s regulatory framework for prompt corrective action and the Basel III capital guidelines. Management believes that no conditions or events have occurred since March 31, 2023 that would materially adversely change such capital classifications. From time to time, we may need to raise additional capital to support our and the Bank’s further growth and to maintain our “well capitalized” status.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table presents our and the Bank’s regulatory capital ratios as of the dates indicated.</w:t>
      </w:r>
    </w:p>
    <w:p>
      <w:pPr>
        <w:pStyle w:val="TextBody"/>
        <w:spacing w:before="0" w:after="0"/>
        <w:jc w:val="left"/>
        <w:rPr/>
      </w:pPr>
      <w:r>
        <w:rPr/>
      </w:r>
    </w:p>
    <w:tbl>
      <w:tblPr>
        <w:tblW w:w="7860" w:type="dxa"/>
        <w:jc w:val="left"/>
        <w:tblInd w:w="0" w:type="dxa"/>
        <w:tblCellMar>
          <w:top w:w="0" w:type="dxa"/>
          <w:left w:w="0" w:type="dxa"/>
          <w:bottom w:w="0" w:type="dxa"/>
          <w:right w:w="0" w:type="dxa"/>
        </w:tblCellMar>
      </w:tblPr>
      <w:tblGrid>
        <w:gridCol w:w="3680"/>
        <w:gridCol w:w="60"/>
        <w:gridCol w:w="140"/>
        <w:gridCol w:w="800"/>
        <w:gridCol w:w="60"/>
        <w:gridCol w:w="60"/>
        <w:gridCol w:w="60"/>
        <w:gridCol w:w="560"/>
        <w:gridCol w:w="215"/>
        <w:gridCol w:w="60"/>
        <w:gridCol w:w="162"/>
        <w:gridCol w:w="930"/>
        <w:gridCol w:w="69"/>
        <w:gridCol w:w="69"/>
        <w:gridCol w:w="69"/>
        <w:gridCol w:w="651"/>
        <w:gridCol w:w="215"/>
      </w:tblGrid>
      <w:tr>
        <w:trPr/>
        <w:tc>
          <w:tcPr>
            <w:tcW w:w="36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80" w:type="dxa"/>
            <w:gridSpan w:val="6"/>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March 31, 2023</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950" w:type="dxa"/>
            <w:gridSpan w:val="6"/>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December 31, 2022</w:t>
            </w:r>
          </w:p>
        </w:tc>
        <w:tc>
          <w:tcPr>
            <w:tcW w:w="215" w:type="dxa"/>
            <w:tcBorders/>
            <w:shd w:fill="auto" w:val="clear"/>
            <w:vAlign w:val="bottom"/>
          </w:tcPr>
          <w:p>
            <w:pPr>
              <w:pStyle w:val="TableContents"/>
              <w:spacing w:before="0" w:after="283"/>
              <w:rPr/>
            </w:pPr>
            <w:r>
              <w:rPr/>
              <w:t> </w:t>
            </w:r>
          </w:p>
        </w:tc>
      </w:tr>
      <w:tr>
        <w:trPr/>
        <w:tc>
          <w:tcPr>
            <w:tcW w:w="36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Amount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Ratio</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2"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Amount</w:t>
            </w:r>
          </w:p>
        </w:tc>
        <w:tc>
          <w:tcPr>
            <w:tcW w:w="69"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72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Ratio</w:t>
            </w:r>
          </w:p>
        </w:tc>
        <w:tc>
          <w:tcPr>
            <w:tcW w:w="215" w:type="dxa"/>
            <w:tcBorders/>
            <w:shd w:fill="auto" w:val="clear"/>
            <w:vAlign w:val="bottom"/>
          </w:tcPr>
          <w:p>
            <w:pPr>
              <w:pStyle w:val="TableContents"/>
              <w:spacing w:before="0" w:after="283"/>
              <w:rPr/>
            </w:pPr>
            <w:r>
              <w:rPr/>
              <w:t> </w:t>
            </w:r>
          </w:p>
        </w:tc>
      </w:tr>
      <w:tr>
        <w:trPr/>
        <w:tc>
          <w:tcPr>
            <w:tcW w:w="36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905" w:type="dxa"/>
            <w:gridSpan w:val="14"/>
            <w:tcBorders/>
            <w:shd w:fill="auto" w:val="clear"/>
            <w:vAlign w:val="bottom"/>
          </w:tcPr>
          <w:p>
            <w:pPr>
              <w:pStyle w:val="TableContents"/>
              <w:spacing w:before="0" w:after="0"/>
              <w:jc w:val="center"/>
              <w:rPr>
                <w:b/>
                <w:color w:val="000000"/>
              </w:rPr>
            </w:pPr>
            <w:r>
              <w:rPr>
                <w:b/>
                <w:color w:val="000000"/>
              </w:rPr>
              <w:t>(Dollars in thousands)</w:t>
            </w:r>
          </w:p>
        </w:tc>
        <w:tc>
          <w:tcPr>
            <w:tcW w:w="215" w:type="dxa"/>
            <w:tcBorders/>
            <w:shd w:fill="auto" w:val="clear"/>
            <w:vAlign w:val="bottom"/>
          </w:tcPr>
          <w:p>
            <w:pPr>
              <w:pStyle w:val="TableContents"/>
              <w:spacing w:before="0" w:after="283"/>
              <w:rPr/>
            </w:pPr>
            <w:r>
              <w:rPr/>
              <w:t> </w:t>
            </w:r>
          </w:p>
        </w:tc>
      </w:tr>
      <w:tr>
        <w:trPr/>
        <w:tc>
          <w:tcPr>
            <w:tcW w:w="3680" w:type="dxa"/>
            <w:tcBorders/>
            <w:shd w:fill="auto" w:val="clear"/>
            <w:vAlign w:val="bottom"/>
          </w:tcPr>
          <w:p>
            <w:pPr>
              <w:pStyle w:val="TableContents"/>
              <w:spacing w:before="0" w:after="0"/>
              <w:ind w:left="144" w:right="0" w:hanging="144"/>
              <w:rPr>
                <w:color w:val="000000"/>
                <w:u w:val="single"/>
              </w:rPr>
            </w:pPr>
            <w:r>
              <w:rPr>
                <w:b/>
                <w:color w:val="000000"/>
                <w:u w:val="single"/>
              </w:rPr>
              <w:t>South Plains Financial, Inc.</w:t>
            </w:r>
            <w:r>
              <w:rPr>
                <w:color w:val="000000"/>
                <w:u w:val="single"/>
              </w:rPr>
              <w:t>:</w:t>
            </w:r>
          </w:p>
        </w:tc>
        <w:tc>
          <w:tcPr>
            <w:tcW w:w="60" w:type="dxa"/>
            <w:tcBorders/>
            <w:shd w:fill="auto" w:val="clear"/>
            <w:vAlign w:val="bottom"/>
          </w:tcPr>
          <w:p>
            <w:pPr>
              <w:pStyle w:val="TableContents"/>
              <w:spacing w:before="0" w:after="283"/>
              <w:rPr/>
            </w:pPr>
            <w:r>
              <w:rPr/>
              <w:t> </w:t>
            </w:r>
          </w:p>
        </w:tc>
        <w:tc>
          <w:tcPr>
            <w:tcW w:w="94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0" w:type="dxa"/>
            <w:gridSpan w:val="2"/>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2" w:type="dxa"/>
            <w:gridSpan w:val="2"/>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720" w:type="dxa"/>
            <w:gridSpan w:val="2"/>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r>
      <w:tr>
        <w:trPr/>
        <w:tc>
          <w:tcPr>
            <w:tcW w:w="3680" w:type="dxa"/>
            <w:tcBorders/>
            <w:shd w:fill="CCEEFF" w:val="clear"/>
            <w:vAlign w:val="bottom"/>
          </w:tcPr>
          <w:p>
            <w:pPr>
              <w:pStyle w:val="TableContents"/>
              <w:spacing w:before="0" w:after="0"/>
              <w:ind w:left="144" w:right="0" w:hanging="144"/>
              <w:rPr>
                <w:color w:val="000000"/>
              </w:rPr>
            </w:pPr>
            <w:r>
              <w:rPr>
                <w:color w:val="000000"/>
              </w:rPr>
              <w:t>Total capital (to risk-weighted assets)</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pPr>
            <w:r>
              <w:rPr/>
              <w:t>$</w:t>
            </w:r>
          </w:p>
        </w:tc>
        <w:tc>
          <w:tcPr>
            <w:tcW w:w="800" w:type="dxa"/>
            <w:tcBorders/>
            <w:shd w:fill="CCEEFF" w:val="clear"/>
            <w:vAlign w:val="bottom"/>
          </w:tcPr>
          <w:p>
            <w:pPr>
              <w:pStyle w:val="TableContents"/>
              <w:spacing w:before="0" w:after="0"/>
              <w:jc w:val="right"/>
              <w:rPr/>
            </w:pPr>
            <w:r>
              <w:rPr/>
              <w:t>567,364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0"/>
              <w:jc w:val="right"/>
              <w:rPr/>
            </w:pPr>
            <w:r>
              <w:rPr/>
              <w:t>16.70</w:t>
            </w:r>
          </w:p>
        </w:tc>
        <w:tc>
          <w:tcPr>
            <w:tcW w:w="21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0"/>
              <w:rPr/>
            </w:pPr>
            <w:r>
              <w:rPr/>
              <w:t>$</w:t>
            </w:r>
          </w:p>
        </w:tc>
        <w:tc>
          <w:tcPr>
            <w:tcW w:w="930" w:type="dxa"/>
            <w:tcBorders/>
            <w:shd w:fill="CCEEFF" w:val="clear"/>
            <w:vAlign w:val="bottom"/>
          </w:tcPr>
          <w:p>
            <w:pPr>
              <w:pStyle w:val="TableContents"/>
              <w:spacing w:before="0" w:after="0"/>
              <w:jc w:val="right"/>
              <w:rPr/>
            </w:pPr>
            <w:r>
              <w:rPr/>
              <w:t>559,094</w:t>
            </w:r>
          </w:p>
        </w:tc>
        <w:tc>
          <w:tcPr>
            <w:tcW w:w="69"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651" w:type="dxa"/>
            <w:tcBorders/>
            <w:shd w:fill="CCEEFF" w:val="clear"/>
            <w:vAlign w:val="bottom"/>
          </w:tcPr>
          <w:p>
            <w:pPr>
              <w:pStyle w:val="TableContents"/>
              <w:spacing w:before="0" w:after="0"/>
              <w:jc w:val="right"/>
              <w:rPr/>
            </w:pPr>
            <w:r>
              <w:rPr/>
              <w:t>16.58</w:t>
            </w:r>
          </w:p>
        </w:tc>
        <w:tc>
          <w:tcPr>
            <w:tcW w:w="215" w:type="dxa"/>
            <w:tcBorders/>
            <w:shd w:fill="CCEEFF" w:val="clear"/>
            <w:vAlign w:val="bottom"/>
          </w:tcPr>
          <w:p>
            <w:pPr>
              <w:pStyle w:val="TableContents"/>
              <w:spacing w:before="0" w:after="0"/>
              <w:rPr/>
            </w:pPr>
            <w:r>
              <w:rPr/>
              <w:t>%</w:t>
            </w:r>
          </w:p>
        </w:tc>
      </w:tr>
      <w:tr>
        <w:trPr/>
        <w:tc>
          <w:tcPr>
            <w:tcW w:w="3680" w:type="dxa"/>
            <w:tcBorders/>
            <w:shd w:fill="auto" w:val="clear"/>
            <w:vAlign w:val="bottom"/>
          </w:tcPr>
          <w:p>
            <w:pPr>
              <w:pStyle w:val="TableContents"/>
              <w:spacing w:before="0" w:after="0"/>
              <w:ind w:left="144" w:right="0" w:hanging="144"/>
              <w:rPr>
                <w:color w:val="000000"/>
              </w:rPr>
            </w:pPr>
            <w:r>
              <w:rPr>
                <w:color w:val="000000"/>
              </w:rPr>
              <w:t>Tier 1 capital (to risk-weighted assets)</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0"/>
              <w:jc w:val="right"/>
              <w:rPr/>
            </w:pPr>
            <w:r>
              <w:rPr/>
              <w:t>449,847</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0"/>
              <w:jc w:val="right"/>
              <w:rPr/>
            </w:pPr>
            <w:r>
              <w:rPr/>
              <w:t>13.24</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930" w:type="dxa"/>
            <w:tcBorders/>
            <w:shd w:fill="auto" w:val="clear"/>
            <w:vAlign w:val="bottom"/>
          </w:tcPr>
          <w:p>
            <w:pPr>
              <w:pStyle w:val="TableContents"/>
              <w:spacing w:before="0" w:after="0"/>
              <w:jc w:val="right"/>
              <w:rPr/>
            </w:pPr>
            <w:r>
              <w:rPr/>
              <w:t>443,265</w:t>
            </w:r>
          </w:p>
        </w:tc>
        <w:tc>
          <w:tcPr>
            <w:tcW w:w="69"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651" w:type="dxa"/>
            <w:tcBorders/>
            <w:shd w:fill="auto" w:val="clear"/>
            <w:vAlign w:val="bottom"/>
          </w:tcPr>
          <w:p>
            <w:pPr>
              <w:pStyle w:val="TableContents"/>
              <w:spacing w:before="0" w:after="0"/>
              <w:jc w:val="right"/>
              <w:rPr/>
            </w:pPr>
            <w:r>
              <w:rPr/>
              <w:t>13.15</w:t>
            </w:r>
          </w:p>
        </w:tc>
        <w:tc>
          <w:tcPr>
            <w:tcW w:w="215" w:type="dxa"/>
            <w:tcBorders/>
            <w:shd w:fill="auto" w:val="clear"/>
            <w:vAlign w:val="bottom"/>
          </w:tcPr>
          <w:p>
            <w:pPr>
              <w:pStyle w:val="TableContents"/>
              <w:spacing w:before="0" w:after="283"/>
              <w:rPr/>
            </w:pPr>
            <w:r>
              <w:rPr/>
              <w:t> </w:t>
            </w:r>
          </w:p>
        </w:tc>
      </w:tr>
      <w:tr>
        <w:trPr/>
        <w:tc>
          <w:tcPr>
            <w:tcW w:w="3680" w:type="dxa"/>
            <w:tcBorders/>
            <w:shd w:fill="CCEEFF" w:val="clear"/>
            <w:vAlign w:val="bottom"/>
          </w:tcPr>
          <w:p>
            <w:pPr>
              <w:pStyle w:val="TableContents"/>
              <w:spacing w:before="0" w:after="0"/>
              <w:ind w:left="144" w:right="0" w:hanging="144"/>
              <w:rPr>
                <w:color w:val="000000"/>
              </w:rPr>
            </w:pPr>
            <w:r>
              <w:rPr>
                <w:color w:val="000000"/>
              </w:rPr>
              <w:t>CET 1 capital (to risk-weighted assets)</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0"/>
              <w:jc w:val="right"/>
              <w:rPr/>
            </w:pPr>
            <w:r>
              <w:rPr/>
              <w:t>404,847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0"/>
              <w:jc w:val="right"/>
              <w:rPr/>
            </w:pPr>
            <w:r>
              <w:rPr/>
              <w:t>11.92</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930" w:type="dxa"/>
            <w:tcBorders/>
            <w:shd w:fill="CCEEFF" w:val="clear"/>
            <w:vAlign w:val="bottom"/>
          </w:tcPr>
          <w:p>
            <w:pPr>
              <w:pStyle w:val="TableContents"/>
              <w:spacing w:before="0" w:after="0"/>
              <w:jc w:val="right"/>
              <w:rPr/>
            </w:pPr>
            <w:r>
              <w:rPr/>
              <w:t>398,265</w:t>
            </w:r>
          </w:p>
        </w:tc>
        <w:tc>
          <w:tcPr>
            <w:tcW w:w="69"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651" w:type="dxa"/>
            <w:tcBorders/>
            <w:shd w:fill="CCEEFF" w:val="clear"/>
            <w:vAlign w:val="bottom"/>
          </w:tcPr>
          <w:p>
            <w:pPr>
              <w:pStyle w:val="TableContents"/>
              <w:spacing w:before="0" w:after="0"/>
              <w:jc w:val="right"/>
              <w:rPr/>
            </w:pPr>
            <w:r>
              <w:rPr/>
              <w:t>11.81</w:t>
            </w:r>
          </w:p>
        </w:tc>
        <w:tc>
          <w:tcPr>
            <w:tcW w:w="215" w:type="dxa"/>
            <w:tcBorders/>
            <w:shd w:fill="CCEEFF" w:val="clear"/>
            <w:vAlign w:val="bottom"/>
          </w:tcPr>
          <w:p>
            <w:pPr>
              <w:pStyle w:val="TableContents"/>
              <w:spacing w:before="0" w:after="283"/>
              <w:rPr/>
            </w:pPr>
            <w:r>
              <w:rPr/>
              <w:t> </w:t>
            </w:r>
          </w:p>
        </w:tc>
      </w:tr>
      <w:tr>
        <w:trPr/>
        <w:tc>
          <w:tcPr>
            <w:tcW w:w="3680" w:type="dxa"/>
            <w:tcBorders/>
            <w:shd w:fill="auto" w:val="clear"/>
            <w:vAlign w:val="bottom"/>
          </w:tcPr>
          <w:p>
            <w:pPr>
              <w:pStyle w:val="TableContents"/>
              <w:spacing w:before="0" w:after="0"/>
              <w:ind w:left="144" w:right="0" w:hanging="144"/>
              <w:rPr>
                <w:color w:val="000000"/>
              </w:rPr>
            </w:pPr>
            <w:r>
              <w:rPr>
                <w:color w:val="000000"/>
              </w:rPr>
              <w:t>Tier 1 capital (to average assets)</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0"/>
              <w:jc w:val="right"/>
              <w:rPr/>
            </w:pPr>
            <w:r>
              <w:rPr/>
              <w:t>449,847</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0"/>
              <w:jc w:val="right"/>
              <w:rPr/>
            </w:pPr>
            <w:r>
              <w:rPr/>
              <w:t>11.22</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930" w:type="dxa"/>
            <w:tcBorders/>
            <w:shd w:fill="auto" w:val="clear"/>
            <w:vAlign w:val="bottom"/>
          </w:tcPr>
          <w:p>
            <w:pPr>
              <w:pStyle w:val="TableContents"/>
              <w:spacing w:before="0" w:after="0"/>
              <w:jc w:val="right"/>
              <w:rPr/>
            </w:pPr>
            <w:r>
              <w:rPr/>
              <w:t>443,265</w:t>
            </w:r>
          </w:p>
        </w:tc>
        <w:tc>
          <w:tcPr>
            <w:tcW w:w="69"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651" w:type="dxa"/>
            <w:tcBorders/>
            <w:shd w:fill="auto" w:val="clear"/>
            <w:vAlign w:val="bottom"/>
          </w:tcPr>
          <w:p>
            <w:pPr>
              <w:pStyle w:val="TableContents"/>
              <w:spacing w:before="0" w:after="0"/>
              <w:jc w:val="right"/>
              <w:rPr/>
            </w:pPr>
            <w:r>
              <w:rPr/>
              <w:t>11.03</w:t>
            </w:r>
          </w:p>
        </w:tc>
        <w:tc>
          <w:tcPr>
            <w:tcW w:w="215" w:type="dxa"/>
            <w:tcBorders/>
            <w:shd w:fill="auto" w:val="clear"/>
            <w:vAlign w:val="bottom"/>
          </w:tcPr>
          <w:p>
            <w:pPr>
              <w:pStyle w:val="TableContents"/>
              <w:spacing w:before="0" w:after="283"/>
              <w:rPr/>
            </w:pPr>
            <w:r>
              <w:rPr/>
              <w:t> </w:t>
            </w:r>
          </w:p>
        </w:tc>
      </w:tr>
      <w:tr>
        <w:trPr/>
        <w:tc>
          <w:tcPr>
            <w:tcW w:w="368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283"/>
              <w:jc w:val="right"/>
              <w:rPr/>
            </w:pPr>
            <w:r>
              <w:rPr/>
              <w:t> </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930" w:type="dxa"/>
            <w:tcBorders/>
            <w:shd w:fill="CCEEFF" w:val="clear"/>
            <w:vAlign w:val="bottom"/>
          </w:tcPr>
          <w:p>
            <w:pPr>
              <w:pStyle w:val="TableContents"/>
              <w:spacing w:before="0" w:after="283"/>
              <w:jc w:val="right"/>
              <w:rPr/>
            </w:pPr>
            <w:r>
              <w:rPr/>
              <w:t> </w:t>
            </w:r>
          </w:p>
        </w:tc>
        <w:tc>
          <w:tcPr>
            <w:tcW w:w="69"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651" w:type="dxa"/>
            <w:tcBorders/>
            <w:shd w:fill="CCEEFF" w:val="clear"/>
            <w:vAlign w:val="bottom"/>
          </w:tcPr>
          <w:p>
            <w:pPr>
              <w:pStyle w:val="TableContents"/>
              <w:spacing w:before="0" w:after="283"/>
              <w:jc w:val="right"/>
              <w:rPr/>
            </w:pPr>
            <w:r>
              <w:rPr/>
              <w:t> </w:t>
            </w:r>
          </w:p>
        </w:tc>
        <w:tc>
          <w:tcPr>
            <w:tcW w:w="215" w:type="dxa"/>
            <w:tcBorders/>
            <w:shd w:fill="CCEEFF" w:val="clear"/>
            <w:vAlign w:val="bottom"/>
          </w:tcPr>
          <w:p>
            <w:pPr>
              <w:pStyle w:val="TableContents"/>
              <w:spacing w:before="0" w:after="283"/>
              <w:rPr/>
            </w:pPr>
            <w:r>
              <w:rPr/>
              <w:t> </w:t>
            </w:r>
          </w:p>
        </w:tc>
      </w:tr>
      <w:tr>
        <w:trPr/>
        <w:tc>
          <w:tcPr>
            <w:tcW w:w="3680" w:type="dxa"/>
            <w:tcBorders/>
            <w:shd w:fill="auto" w:val="clear"/>
            <w:vAlign w:val="bottom"/>
          </w:tcPr>
          <w:p>
            <w:pPr>
              <w:pStyle w:val="TableContents"/>
              <w:spacing w:before="0" w:after="0"/>
              <w:ind w:left="144" w:right="0" w:hanging="144"/>
              <w:rPr>
                <w:b/>
                <w:color w:val="000000"/>
                <w:u w:val="single"/>
              </w:rPr>
            </w:pPr>
            <w:r>
              <w:rPr>
                <w:b/>
                <w:color w:val="000000"/>
                <w:u w:val="single"/>
              </w:rPr>
              <w:t>City Bank:</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pPr>
            <w:r>
              <w:rPr/>
              <w:t> </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930" w:type="dxa"/>
            <w:tcBorders/>
            <w:shd w:fill="auto" w:val="clear"/>
            <w:vAlign w:val="bottom"/>
          </w:tcPr>
          <w:p>
            <w:pPr>
              <w:pStyle w:val="TableContents"/>
              <w:spacing w:before="0" w:after="283"/>
              <w:jc w:val="right"/>
              <w:rPr/>
            </w:pPr>
            <w:r>
              <w:rPr/>
              <w:t> </w:t>
            </w:r>
          </w:p>
        </w:tc>
        <w:tc>
          <w:tcPr>
            <w:tcW w:w="69"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651" w:type="dxa"/>
            <w:tcBorders/>
            <w:shd w:fill="auto" w:val="clear"/>
            <w:vAlign w:val="bottom"/>
          </w:tcPr>
          <w:p>
            <w:pPr>
              <w:pStyle w:val="TableContents"/>
              <w:spacing w:before="0" w:after="283"/>
              <w:jc w:val="right"/>
              <w:rPr/>
            </w:pPr>
            <w:r>
              <w:rPr/>
              <w:t> </w:t>
            </w:r>
          </w:p>
        </w:tc>
        <w:tc>
          <w:tcPr>
            <w:tcW w:w="215" w:type="dxa"/>
            <w:tcBorders/>
            <w:shd w:fill="auto" w:val="clear"/>
            <w:vAlign w:val="bottom"/>
          </w:tcPr>
          <w:p>
            <w:pPr>
              <w:pStyle w:val="TableContents"/>
              <w:spacing w:before="0" w:after="283"/>
              <w:rPr/>
            </w:pPr>
            <w:r>
              <w:rPr/>
              <w:t> </w:t>
            </w:r>
          </w:p>
        </w:tc>
      </w:tr>
      <w:tr>
        <w:trPr/>
        <w:tc>
          <w:tcPr>
            <w:tcW w:w="3680" w:type="dxa"/>
            <w:tcBorders/>
            <w:shd w:fill="CCEEFF" w:val="clear"/>
            <w:vAlign w:val="bottom"/>
          </w:tcPr>
          <w:p>
            <w:pPr>
              <w:pStyle w:val="TableContents"/>
              <w:spacing w:before="0" w:after="0"/>
              <w:ind w:left="144" w:right="0" w:hanging="144"/>
              <w:rPr>
                <w:color w:val="000000"/>
              </w:rPr>
            </w:pPr>
            <w:r>
              <w:rPr>
                <w:color w:val="000000"/>
              </w:rPr>
              <w:t>Total capital (to risk-weighted assets)</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pPr>
            <w:r>
              <w:rPr/>
              <w:t>$</w:t>
            </w:r>
          </w:p>
        </w:tc>
        <w:tc>
          <w:tcPr>
            <w:tcW w:w="800" w:type="dxa"/>
            <w:tcBorders/>
            <w:shd w:fill="CCEEFF" w:val="clear"/>
            <w:vAlign w:val="bottom"/>
          </w:tcPr>
          <w:p>
            <w:pPr>
              <w:pStyle w:val="TableContents"/>
              <w:spacing w:before="0" w:after="0"/>
              <w:jc w:val="right"/>
              <w:rPr/>
            </w:pPr>
            <w:r>
              <w:rPr/>
              <w:t>461,457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0"/>
              <w:jc w:val="right"/>
              <w:rPr/>
            </w:pPr>
            <w:r>
              <w:rPr/>
              <w:t>13.59</w:t>
            </w:r>
          </w:p>
        </w:tc>
        <w:tc>
          <w:tcPr>
            <w:tcW w:w="21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0"/>
              <w:rPr/>
            </w:pPr>
            <w:r>
              <w:rPr/>
              <w:t>$</w:t>
            </w:r>
          </w:p>
        </w:tc>
        <w:tc>
          <w:tcPr>
            <w:tcW w:w="930" w:type="dxa"/>
            <w:tcBorders/>
            <w:shd w:fill="CCEEFF" w:val="clear"/>
            <w:vAlign w:val="bottom"/>
          </w:tcPr>
          <w:p>
            <w:pPr>
              <w:pStyle w:val="TableContents"/>
              <w:spacing w:before="0" w:after="0"/>
              <w:jc w:val="right"/>
              <w:rPr/>
            </w:pPr>
            <w:r>
              <w:rPr/>
              <w:t>454,427</w:t>
            </w:r>
          </w:p>
        </w:tc>
        <w:tc>
          <w:tcPr>
            <w:tcW w:w="69"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651" w:type="dxa"/>
            <w:tcBorders/>
            <w:shd w:fill="CCEEFF" w:val="clear"/>
            <w:vAlign w:val="bottom"/>
          </w:tcPr>
          <w:p>
            <w:pPr>
              <w:pStyle w:val="TableContents"/>
              <w:spacing w:before="0" w:after="0"/>
              <w:jc w:val="right"/>
              <w:rPr/>
            </w:pPr>
            <w:r>
              <w:rPr/>
              <w:t>13.48</w:t>
            </w:r>
          </w:p>
        </w:tc>
        <w:tc>
          <w:tcPr>
            <w:tcW w:w="215" w:type="dxa"/>
            <w:tcBorders/>
            <w:shd w:fill="CCEEFF" w:val="clear"/>
            <w:vAlign w:val="bottom"/>
          </w:tcPr>
          <w:p>
            <w:pPr>
              <w:pStyle w:val="TableContents"/>
              <w:spacing w:before="0" w:after="0"/>
              <w:rPr/>
            </w:pPr>
            <w:r>
              <w:rPr/>
              <w:t>%</w:t>
            </w:r>
          </w:p>
        </w:tc>
      </w:tr>
      <w:tr>
        <w:trPr/>
        <w:tc>
          <w:tcPr>
            <w:tcW w:w="3680" w:type="dxa"/>
            <w:tcBorders/>
            <w:shd w:fill="auto" w:val="clear"/>
            <w:vAlign w:val="bottom"/>
          </w:tcPr>
          <w:p>
            <w:pPr>
              <w:pStyle w:val="TableContents"/>
              <w:spacing w:before="0" w:after="0"/>
              <w:ind w:left="144" w:right="0" w:hanging="144"/>
              <w:rPr>
                <w:color w:val="000000"/>
              </w:rPr>
            </w:pPr>
            <w:r>
              <w:rPr>
                <w:color w:val="000000"/>
              </w:rPr>
              <w:t>Tier 1 capital (to risk-weighted assets)</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0"/>
              <w:jc w:val="right"/>
              <w:rPr/>
            </w:pPr>
            <w:r>
              <w:rPr/>
              <w:t>419,948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0"/>
              <w:jc w:val="right"/>
              <w:rPr/>
            </w:pPr>
            <w:r>
              <w:rPr/>
              <w:t>12.37</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930" w:type="dxa"/>
            <w:tcBorders/>
            <w:shd w:fill="auto" w:val="clear"/>
            <w:vAlign w:val="bottom"/>
          </w:tcPr>
          <w:p>
            <w:pPr>
              <w:pStyle w:val="TableContents"/>
              <w:spacing w:before="0" w:after="0"/>
              <w:jc w:val="right"/>
              <w:rPr/>
            </w:pPr>
            <w:r>
              <w:rPr/>
              <w:t>414,559</w:t>
            </w:r>
          </w:p>
        </w:tc>
        <w:tc>
          <w:tcPr>
            <w:tcW w:w="69"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651" w:type="dxa"/>
            <w:tcBorders/>
            <w:shd w:fill="auto" w:val="clear"/>
            <w:vAlign w:val="bottom"/>
          </w:tcPr>
          <w:p>
            <w:pPr>
              <w:pStyle w:val="TableContents"/>
              <w:spacing w:before="0" w:after="0"/>
              <w:jc w:val="right"/>
              <w:rPr/>
            </w:pPr>
            <w:r>
              <w:rPr/>
              <w:t>12.30</w:t>
            </w:r>
          </w:p>
        </w:tc>
        <w:tc>
          <w:tcPr>
            <w:tcW w:w="215" w:type="dxa"/>
            <w:tcBorders/>
            <w:shd w:fill="auto" w:val="clear"/>
            <w:vAlign w:val="bottom"/>
          </w:tcPr>
          <w:p>
            <w:pPr>
              <w:pStyle w:val="TableContents"/>
              <w:spacing w:before="0" w:after="283"/>
              <w:rPr/>
            </w:pPr>
            <w:r>
              <w:rPr/>
              <w:t> </w:t>
            </w:r>
          </w:p>
        </w:tc>
      </w:tr>
      <w:tr>
        <w:trPr/>
        <w:tc>
          <w:tcPr>
            <w:tcW w:w="3680" w:type="dxa"/>
            <w:tcBorders/>
            <w:shd w:fill="CCEEFF" w:val="clear"/>
            <w:vAlign w:val="bottom"/>
          </w:tcPr>
          <w:p>
            <w:pPr>
              <w:pStyle w:val="TableContents"/>
              <w:spacing w:before="0" w:after="0"/>
              <w:ind w:left="144" w:right="0" w:hanging="144"/>
              <w:rPr>
                <w:color w:val="000000"/>
              </w:rPr>
            </w:pPr>
            <w:r>
              <w:rPr>
                <w:color w:val="000000"/>
              </w:rPr>
              <w:t>CET 1 capital (to risk-weighted assets)</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0"/>
              <w:jc w:val="right"/>
              <w:rPr/>
            </w:pPr>
            <w:r>
              <w:rPr/>
              <w:t>419,948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0" w:type="dxa"/>
            <w:tcBorders/>
            <w:shd w:fill="CCEEFF" w:val="clear"/>
            <w:vAlign w:val="bottom"/>
          </w:tcPr>
          <w:p>
            <w:pPr>
              <w:pStyle w:val="TableContents"/>
              <w:spacing w:before="0" w:after="0"/>
              <w:jc w:val="right"/>
              <w:rPr/>
            </w:pPr>
            <w:r>
              <w:rPr/>
              <w:t>12.37</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930" w:type="dxa"/>
            <w:tcBorders/>
            <w:shd w:fill="CCEEFF" w:val="clear"/>
            <w:vAlign w:val="bottom"/>
          </w:tcPr>
          <w:p>
            <w:pPr>
              <w:pStyle w:val="TableContents"/>
              <w:spacing w:before="0" w:after="0"/>
              <w:jc w:val="right"/>
              <w:rPr/>
            </w:pPr>
            <w:r>
              <w:rPr/>
              <w:t>414,559</w:t>
            </w:r>
          </w:p>
        </w:tc>
        <w:tc>
          <w:tcPr>
            <w:tcW w:w="69"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69" w:type="dxa"/>
            <w:tcBorders/>
            <w:shd w:fill="CCEEFF" w:val="clear"/>
            <w:vAlign w:val="bottom"/>
          </w:tcPr>
          <w:p>
            <w:pPr>
              <w:pStyle w:val="TableContents"/>
              <w:spacing w:before="0" w:after="283"/>
              <w:rPr/>
            </w:pPr>
            <w:r>
              <w:rPr/>
              <w:t> </w:t>
            </w:r>
          </w:p>
        </w:tc>
        <w:tc>
          <w:tcPr>
            <w:tcW w:w="651" w:type="dxa"/>
            <w:tcBorders/>
            <w:shd w:fill="CCEEFF" w:val="clear"/>
            <w:vAlign w:val="bottom"/>
          </w:tcPr>
          <w:p>
            <w:pPr>
              <w:pStyle w:val="TableContents"/>
              <w:spacing w:before="0" w:after="0"/>
              <w:jc w:val="right"/>
              <w:rPr/>
            </w:pPr>
            <w:r>
              <w:rPr/>
              <w:t>12.30</w:t>
            </w:r>
          </w:p>
        </w:tc>
        <w:tc>
          <w:tcPr>
            <w:tcW w:w="215" w:type="dxa"/>
            <w:tcBorders/>
            <w:shd w:fill="CCEEFF" w:val="clear"/>
            <w:vAlign w:val="bottom"/>
          </w:tcPr>
          <w:p>
            <w:pPr>
              <w:pStyle w:val="TableContents"/>
              <w:spacing w:before="0" w:after="283"/>
              <w:rPr/>
            </w:pPr>
            <w:r>
              <w:rPr/>
              <w:t> </w:t>
            </w:r>
          </w:p>
        </w:tc>
      </w:tr>
      <w:tr>
        <w:trPr/>
        <w:tc>
          <w:tcPr>
            <w:tcW w:w="3680" w:type="dxa"/>
            <w:tcBorders/>
            <w:shd w:fill="auto" w:val="clear"/>
            <w:vAlign w:val="bottom"/>
          </w:tcPr>
          <w:p>
            <w:pPr>
              <w:pStyle w:val="TableContents"/>
              <w:spacing w:before="0" w:after="0"/>
              <w:ind w:left="144" w:right="0" w:hanging="144"/>
              <w:rPr>
                <w:color w:val="000000"/>
              </w:rPr>
            </w:pPr>
            <w:r>
              <w:rPr>
                <w:color w:val="000000"/>
              </w:rPr>
              <w:t>Tier 1 capital (to average assets)</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0"/>
              <w:jc w:val="right"/>
              <w:rPr/>
            </w:pPr>
            <w:r>
              <w:rPr/>
              <w:t>419,948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0"/>
              <w:jc w:val="right"/>
              <w:rPr/>
            </w:pPr>
            <w:r>
              <w:rPr/>
              <w:t>10.48</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930" w:type="dxa"/>
            <w:tcBorders/>
            <w:shd w:fill="auto" w:val="clear"/>
            <w:vAlign w:val="bottom"/>
          </w:tcPr>
          <w:p>
            <w:pPr>
              <w:pStyle w:val="TableContents"/>
              <w:spacing w:before="0" w:after="0"/>
              <w:jc w:val="right"/>
              <w:rPr/>
            </w:pPr>
            <w:r>
              <w:rPr/>
              <w:t>414,559</w:t>
            </w:r>
          </w:p>
        </w:tc>
        <w:tc>
          <w:tcPr>
            <w:tcW w:w="69"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69" w:type="dxa"/>
            <w:tcBorders/>
            <w:shd w:fill="auto" w:val="clear"/>
            <w:vAlign w:val="bottom"/>
          </w:tcPr>
          <w:p>
            <w:pPr>
              <w:pStyle w:val="TableContents"/>
              <w:spacing w:before="0" w:after="283"/>
              <w:rPr/>
            </w:pPr>
            <w:r>
              <w:rPr/>
              <w:t> </w:t>
            </w:r>
          </w:p>
        </w:tc>
        <w:tc>
          <w:tcPr>
            <w:tcW w:w="651" w:type="dxa"/>
            <w:tcBorders/>
            <w:shd w:fill="auto" w:val="clear"/>
            <w:vAlign w:val="bottom"/>
          </w:tcPr>
          <w:p>
            <w:pPr>
              <w:pStyle w:val="TableContents"/>
              <w:spacing w:before="0" w:after="0"/>
              <w:jc w:val="right"/>
              <w:rPr/>
            </w:pPr>
            <w:r>
              <w:rPr/>
              <w:t>10.32</w:t>
            </w:r>
          </w:p>
        </w:tc>
        <w:tc>
          <w:tcPr>
            <w:tcW w:w="215" w:type="dxa"/>
            <w:tcBorders/>
            <w:shd w:fill="auto" w:val="clear"/>
            <w:vAlign w:val="bottom"/>
          </w:tcPr>
          <w:p>
            <w:pPr>
              <w:pStyle w:val="TableContents"/>
              <w:spacing w:before="0" w:after="283"/>
              <w:rPr/>
            </w:pPr>
            <w:r>
              <w:rPr/>
              <w:t> </w:t>
            </w:r>
          </w:p>
        </w:tc>
      </w:tr>
    </w:tbl>
    <w:p>
      <w:pPr>
        <w:pStyle w:val="TextBody"/>
        <w:spacing w:before="0" w:after="0"/>
        <w:jc w:val="left"/>
        <w:rPr/>
      </w:pPr>
      <w:r>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Community Bank Leverage Ratio</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On September 17, 2019, the federal banking agencies jointly finalized a rule to be effective January 1, 2020 and intended to simplify the regulatory capital requirements described above for qualifying community banking organizations that opt into the Community Bank Leverage Ratio (“CBLR”) framework, as required by Section 201 of the EGRRCPA. The final rule became effective on January 1, 2020, and the CBLR framework became available for banks to use beginning with their March 31, 2020 Call Reports. Under the final rule, if a qualifying community banking organization opts into the CBLR framework and meets all requirements under the framework, it will be considered to have met the well-capitalized ratio requirements under the “prompt corrective action” regulations described above and will not be required to report or calculate risk-based capital. In order to qualify for the CBLR framework, a community banking organization must have a tier 1 leverage ratio of greater than 9%, less than $10 billion in total consolidated assets, and limited amounts of off-balance-sheet exposures and trading assets and liabilities. Although the Company and the Bank are qualifying community banking organizations, the Company and the Bank have elected not to opt in to the CBLR framework at this time and will continue to follow the Basel III capital requirements as described above.</w:t>
      </w:r>
    </w:p>
    <w:p>
      <w:pPr>
        <w:pStyle w:val="TextBody"/>
        <w:spacing w:before="0" w:after="0"/>
        <w:jc w:val="left"/>
        <w:rPr/>
      </w:pPr>
      <w:r>
        <w:rPr/>
      </w:r>
    </w:p>
    <w:p>
      <w:pPr>
        <w:pStyle w:val="TextBody"/>
        <w:spacing w:before="0" w:after="0"/>
        <w:jc w:val="left"/>
        <w:rPr>
          <w:rFonts w:ascii="Times New Roman" w:hAnsi="Times New Roman"/>
          <w:b/>
          <w:i/>
          <w:color w:val="000000"/>
          <w:sz w:val="20"/>
        </w:rPr>
      </w:pPr>
      <w:r>
        <w:rPr>
          <w:rFonts w:ascii="Times New Roman" w:hAnsi="Times New Roman"/>
          <w:b/>
          <w:i/>
          <w:color w:val="000000"/>
          <w:sz w:val="20"/>
        </w:rPr>
        <w:t>Treasury Stock</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Company did not repurchase stock during the three months ended March 31, 2023. For the three months ended March 31, 2022, we repurchased 106,498 shares of common stock for a total of $3.0 million. See Part II, Item 2, “Unregistered Sales of Equity Securities and Use of Proceeds,” of this Form 10-Q for further information.</w:t>
      </w:r>
    </w:p>
    <w:p>
      <w:pPr>
        <w:pStyle w:val="TextBody"/>
        <w:spacing w:before="0" w:after="0"/>
        <w:jc w:val="left"/>
        <w:rPr/>
      </w:pPr>
      <w:r>
        <w:rPr/>
      </w:r>
    </w:p>
    <w:p>
      <w:pPr>
        <w:pStyle w:val="TextBody"/>
        <w:spacing w:before="0" w:after="0"/>
        <w:jc w:val="left"/>
        <w:rPr>
          <w:rFonts w:ascii="Times New Roman" w:hAnsi="Times New Roman"/>
          <w:b/>
          <w:color w:val="000000"/>
          <w:sz w:val="20"/>
        </w:rPr>
      </w:pPr>
      <w:r>
        <w:rPr>
          <w:rFonts w:ascii="Times New Roman" w:hAnsi="Times New Roman"/>
          <w:b/>
          <w:color w:val="000000"/>
          <w:sz w:val="20"/>
        </w:rPr>
        <w:t>Interest Rate Sensitivity and Market Risk</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As a financial institution, our primary component of market risk is interest rate volatility. Our interest rate risk policy provides management with the guidelines for effective funds management, and we have established a measurement system for monitoring our net interest rate sensitivity position. We have historically managed our sensitivity position within our established guidelines.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Interest rate sensitivity involves the relationships between rate-sensitive assets and liabilities and is an indication of the probable effects of interest rate fluctuations on the Company’s net interest income. Interest rate-sensitive assets and liabilities are those with yields or rates that are subject to change within a future time period due to maturity or changes in market rates. The model is used to project future net interest income under a set of possible interest rate movements. The Company’s Investment/Asset Liability Committee (“ALCO Committee”) reviews this information to determine compliance with the limits set by the Bank’s board of directors.</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46</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b w:val="false"/>
            <w:i/>
            <w:color w:val="000000"/>
            <w:sz w:val="16"/>
          </w:rPr>
          <w:t>Table of Contents</w:t>
        </w:r>
      </w:hyperlink>
    </w:p>
    <w:p>
      <w:pPr>
        <w:pStyle w:val="TextBody"/>
        <w:spacing w:before="0" w:after="0"/>
        <w:jc w:val="both"/>
        <w:rPr>
          <w:rFonts w:ascii="Times New Roman" w:hAnsi="Times New Roman"/>
          <w:color w:val="000000"/>
          <w:sz w:val="20"/>
        </w:rPr>
      </w:pPr>
      <w:r>
        <w:rPr>
          <w:rFonts w:ascii="Times New Roman" w:hAnsi="Times New Roman"/>
          <w:color w:val="000000"/>
          <w:sz w:val="20"/>
        </w:rPr>
        <w:t>Fluctuations in interest rates will ultimately impact both the level of income and expense recorded on most of our assets and liabilities, and the market value of all interest-earning assets and interest-bearing liabilities, other than those which have a short term to maturity. Interest rate risk is the potential of economic losses due to future interest rate changes. These economic losses can be reflected as a loss of future net interest income and/or a loss of current fair market values. The objective is to measure the effect on net interest income and to adjust the balance sheet to minimize the inherent risk while at the same time maximizing income.</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We manage our exposure to interest rates by structuring our balance sheet in the ordinary course of business. Based upon the nature of our operations, we are not subject to foreign exchange or commodity price risk. We do not own any trading assets.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Our exposure to interest rate risk is managed by the ALCO Committee, in accordance with policies approved by the Bank’s board of directors. The ALCO Committee formulates strategies based on appropriate levels of interest rate risk. In determining the appropriate level of interest rate risk, the ALCO Committee considers the impact on earnings and capital on the current outlook on interest rates, potential changes in interest rates, regional economies, liquidity, business strategies and other factors. The ALCO Committee meets regularly to review, among other things, the sensitivity of assets and liabilities to interest rate changes, the book and market values of assets and liabilities, commitments to originate loans and the maturities of investments and borrowings. Additionally, the ALCO Committee reviews liquidity, cash flow flexibility, maturities of deposits and consumer and commercial deposit activity. Management employs methodologies to manage interest rate risk, which include an analysis of relationships between interest-earning assets and interest-bearing liabilities and an interest rate shock simulation model.</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We use interest rate risk simulation models and shock analyses to test the interest rate sensitivity of net interest income and fair value of equity, and the impact of changes in interest rates on other financial metrics. Contractual maturities and re-pricing opportunities of loans are incorporated in the model. The average lives of non-maturity deposit accounts are based on decay assumptions and are incorporated into the model. All of the assumptions used in our analyses are inherently uncertain and, as a result, the model cannot precisely measure future net interest income or precisely predict the impact of fluctuations in market interest rates on net interest income. Actual results will differ from the model’s simulated results due to timing, magnitude and frequency of interest rate changes as well as changes in market conditions and the application and timing of various management strategies.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On a quarterly basis, we run a simulation model for a static balance sheet and other scenarios. These models test the impact on net interest income from changes in market interest rates under various scenarios. Under the static model, rates are shocked instantaneously and ramped rates change over a 12-month and 24-month horizon based upon parallel and non-parallel yield curve shifts. Parallel shock scenarios assume instantaneous parallel movements in the yield curve compared to a flat yield curve scenario. Non-parallel simulation involves analysis of interest income and expense under various changes in the shape of the yield curve. Our internal policy regarding internal rate risk simulations currently specifies that for gradual parallel shifts of the yield curve, estimated net interest income at risk for the subsequent one-year period should not decline by more than 7.5% for a 100 basis point shift, 15% for a 200 basis point shift, and 22.5% for a 300 basis point shift.</w:t>
      </w:r>
    </w:p>
    <w:p>
      <w:pPr>
        <w:pStyle w:val="TextBody"/>
        <w:spacing w:before="0" w:after="0"/>
        <w:jc w:val="left"/>
        <w:rPr/>
      </w:pPr>
      <w:r>
        <w:rPr/>
      </w:r>
    </w:p>
    <w:p>
      <w:pPr>
        <w:pStyle w:val="TextBody"/>
        <w:spacing w:before="0" w:after="0"/>
        <w:jc w:val="left"/>
        <w:rPr>
          <w:rFonts w:ascii="Times New Roman" w:hAnsi="Times New Roman"/>
          <w:color w:val="000000"/>
          <w:sz w:val="20"/>
        </w:rPr>
      </w:pPr>
      <w:r>
        <w:rPr>
          <w:rFonts w:ascii="Times New Roman" w:hAnsi="Times New Roman"/>
          <w:color w:val="000000"/>
          <w:sz w:val="20"/>
        </w:rPr>
        <w:t>The following tables summarize the simulated change in net interest income over a 12-month horizon as of the dates indicated:</w:t>
      </w:r>
    </w:p>
    <w:p>
      <w:pPr>
        <w:pStyle w:val="TextBody"/>
        <w:spacing w:before="0" w:after="0"/>
        <w:jc w:val="left"/>
        <w:rPr/>
      </w:pPr>
      <w:r>
        <w:rPr/>
      </w:r>
    </w:p>
    <w:tbl>
      <w:tblPr>
        <w:tblW w:w="8393" w:type="dxa"/>
        <w:jc w:val="left"/>
        <w:tblInd w:w="0" w:type="dxa"/>
        <w:tblCellMar>
          <w:top w:w="0" w:type="dxa"/>
          <w:left w:w="0" w:type="dxa"/>
          <w:bottom w:w="0" w:type="dxa"/>
          <w:right w:w="0" w:type="dxa"/>
        </w:tblCellMar>
      </w:tblPr>
      <w:tblGrid>
        <w:gridCol w:w="3965"/>
        <w:gridCol w:w="60"/>
        <w:gridCol w:w="60"/>
        <w:gridCol w:w="210"/>
        <w:gridCol w:w="1819"/>
        <w:gridCol w:w="95"/>
        <w:gridCol w:w="60"/>
        <w:gridCol w:w="211"/>
        <w:gridCol w:w="1818"/>
        <w:gridCol w:w="95"/>
      </w:tblGrid>
      <w:tr>
        <w:trPr/>
        <w:tc>
          <w:tcPr>
            <w:tcW w:w="39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29"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March 31,</w:t>
            </w:r>
          </w:p>
          <w:p>
            <w:pPr>
              <w:pStyle w:val="TableContents"/>
              <w:spacing w:before="0" w:after="0"/>
              <w:jc w:val="center"/>
              <w:rPr>
                <w:b/>
                <w:color w:val="000000"/>
              </w:rPr>
            </w:pPr>
            <w:r>
              <w:rPr>
                <w:b/>
                <w:color w:val="000000"/>
              </w:rPr>
              <w:t>2023</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29"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December 31,</w:t>
            </w:r>
          </w:p>
          <w:p>
            <w:pPr>
              <w:pStyle w:val="TableContents"/>
              <w:spacing w:before="0" w:after="0"/>
              <w:jc w:val="center"/>
              <w:rPr>
                <w:b/>
                <w:color w:val="000000"/>
              </w:rPr>
            </w:pPr>
            <w:r>
              <w:rPr>
                <w:b/>
                <w:color w:val="000000"/>
              </w:rPr>
              <w:t>2022</w:t>
            </w:r>
          </w:p>
        </w:tc>
        <w:tc>
          <w:tcPr>
            <w:tcW w:w="95" w:type="dxa"/>
            <w:tcBorders/>
            <w:shd w:fill="auto" w:val="clear"/>
            <w:vAlign w:val="bottom"/>
          </w:tcPr>
          <w:p>
            <w:pPr>
              <w:pStyle w:val="TableContents"/>
              <w:spacing w:before="0" w:after="283"/>
              <w:rPr/>
            </w:pPr>
            <w:r>
              <w:rPr/>
              <w:t> </w:t>
            </w:r>
          </w:p>
        </w:tc>
      </w:tr>
      <w:tr>
        <w:trPr/>
        <w:tc>
          <w:tcPr>
            <w:tcW w:w="3965" w:type="dxa"/>
            <w:tcBorders/>
            <w:shd w:fill="auto" w:val="clear"/>
            <w:vAlign w:val="bottom"/>
          </w:tcPr>
          <w:p>
            <w:pPr>
              <w:pStyle w:val="TableContents"/>
              <w:spacing w:before="0" w:after="0"/>
              <w:rPr>
                <w:b/>
                <w:color w:val="000000"/>
                <w:u w:val="single"/>
              </w:rPr>
            </w:pPr>
            <w:r>
              <w:rPr>
                <w:b/>
                <w:color w:val="000000"/>
                <w:u w:val="single"/>
              </w:rPr>
              <w:t>Change in Interest Rates (Basis Points)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29"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Percent Change in</w:t>
            </w:r>
          </w:p>
          <w:p>
            <w:pPr>
              <w:pStyle w:val="TableContents"/>
              <w:spacing w:before="0" w:after="0"/>
              <w:jc w:val="center"/>
              <w:rPr>
                <w:b/>
                <w:color w:val="000000"/>
              </w:rPr>
            </w:pPr>
            <w:r>
              <w:rPr>
                <w:b/>
                <w:color w:val="000000"/>
              </w:rPr>
              <w:t>Net Interest Income</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29"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Percent Change in</w:t>
            </w:r>
          </w:p>
          <w:p>
            <w:pPr>
              <w:pStyle w:val="TableContents"/>
              <w:spacing w:before="0" w:after="0"/>
              <w:jc w:val="center"/>
              <w:rPr>
                <w:b/>
                <w:color w:val="000000"/>
              </w:rPr>
            </w:pPr>
            <w:r>
              <w:rPr>
                <w:b/>
                <w:color w:val="000000"/>
              </w:rPr>
              <w:t>Net Interest Income</w:t>
            </w:r>
          </w:p>
        </w:tc>
        <w:tc>
          <w:tcPr>
            <w:tcW w:w="95" w:type="dxa"/>
            <w:tcBorders/>
            <w:shd w:fill="auto" w:val="clear"/>
            <w:vAlign w:val="bottom"/>
          </w:tcPr>
          <w:p>
            <w:pPr>
              <w:pStyle w:val="TableContents"/>
              <w:spacing w:before="0" w:after="283"/>
              <w:rPr/>
            </w:pPr>
            <w:r>
              <w:rPr/>
              <w:t> </w:t>
            </w:r>
          </w:p>
        </w:tc>
      </w:tr>
      <w:tr>
        <w:trPr/>
        <w:tc>
          <w:tcPr>
            <w:tcW w:w="3965" w:type="dxa"/>
            <w:tcBorders/>
            <w:shd w:fill="CCEEFF" w:val="clear"/>
            <w:vAlign w:val="bottom"/>
          </w:tcPr>
          <w:p>
            <w:pPr>
              <w:pStyle w:val="TableContents"/>
              <w:spacing w:before="0" w:after="0"/>
              <w:jc w:val="left"/>
              <w:rPr>
                <w:color w:val="000000"/>
              </w:rPr>
            </w:pPr>
            <w:r>
              <w:rPr>
                <w:color w:val="000000"/>
              </w:rPr>
              <w:t>+300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819" w:type="dxa"/>
            <w:tcBorders/>
            <w:shd w:fill="CCEEFF" w:val="clear"/>
            <w:vAlign w:val="bottom"/>
          </w:tcPr>
          <w:p>
            <w:pPr>
              <w:pStyle w:val="TableContents"/>
              <w:spacing w:before="0" w:after="0"/>
              <w:jc w:val="right"/>
              <w:rPr>
                <w:color w:val="000000"/>
              </w:rPr>
            </w:pPr>
            <w:r>
              <w:rPr>
                <w:color w:val="000000"/>
              </w:rPr>
              <w:t>(1.78</w:t>
            </w:r>
          </w:p>
        </w:tc>
        <w:tc>
          <w:tcPr>
            <w:tcW w:w="95" w:type="dxa"/>
            <w:tcBorders/>
            <w:shd w:fill="CCEEFF" w:val="clear"/>
            <w:vAlign w:val="bottom"/>
          </w:tcPr>
          <w:p>
            <w:pPr>
              <w:pStyle w:val="TableContents"/>
              <w:spacing w:before="0" w:after="0"/>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818" w:type="dxa"/>
            <w:tcBorders/>
            <w:shd w:fill="CCEEFF" w:val="clear"/>
            <w:vAlign w:val="bottom"/>
          </w:tcPr>
          <w:p>
            <w:pPr>
              <w:pStyle w:val="TableContents"/>
              <w:spacing w:before="0" w:after="0"/>
              <w:jc w:val="right"/>
              <w:rPr>
                <w:color w:val="000000"/>
              </w:rPr>
            </w:pPr>
            <w:r>
              <w:rPr>
                <w:color w:val="000000"/>
              </w:rPr>
              <w:t>(1.50</w:t>
            </w:r>
          </w:p>
        </w:tc>
        <w:tc>
          <w:tcPr>
            <w:tcW w:w="95" w:type="dxa"/>
            <w:tcBorders/>
            <w:shd w:fill="CCEEFF" w:val="clear"/>
            <w:vAlign w:val="bottom"/>
          </w:tcPr>
          <w:p>
            <w:pPr>
              <w:pStyle w:val="TableContents"/>
              <w:spacing w:before="0" w:after="0"/>
              <w:rPr>
                <w:color w:val="000000"/>
              </w:rPr>
            </w:pPr>
            <w:r>
              <w:rPr>
                <w:color w:val="000000"/>
              </w:rPr>
              <w:t>)</w:t>
            </w:r>
          </w:p>
        </w:tc>
      </w:tr>
      <w:tr>
        <w:trPr/>
        <w:tc>
          <w:tcPr>
            <w:tcW w:w="3965" w:type="dxa"/>
            <w:tcBorders/>
            <w:shd w:fill="auto" w:val="clear"/>
            <w:vAlign w:val="bottom"/>
          </w:tcPr>
          <w:p>
            <w:pPr>
              <w:pStyle w:val="TableContents"/>
              <w:spacing w:before="0" w:after="0"/>
              <w:jc w:val="left"/>
              <w:rPr>
                <w:color w:val="000000"/>
              </w:rPr>
            </w:pPr>
            <w:r>
              <w:rPr>
                <w:color w:val="000000"/>
              </w:rPr>
              <w:t>+200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819" w:type="dxa"/>
            <w:tcBorders/>
            <w:shd w:fill="auto" w:val="clear"/>
            <w:vAlign w:val="bottom"/>
          </w:tcPr>
          <w:p>
            <w:pPr>
              <w:pStyle w:val="TableContents"/>
              <w:spacing w:before="0" w:after="0"/>
              <w:jc w:val="right"/>
              <w:rPr>
                <w:color w:val="000000"/>
              </w:rPr>
            </w:pPr>
            <w:r>
              <w:rPr>
                <w:color w:val="000000"/>
              </w:rPr>
              <w:t>(1.17</w:t>
            </w:r>
          </w:p>
        </w:tc>
        <w:tc>
          <w:tcPr>
            <w:tcW w:w="95" w:type="dxa"/>
            <w:tcBorders/>
            <w:shd w:fill="auto" w:val="clear"/>
            <w:vAlign w:val="bottom"/>
          </w:tcPr>
          <w:p>
            <w:pPr>
              <w:pStyle w:val="TableContents"/>
              <w:spacing w:before="0" w:after="0"/>
              <w:rPr>
                <w:color w:val="000000"/>
              </w:rPr>
            </w:pPr>
            <w:r>
              <w:rPr>
                <w:color w:val="000000"/>
              </w:rPr>
              <w:t>)</w:t>
            </w:r>
          </w:p>
        </w:tc>
        <w:tc>
          <w:tcPr>
            <w:tcW w:w="6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818" w:type="dxa"/>
            <w:tcBorders/>
            <w:shd w:fill="auto" w:val="clear"/>
            <w:vAlign w:val="bottom"/>
          </w:tcPr>
          <w:p>
            <w:pPr>
              <w:pStyle w:val="TableContents"/>
              <w:spacing w:before="0" w:after="0"/>
              <w:jc w:val="right"/>
              <w:rPr>
                <w:color w:val="000000"/>
              </w:rPr>
            </w:pPr>
            <w:r>
              <w:rPr>
                <w:color w:val="000000"/>
              </w:rPr>
              <w:t>(0.96</w:t>
            </w:r>
          </w:p>
        </w:tc>
        <w:tc>
          <w:tcPr>
            <w:tcW w:w="95" w:type="dxa"/>
            <w:tcBorders/>
            <w:shd w:fill="auto" w:val="clear"/>
            <w:vAlign w:val="bottom"/>
          </w:tcPr>
          <w:p>
            <w:pPr>
              <w:pStyle w:val="TableContents"/>
              <w:spacing w:before="0" w:after="0"/>
              <w:rPr>
                <w:color w:val="000000"/>
              </w:rPr>
            </w:pPr>
            <w:r>
              <w:rPr>
                <w:color w:val="000000"/>
              </w:rPr>
              <w:t>)</w:t>
            </w:r>
          </w:p>
        </w:tc>
      </w:tr>
      <w:tr>
        <w:trPr/>
        <w:tc>
          <w:tcPr>
            <w:tcW w:w="3965" w:type="dxa"/>
            <w:tcBorders/>
            <w:shd w:fill="CCEEFF" w:val="clear"/>
            <w:vAlign w:val="bottom"/>
          </w:tcPr>
          <w:p>
            <w:pPr>
              <w:pStyle w:val="TableContents"/>
              <w:spacing w:before="0" w:after="0"/>
              <w:jc w:val="left"/>
              <w:rPr>
                <w:color w:val="000000"/>
              </w:rPr>
            </w:pPr>
            <w:r>
              <w:rPr>
                <w:color w:val="000000"/>
              </w:rPr>
              <w:t>+100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819" w:type="dxa"/>
            <w:tcBorders/>
            <w:shd w:fill="CCEEFF" w:val="clear"/>
            <w:vAlign w:val="bottom"/>
          </w:tcPr>
          <w:p>
            <w:pPr>
              <w:pStyle w:val="TableContents"/>
              <w:spacing w:before="0" w:after="0"/>
              <w:jc w:val="right"/>
              <w:rPr>
                <w:color w:val="000000"/>
              </w:rPr>
            </w:pPr>
            <w:r>
              <w:rPr>
                <w:color w:val="000000"/>
              </w:rPr>
              <w:t>(0.58</w:t>
            </w:r>
          </w:p>
        </w:tc>
        <w:tc>
          <w:tcPr>
            <w:tcW w:w="95" w:type="dxa"/>
            <w:tcBorders/>
            <w:shd w:fill="CCEEFF" w:val="clear"/>
            <w:vAlign w:val="bottom"/>
          </w:tcPr>
          <w:p>
            <w:pPr>
              <w:pStyle w:val="TableContents"/>
              <w:spacing w:before="0" w:after="0"/>
              <w:rPr>
                <w:color w:val="000000"/>
              </w:rPr>
            </w:pPr>
            <w:r>
              <w:rPr>
                <w:color w:val="000000"/>
              </w:rPr>
              <w:t>)</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818" w:type="dxa"/>
            <w:tcBorders/>
            <w:shd w:fill="CCEEFF" w:val="clear"/>
            <w:vAlign w:val="bottom"/>
          </w:tcPr>
          <w:p>
            <w:pPr>
              <w:pStyle w:val="TableContents"/>
              <w:spacing w:before="0" w:after="0"/>
              <w:jc w:val="right"/>
              <w:rPr>
                <w:color w:val="000000"/>
              </w:rPr>
            </w:pPr>
            <w:r>
              <w:rPr>
                <w:color w:val="000000"/>
              </w:rPr>
              <w:t>(0.61</w:t>
            </w:r>
          </w:p>
        </w:tc>
        <w:tc>
          <w:tcPr>
            <w:tcW w:w="95" w:type="dxa"/>
            <w:tcBorders/>
            <w:shd w:fill="CCEEFF" w:val="clear"/>
            <w:vAlign w:val="bottom"/>
          </w:tcPr>
          <w:p>
            <w:pPr>
              <w:pStyle w:val="TableContents"/>
              <w:spacing w:before="0" w:after="0"/>
              <w:rPr>
                <w:color w:val="000000"/>
              </w:rPr>
            </w:pPr>
            <w:r>
              <w:rPr>
                <w:color w:val="000000"/>
              </w:rPr>
              <w:t>)</w:t>
            </w:r>
          </w:p>
        </w:tc>
      </w:tr>
      <w:tr>
        <w:trPr/>
        <w:tc>
          <w:tcPr>
            <w:tcW w:w="3965" w:type="dxa"/>
            <w:tcBorders/>
            <w:shd w:fill="auto" w:val="clear"/>
            <w:vAlign w:val="bottom"/>
          </w:tcPr>
          <w:p>
            <w:pPr>
              <w:pStyle w:val="TableContents"/>
              <w:spacing w:before="0" w:after="0"/>
              <w:jc w:val="left"/>
              <w:rPr>
                <w:color w:val="000000"/>
              </w:rPr>
            </w:pPr>
            <w:r>
              <w:rPr>
                <w:color w:val="000000"/>
              </w:rPr>
              <w:t>-100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819" w:type="dxa"/>
            <w:tcBorders/>
            <w:shd w:fill="auto" w:val="clear"/>
            <w:vAlign w:val="bottom"/>
          </w:tcPr>
          <w:p>
            <w:pPr>
              <w:pStyle w:val="TableContents"/>
              <w:spacing w:before="0" w:after="0"/>
              <w:jc w:val="right"/>
              <w:rPr>
                <w:color w:val="000000"/>
              </w:rPr>
            </w:pPr>
            <w:r>
              <w:rPr>
                <w:color w:val="000000"/>
              </w:rPr>
              <w:t>0.21</w:t>
            </w:r>
          </w:p>
        </w:tc>
        <w:tc>
          <w:tcPr>
            <w:tcW w:w="9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818" w:type="dxa"/>
            <w:tcBorders/>
            <w:shd w:fill="auto" w:val="clear"/>
            <w:vAlign w:val="bottom"/>
          </w:tcPr>
          <w:p>
            <w:pPr>
              <w:pStyle w:val="TableContents"/>
              <w:spacing w:before="0" w:after="0"/>
              <w:jc w:val="right"/>
              <w:rPr>
                <w:color w:val="000000"/>
              </w:rPr>
            </w:pPr>
            <w:r>
              <w:rPr>
                <w:color w:val="000000"/>
              </w:rPr>
              <w:t>(1.50</w:t>
            </w:r>
          </w:p>
        </w:tc>
        <w:tc>
          <w:tcPr>
            <w:tcW w:w="95" w:type="dxa"/>
            <w:tcBorders/>
            <w:shd w:fill="auto" w:val="clear"/>
            <w:vAlign w:val="bottom"/>
          </w:tcPr>
          <w:p>
            <w:pPr>
              <w:pStyle w:val="TableContents"/>
              <w:spacing w:before="0" w:after="0"/>
              <w:rPr>
                <w:color w:val="000000"/>
              </w:rPr>
            </w:pPr>
            <w:r>
              <w:rPr>
                <w:color w:val="000000"/>
              </w:rPr>
              <w:t>)</w:t>
            </w:r>
          </w:p>
        </w:tc>
      </w:tr>
      <w:tr>
        <w:trPr/>
        <w:tc>
          <w:tcPr>
            <w:tcW w:w="3965" w:type="dxa"/>
            <w:tcBorders/>
            <w:shd w:fill="CCEEFF" w:val="clear"/>
            <w:vAlign w:val="bottom"/>
          </w:tcPr>
          <w:p>
            <w:pPr>
              <w:pStyle w:val="TableContents"/>
              <w:spacing w:before="0" w:after="0"/>
              <w:jc w:val="left"/>
              <w:rPr>
                <w:color w:val="000000"/>
              </w:rPr>
            </w:pPr>
            <w:r>
              <w:rPr>
                <w:color w:val="000000"/>
              </w:rPr>
              <w:t>-200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819" w:type="dxa"/>
            <w:tcBorders/>
            <w:shd w:fill="CCEEFF" w:val="clear"/>
            <w:vAlign w:val="bottom"/>
          </w:tcPr>
          <w:p>
            <w:pPr>
              <w:pStyle w:val="TableContents"/>
              <w:spacing w:before="0" w:after="0"/>
              <w:jc w:val="right"/>
              <w:rPr>
                <w:color w:val="000000"/>
              </w:rPr>
            </w:pPr>
            <w:r>
              <w:rPr>
                <w:color w:val="000000"/>
              </w:rPr>
              <w:t>0.46</w:t>
            </w:r>
          </w:p>
        </w:tc>
        <w:tc>
          <w:tcPr>
            <w:tcW w:w="9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1" w:type="dxa"/>
            <w:tcBorders/>
            <w:shd w:fill="CCEEFF" w:val="clear"/>
            <w:vAlign w:val="bottom"/>
          </w:tcPr>
          <w:p>
            <w:pPr>
              <w:pStyle w:val="TableContents"/>
              <w:spacing w:before="0" w:after="283"/>
              <w:rPr/>
            </w:pPr>
            <w:r>
              <w:rPr/>
              <w:t> </w:t>
            </w:r>
          </w:p>
        </w:tc>
        <w:tc>
          <w:tcPr>
            <w:tcW w:w="1818" w:type="dxa"/>
            <w:tcBorders/>
            <w:shd w:fill="CCEEFF" w:val="clear"/>
            <w:vAlign w:val="bottom"/>
          </w:tcPr>
          <w:p>
            <w:pPr>
              <w:pStyle w:val="TableContents"/>
              <w:spacing w:before="0" w:after="0"/>
              <w:jc w:val="right"/>
              <w:rPr>
                <w:color w:val="000000"/>
              </w:rPr>
            </w:pPr>
            <w:r>
              <w:rPr>
                <w:color w:val="000000"/>
              </w:rPr>
              <w:t>(2.81</w:t>
            </w:r>
          </w:p>
        </w:tc>
        <w:tc>
          <w:tcPr>
            <w:tcW w:w="95" w:type="dxa"/>
            <w:tcBorders/>
            <w:shd w:fill="CCEEFF" w:val="clear"/>
            <w:vAlign w:val="bottom"/>
          </w:tcPr>
          <w:p>
            <w:pPr>
              <w:pStyle w:val="TableContents"/>
              <w:spacing w:before="0" w:after="0"/>
              <w:rPr>
                <w:color w:val="000000"/>
              </w:rPr>
            </w:pPr>
            <w:r>
              <w:rPr>
                <w:color w:val="000000"/>
              </w:rPr>
              <w:t>)</w:t>
            </w:r>
          </w:p>
        </w:tc>
      </w:tr>
    </w:tbl>
    <w:p>
      <w:pPr>
        <w:pStyle w:val="TextBody"/>
        <w:spacing w:before="0" w:after="0"/>
        <w:jc w:val="left"/>
        <w:rPr/>
      </w:pPr>
      <w:r>
        <w:rPr/>
      </w:r>
    </w:p>
    <w:p>
      <w:pPr>
        <w:pStyle w:val="TextBody"/>
        <w:spacing w:before="0" w:after="0"/>
        <w:jc w:val="left"/>
        <w:rPr>
          <w:rFonts w:ascii="Times New Roman" w:hAnsi="Times New Roman"/>
          <w:b/>
          <w:color w:val="000000"/>
          <w:sz w:val="20"/>
        </w:rPr>
      </w:pPr>
      <w:r>
        <w:rPr>
          <w:rFonts w:ascii="Times New Roman" w:hAnsi="Times New Roman"/>
          <w:b/>
          <w:color w:val="000000"/>
          <w:sz w:val="20"/>
        </w:rPr>
        <w:t>Impact of Inflation</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Our consolidated financial statements and related notes included elsewhere in this Form 10-Q have been prepared in accordance with U.S. generally accepted accounting principles (“GAAP”). GAAP requires the measurement of financial position and operating results in terms of historical dollars, without considering changes in the relative value of money over time due to inflation or recession.</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The Company’s asset and liability structure is substantially different from that of an industrial company in that virtually all assets and liabilities of the Company are monetary in nature. Management believes the impact of inflation on financial results depends upon the Company’s ability to react to changes in interest rates and by such reaction, reduce the inflationary impact on performance. Interest rates do not necessarily move in the same direction, or at the same magnitude, as the prices of other goods and services. However, other operating expenses do reflect general levels of inflation. Management seeks to manage the relationship between interest rate-sensitive assets and liabilities in order to protect against wide net interest income fluctuations, including those resulting from inflation.</w:t>
      </w:r>
    </w:p>
    <w:p>
      <w:pPr>
        <w:pStyle w:val="TextBody"/>
        <w:spacing w:before="0" w:after="0"/>
        <w:jc w:val="both"/>
        <w:rPr>
          <w:rFonts w:ascii="Times New Roman" w:hAnsi="Times New Roman"/>
          <w:color w:val="000000"/>
          <w:sz w:val="20"/>
        </w:rPr>
      </w:pPr>
      <w:r>
        <w:rPr>
          <w:rFonts w:ascii="Times New Roman" w:hAnsi="Times New Roman"/>
          <w:color w:val="000000"/>
          <w:sz w:val="20"/>
        </w:rPr>
        <w:t>Various information shown elsewhere in this Report will assist in the understanding of how well the Company is positioned to react to changing interest rates and inflationary trends. In particular, additional information related to the Company’s interest rate-sensitive assets and liabilities is contained in this Item 2, “Management’s Discussion and Analysis of Financial Condition and Results of Operations” of this Report under the heading “Interest Rate Sensitivity and Market Risk.”</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47</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b w:val="false"/>
            <w:i/>
            <w:color w:val="000000"/>
            <w:sz w:val="16"/>
          </w:rPr>
          <w:t>Table of Contents</w:t>
        </w:r>
      </w:hyperlink>
    </w:p>
    <w:p>
      <w:pPr>
        <w:pStyle w:val="TextBody"/>
        <w:spacing w:before="0" w:after="0"/>
        <w:jc w:val="left"/>
        <w:rPr>
          <w:rFonts w:ascii="Times New Roman" w:hAnsi="Times New Roman"/>
          <w:b/>
          <w:color w:val="000000"/>
          <w:sz w:val="20"/>
        </w:rPr>
      </w:pPr>
      <w:r>
        <w:rPr>
          <w:rFonts w:ascii="Times New Roman" w:hAnsi="Times New Roman"/>
          <w:b/>
          <w:color w:val="000000"/>
          <w:sz w:val="20"/>
        </w:rPr>
        <w:t>Non-GAAP Financial Measures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Our accounting and reporting policies conform to GAAP and the prevailing practices in the banking industry. However, we also evaluate our performance based on certain additional financial measures discussed in this Report as being non-GAAP financial measures. We classify a financial measure as being a non-GAAP financial measure if that financial measure excludes or includes amounts, or is subject to adjustments that have the effect of excluding or including amounts, that are included or excluded, as the case may be, in the most directly comparable measure calculated and presented in accordance with GAAP as in effect from time to time in the U.S. in our statements of comprehensive income (loss), balance sheets or statements of cash flows. Non-GAAP financial measures do not include operating and other statistical measures or ratios or statistical measures calculated using exclusively either financial measures calculated in accordance with GAAP, operating measures or other measures that are not non-GAAP financial measures or both.</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non-GAAP financial measures that we discuss in this Report should not be considered in isolation or as a substitute for the most directly comparable or other financial measures calculated in accordance with GAAP. Moreover, the manner in which we calculate the non-GAAP financial measures that we discuss in this Report may differ from that of other companies reporting measures with similar names. It is important to understand how other banking organizations calculate their financial measures with names similar to the non-GAAP financial measures we have discussed in this Report when comparing such non-GAAP financial measures.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i/>
          <w:color w:val="000000"/>
          <w:sz w:val="20"/>
        </w:rPr>
        <w:t>Tangible Book Value Per Common Share</w:t>
      </w:r>
      <w:r>
        <w:rPr>
          <w:rFonts w:ascii="Times New Roman" w:hAnsi="Times New Roman"/>
          <w:color w:val="000000"/>
          <w:sz w:val="20"/>
        </w:rPr>
        <w:t>. Tangible book value per share is a non-GAAP measure generally used by investors, financial analysts and investment bankers to evaluate financial institutions. The most directly comparable GAAP financial measure for tangible book value per common share is book value per common share. We believe that the tangible book value per common share measure is important to many investors in the marketplace who are interested in changes from period to period in book value per common share exclusive of changes in intangible assets. Goodwill and other intangible assets have the effect of increasing total book value while not increasing our tangible book value.</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i/>
          <w:color w:val="000000"/>
          <w:sz w:val="20"/>
        </w:rPr>
        <w:t>Tangible Common Equity to Tangible Assets</w:t>
      </w:r>
      <w:r>
        <w:rPr>
          <w:rFonts w:ascii="Times New Roman" w:hAnsi="Times New Roman"/>
          <w:color w:val="000000"/>
          <w:sz w:val="20"/>
        </w:rPr>
        <w:t>. Tangible common equity to tangible assets is a non-GAAP measure generally used by investors, financial analysts and investment bankers to evaluate financial institutions. We calculate tangible common equity, as described above, and tangible assets as total assets less goodwill, core deposit intangibles and other intangible assets, net of accumulated amortization. The most directly comparable GAAP financial measure for tangible common equity to tangible assets is total common stockholders’ equity to total assets. We believe that this measure is important to many investors in the marketplace who are interested in the relative changes from period to period of tangible common equity to tangible assets, each exclusive of changes in intangible assets. Goodwill and other intangible assets have the effect of increasing both total stockholders’ equity and assets while not increasing our tangible common equity or tangible assets.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table reconciles, as of the dates set forth below, total stockholders’ equity to tangible common equity and total assets to tangible assets and then presents book value per common share, tangible book value per common share, total stockholders’ equity to total assets, and tangible common equity to tangible assets:</w:t>
      </w:r>
    </w:p>
    <w:p>
      <w:pPr>
        <w:pStyle w:val="TextBody"/>
        <w:spacing w:before="0" w:after="0"/>
        <w:jc w:val="both"/>
        <w:rPr/>
      </w:pPr>
      <w:r>
        <w:rPr/>
      </w:r>
    </w:p>
    <w:tbl>
      <w:tblPr>
        <w:tblW w:w="7244" w:type="dxa"/>
        <w:jc w:val="left"/>
        <w:tblInd w:w="0" w:type="dxa"/>
        <w:tblCellMar>
          <w:top w:w="0" w:type="dxa"/>
          <w:left w:w="0" w:type="dxa"/>
          <w:bottom w:w="0" w:type="dxa"/>
          <w:right w:w="0" w:type="dxa"/>
        </w:tblCellMar>
      </w:tblPr>
      <w:tblGrid>
        <w:gridCol w:w="4040"/>
        <w:gridCol w:w="60"/>
        <w:gridCol w:w="140"/>
        <w:gridCol w:w="1100"/>
        <w:gridCol w:w="215"/>
        <w:gridCol w:w="60"/>
        <w:gridCol w:w="159"/>
        <w:gridCol w:w="1255"/>
        <w:gridCol w:w="215"/>
      </w:tblGrid>
      <w:tr>
        <w:trPr/>
        <w:tc>
          <w:tcPr>
            <w:tcW w:w="40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40" w:type="dxa"/>
            <w:gridSpan w:val="2"/>
            <w:tcBorders>
              <w:bottom w:val="single" w:sz="12" w:space="0" w:color="000000"/>
            </w:tcBorders>
            <w:shd w:fill="auto" w:val="clear"/>
            <w:tcMar>
              <w:bottom w:w="28" w:type="dxa"/>
            </w:tcMar>
            <w:vAlign w:val="bottom"/>
          </w:tcPr>
          <w:p>
            <w:pPr>
              <w:pStyle w:val="TableContents"/>
              <w:spacing w:before="0" w:after="0"/>
              <w:jc w:val="center"/>
              <w:rPr>
                <w:b/>
                <w:color w:val="000000"/>
              </w:rPr>
            </w:pPr>
            <w:r>
              <w:rPr>
                <w:b/>
                <w:color w:val="000000"/>
              </w:rPr>
              <w:t>March 31,</w:t>
            </w:r>
          </w:p>
          <w:p>
            <w:pPr>
              <w:pStyle w:val="TableContents"/>
              <w:spacing w:before="0" w:after="0"/>
              <w:jc w:val="center"/>
              <w:rPr>
                <w:b/>
                <w:color w:val="000000"/>
              </w:rPr>
            </w:pPr>
            <w:r>
              <w:rPr>
                <w:b/>
                <w:color w:val="000000"/>
              </w:rPr>
              <w:t>2023</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14" w:type="dxa"/>
            <w:gridSpan w:val="2"/>
            <w:tcBorders>
              <w:bottom w:val="single" w:sz="12" w:space="0" w:color="000000"/>
            </w:tcBorders>
            <w:shd w:fill="auto" w:val="clear"/>
            <w:tcMar>
              <w:bottom w:w="28" w:type="dxa"/>
            </w:tcMar>
            <w:vAlign w:val="bottom"/>
          </w:tcPr>
          <w:p>
            <w:pPr>
              <w:pStyle w:val="TableContents"/>
              <w:spacing w:before="0" w:after="0"/>
              <w:ind w:left="0" w:right="0" w:hanging="140"/>
              <w:jc w:val="center"/>
              <w:rPr>
                <w:b/>
                <w:color w:val="000000"/>
              </w:rPr>
            </w:pPr>
            <w:r>
              <w:rPr>
                <w:b/>
                <w:color w:val="000000"/>
              </w:rPr>
              <w:t>December 31,</w:t>
            </w:r>
          </w:p>
          <w:p>
            <w:pPr>
              <w:pStyle w:val="TableContents"/>
              <w:spacing w:before="0" w:after="0"/>
              <w:ind w:left="0" w:right="0" w:hanging="140"/>
              <w:jc w:val="center"/>
              <w:rPr>
                <w:b/>
                <w:color w:val="000000"/>
              </w:rPr>
            </w:pPr>
            <w:r>
              <w:rPr>
                <w:b/>
                <w:color w:val="000000"/>
              </w:rPr>
              <w:t>2022</w:t>
            </w:r>
          </w:p>
        </w:tc>
        <w:tc>
          <w:tcPr>
            <w:tcW w:w="215" w:type="dxa"/>
            <w:tcBorders/>
            <w:shd w:fill="auto" w:val="clear"/>
            <w:vAlign w:val="bottom"/>
          </w:tcPr>
          <w:p>
            <w:pPr>
              <w:pStyle w:val="TableContents"/>
              <w:spacing w:before="0" w:after="283"/>
              <w:rPr/>
            </w:pPr>
            <w:r>
              <w:rPr/>
              <w:t> </w:t>
            </w:r>
          </w:p>
        </w:tc>
      </w:tr>
      <w:tr>
        <w:trPr/>
        <w:tc>
          <w:tcPr>
            <w:tcW w:w="40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29" w:type="dxa"/>
            <w:gridSpan w:val="6"/>
            <w:tcBorders/>
            <w:shd w:fill="auto" w:val="clear"/>
            <w:vAlign w:val="bottom"/>
          </w:tcPr>
          <w:p>
            <w:pPr>
              <w:pStyle w:val="TableContents"/>
              <w:spacing w:before="0" w:after="0"/>
              <w:ind w:left="0" w:right="0" w:hanging="140"/>
              <w:jc w:val="center"/>
              <w:rPr>
                <w:b/>
                <w:color w:val="000000"/>
              </w:rPr>
            </w:pPr>
            <w:r>
              <w:rPr>
                <w:b/>
                <w:color w:val="000000"/>
              </w:rPr>
              <w:t>(Dollars in thousands)</w:t>
            </w:r>
          </w:p>
        </w:tc>
        <w:tc>
          <w:tcPr>
            <w:tcW w:w="215" w:type="dxa"/>
            <w:tcBorders/>
            <w:shd w:fill="auto" w:val="clear"/>
            <w:vAlign w:val="bottom"/>
          </w:tcPr>
          <w:p>
            <w:pPr>
              <w:pStyle w:val="TableContents"/>
              <w:spacing w:before="0" w:after="283"/>
              <w:rPr/>
            </w:pPr>
            <w:r>
              <w:rPr/>
              <w:t> </w:t>
            </w:r>
          </w:p>
        </w:tc>
      </w:tr>
      <w:tr>
        <w:trPr/>
        <w:tc>
          <w:tcPr>
            <w:tcW w:w="4040" w:type="dxa"/>
            <w:tcBorders/>
            <w:shd w:fill="CCEEFF" w:val="clear"/>
            <w:vAlign w:val="bottom"/>
          </w:tcPr>
          <w:p>
            <w:pPr>
              <w:pStyle w:val="TableContents"/>
              <w:spacing w:before="0" w:after="0"/>
              <w:ind w:left="144" w:right="0" w:hanging="144"/>
              <w:rPr>
                <w:color w:val="000000"/>
              </w:rPr>
            </w:pPr>
            <w:r>
              <w:rPr>
                <w:color w:val="000000"/>
              </w:rPr>
              <w:t>Total stockholders’ equity</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pPr>
            <w:r>
              <w:rPr/>
              <w:t>$</w:t>
            </w:r>
          </w:p>
        </w:tc>
        <w:tc>
          <w:tcPr>
            <w:tcW w:w="1100" w:type="dxa"/>
            <w:tcBorders/>
            <w:shd w:fill="CCEEFF" w:val="clear"/>
            <w:vAlign w:val="bottom"/>
          </w:tcPr>
          <w:p>
            <w:pPr>
              <w:pStyle w:val="TableContents"/>
              <w:spacing w:before="0" w:after="0"/>
              <w:jc w:val="right"/>
              <w:rPr/>
            </w:pPr>
            <w:r>
              <w:rPr/>
              <w:t>367,964</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0"/>
              <w:rPr>
                <w:color w:val="000000"/>
              </w:rPr>
            </w:pPr>
            <w:r>
              <w:rPr>
                <w:color w:val="000000"/>
              </w:rPr>
              <w:t>$</w:t>
            </w:r>
          </w:p>
        </w:tc>
        <w:tc>
          <w:tcPr>
            <w:tcW w:w="1255" w:type="dxa"/>
            <w:tcBorders/>
            <w:shd w:fill="CCEEFF" w:val="clear"/>
            <w:vAlign w:val="bottom"/>
          </w:tcPr>
          <w:p>
            <w:pPr>
              <w:pStyle w:val="TableContents"/>
              <w:spacing w:before="0" w:after="0"/>
              <w:jc w:val="right"/>
              <w:rPr>
                <w:color w:val="000000"/>
              </w:rPr>
            </w:pPr>
            <w:r>
              <w:rPr>
                <w:color w:val="000000"/>
              </w:rPr>
              <w:t>357,014</w:t>
            </w:r>
          </w:p>
        </w:tc>
        <w:tc>
          <w:tcPr>
            <w:tcW w:w="215" w:type="dxa"/>
            <w:tcBorders/>
            <w:shd w:fill="CCEEFF" w:val="clear"/>
            <w:vAlign w:val="bottom"/>
          </w:tcPr>
          <w:p>
            <w:pPr>
              <w:pStyle w:val="TableContents"/>
              <w:spacing w:before="0" w:after="283"/>
              <w:rPr/>
            </w:pPr>
            <w:r>
              <w:rPr/>
              <w:t> </w:t>
            </w:r>
          </w:p>
        </w:tc>
      </w:tr>
      <w:tr>
        <w:trPr/>
        <w:tc>
          <w:tcPr>
            <w:tcW w:w="4040" w:type="dxa"/>
            <w:tcBorders/>
            <w:shd w:fill="auto" w:val="clear"/>
            <w:vAlign w:val="bottom"/>
          </w:tcPr>
          <w:p>
            <w:pPr>
              <w:pStyle w:val="TableContents"/>
              <w:spacing w:before="0" w:after="0"/>
              <w:ind w:left="144" w:right="0" w:hanging="144"/>
              <w:rPr>
                <w:color w:val="000000"/>
              </w:rPr>
            </w:pPr>
            <w:r>
              <w:rPr>
                <w:color w:val="000000"/>
              </w:rPr>
              <w:t>Less:  Goodwill and other intangibles</w:t>
            </w:r>
          </w:p>
        </w:tc>
        <w:tc>
          <w:tcPr>
            <w:tcW w:w="60" w:type="dxa"/>
            <w:tcBorders/>
            <w:shd w:fill="auto" w:val="clear"/>
            <w:vAlign w:val="bottom"/>
          </w:tcPr>
          <w:p>
            <w:pPr>
              <w:pStyle w:val="TableContents"/>
              <w:spacing w:before="0" w:after="283"/>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rPr/>
            </w:pPr>
            <w:r>
              <w:rPr/>
              <w:t> </w:t>
            </w:r>
          </w:p>
        </w:tc>
        <w:tc>
          <w:tcPr>
            <w:tcW w:w="1100" w:type="dxa"/>
            <w:tcBorders>
              <w:bottom w:val="single" w:sz="12" w:space="0" w:color="000000"/>
            </w:tcBorders>
            <w:shd w:fill="auto" w:val="clear"/>
            <w:tcMar>
              <w:bottom w:w="28" w:type="dxa"/>
            </w:tcMar>
            <w:vAlign w:val="bottom"/>
          </w:tcPr>
          <w:p>
            <w:pPr>
              <w:pStyle w:val="TableContents"/>
              <w:spacing w:before="0" w:after="0"/>
              <w:jc w:val="right"/>
              <w:rPr/>
            </w:pPr>
            <w:r>
              <w:rPr/>
              <w:t>(23,496</w:t>
            </w:r>
          </w:p>
        </w:tc>
        <w:tc>
          <w:tcPr>
            <w:tcW w:w="215" w:type="dxa"/>
            <w:tcBorders/>
            <w:shd w:fill="auto" w:val="clear"/>
            <w:vAlign w:val="bottom"/>
          </w:tcPr>
          <w:p>
            <w:pPr>
              <w:pStyle w:val="TableContents"/>
              <w:spacing w:before="0" w:after="0"/>
              <w:rPr/>
            </w:pPr>
            <w:r>
              <w:rPr/>
              <w:t>)</w:t>
            </w:r>
          </w:p>
        </w:tc>
        <w:tc>
          <w:tcPr>
            <w:tcW w:w="60" w:type="dxa"/>
            <w:tcBorders/>
            <w:shd w:fill="auto" w:val="clear"/>
            <w:vAlign w:val="bottom"/>
          </w:tcPr>
          <w:p>
            <w:pPr>
              <w:pStyle w:val="TableContents"/>
              <w:spacing w:before="0" w:after="283"/>
              <w:rPr/>
            </w:pPr>
            <w:r>
              <w:rPr/>
              <w:t> </w:t>
            </w:r>
          </w:p>
        </w:tc>
        <w:tc>
          <w:tcPr>
            <w:tcW w:w="159" w:type="dxa"/>
            <w:tcBorders>
              <w:bottom w:val="single" w:sz="12" w:space="0" w:color="000000"/>
            </w:tcBorders>
            <w:shd w:fill="auto" w:val="clear"/>
            <w:tcMar>
              <w:bottom w:w="28" w:type="dxa"/>
            </w:tcMar>
            <w:vAlign w:val="bottom"/>
          </w:tcPr>
          <w:p>
            <w:pPr>
              <w:pStyle w:val="TableContents"/>
              <w:spacing w:before="0" w:after="283"/>
              <w:rPr/>
            </w:pPr>
            <w:r>
              <w:rPr/>
              <w:t> </w:t>
            </w:r>
          </w:p>
        </w:tc>
        <w:tc>
          <w:tcPr>
            <w:tcW w:w="1255"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(23,857</w:t>
            </w:r>
          </w:p>
        </w:tc>
        <w:tc>
          <w:tcPr>
            <w:tcW w:w="215" w:type="dxa"/>
            <w:tcBorders/>
            <w:shd w:fill="auto" w:val="clear"/>
            <w:vAlign w:val="bottom"/>
          </w:tcPr>
          <w:p>
            <w:pPr>
              <w:pStyle w:val="TableContents"/>
              <w:spacing w:before="0" w:after="0"/>
              <w:rPr>
                <w:color w:val="000000"/>
              </w:rPr>
            </w:pPr>
            <w:r>
              <w:rPr>
                <w:color w:val="000000"/>
              </w:rPr>
              <w:t>)</w:t>
            </w:r>
          </w:p>
        </w:tc>
      </w:tr>
      <w:tr>
        <w:trPr/>
        <w:tc>
          <w:tcPr>
            <w:tcW w:w="4040" w:type="dxa"/>
            <w:tcBorders/>
            <w:shd w:fill="CCEEFF" w:val="clear"/>
            <w:vAlign w:val="bottom"/>
          </w:tcPr>
          <w:p>
            <w:pPr>
              <w:pStyle w:val="TableContents"/>
              <w:spacing w:before="0" w:after="0"/>
              <w:ind w:left="324" w:right="0" w:hanging="144"/>
              <w:rPr>
                <w:color w:val="000000"/>
              </w:rPr>
            </w:pPr>
            <w:r>
              <w:rPr>
                <w:color w:val="000000"/>
              </w:rPr>
              <w:t>Tangible common equity</w:t>
            </w:r>
          </w:p>
        </w:tc>
        <w:tc>
          <w:tcPr>
            <w:tcW w:w="60" w:type="dxa"/>
            <w:tcBorders/>
            <w:shd w:fill="CCEEFF" w:val="clear"/>
            <w:vAlign w:val="bottom"/>
          </w:tcPr>
          <w:p>
            <w:pPr>
              <w:pStyle w:val="TableContents"/>
              <w:spacing w:before="0" w:after="283"/>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rPr/>
            </w:pPr>
            <w:r>
              <w:rPr/>
              <w:t>$</w:t>
            </w:r>
          </w:p>
        </w:tc>
        <w:tc>
          <w:tcPr>
            <w:tcW w:w="1100" w:type="dxa"/>
            <w:tcBorders>
              <w:bottom w:val="double" w:sz="8" w:space="0" w:color="000000"/>
            </w:tcBorders>
            <w:shd w:fill="CCEEFF" w:val="clear"/>
            <w:tcMar>
              <w:bottom w:w="28" w:type="dxa"/>
            </w:tcMar>
            <w:vAlign w:val="bottom"/>
          </w:tcPr>
          <w:p>
            <w:pPr>
              <w:pStyle w:val="TableContents"/>
              <w:spacing w:before="0" w:after="0"/>
              <w:jc w:val="right"/>
              <w:rPr/>
            </w:pPr>
            <w:r>
              <w:rPr/>
              <w:t>344,468</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9" w:type="dxa"/>
            <w:tcBorders>
              <w:bottom w:val="double" w:sz="8" w:space="0" w:color="000000"/>
            </w:tcBorders>
            <w:shd w:fill="CCEEFF" w:val="clear"/>
            <w:tcMar>
              <w:bottom w:w="28" w:type="dxa"/>
            </w:tcMar>
            <w:vAlign w:val="bottom"/>
          </w:tcPr>
          <w:p>
            <w:pPr>
              <w:pStyle w:val="TableContents"/>
              <w:spacing w:before="0" w:after="0"/>
              <w:rPr>
                <w:color w:val="000000"/>
              </w:rPr>
            </w:pPr>
            <w:r>
              <w:rPr>
                <w:color w:val="000000"/>
              </w:rPr>
              <w:t>$</w:t>
            </w:r>
          </w:p>
        </w:tc>
        <w:tc>
          <w:tcPr>
            <w:tcW w:w="1255"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333,157</w:t>
            </w:r>
          </w:p>
        </w:tc>
        <w:tc>
          <w:tcPr>
            <w:tcW w:w="215" w:type="dxa"/>
            <w:tcBorders/>
            <w:shd w:fill="CCEEFF" w:val="clear"/>
            <w:vAlign w:val="bottom"/>
          </w:tcPr>
          <w:p>
            <w:pPr>
              <w:pStyle w:val="TableContents"/>
              <w:spacing w:before="0" w:after="283"/>
              <w:rPr/>
            </w:pPr>
            <w:r>
              <w:rPr/>
              <w:t> </w:t>
            </w:r>
          </w:p>
        </w:tc>
      </w:tr>
      <w:tr>
        <w:trPr/>
        <w:tc>
          <w:tcPr>
            <w:tcW w:w="40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 </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5" w:type="dxa"/>
            <w:tcBorders/>
            <w:shd w:fill="auto" w:val="clear"/>
            <w:vAlign w:val="bottom"/>
          </w:tcPr>
          <w:p>
            <w:pPr>
              <w:pStyle w:val="TableContents"/>
              <w:spacing w:before="0" w:after="283"/>
              <w:jc w:val="right"/>
              <w:rPr/>
            </w:pPr>
            <w:r>
              <w:rPr/>
              <w:t> </w:t>
            </w:r>
          </w:p>
        </w:tc>
        <w:tc>
          <w:tcPr>
            <w:tcW w:w="215" w:type="dxa"/>
            <w:tcBorders/>
            <w:shd w:fill="auto" w:val="clear"/>
            <w:vAlign w:val="bottom"/>
          </w:tcPr>
          <w:p>
            <w:pPr>
              <w:pStyle w:val="TableContents"/>
              <w:spacing w:before="0" w:after="283"/>
              <w:rPr/>
            </w:pPr>
            <w:r>
              <w:rPr/>
              <w:t> </w:t>
            </w:r>
          </w:p>
        </w:tc>
      </w:tr>
      <w:tr>
        <w:trPr/>
        <w:tc>
          <w:tcPr>
            <w:tcW w:w="4040" w:type="dxa"/>
            <w:tcBorders/>
            <w:shd w:fill="CCEEFF" w:val="clear"/>
            <w:vAlign w:val="bottom"/>
          </w:tcPr>
          <w:p>
            <w:pPr>
              <w:pStyle w:val="TableContents"/>
              <w:spacing w:before="0" w:after="0"/>
              <w:ind w:left="144" w:right="0" w:hanging="144"/>
              <w:rPr>
                <w:color w:val="000000"/>
              </w:rPr>
            </w:pPr>
            <w:r>
              <w:rPr>
                <w:color w:val="000000"/>
              </w:rPr>
              <w:t>Total assets</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pPr>
            <w:r>
              <w:rPr/>
              <w:t>$</w:t>
            </w:r>
          </w:p>
        </w:tc>
        <w:tc>
          <w:tcPr>
            <w:tcW w:w="1100" w:type="dxa"/>
            <w:tcBorders/>
            <w:shd w:fill="CCEEFF" w:val="clear"/>
            <w:vAlign w:val="bottom"/>
          </w:tcPr>
          <w:p>
            <w:pPr>
              <w:pStyle w:val="TableContents"/>
              <w:spacing w:before="0" w:after="0"/>
              <w:jc w:val="right"/>
              <w:rPr/>
            </w:pPr>
            <w:r>
              <w:rPr/>
              <w:t>4,058,049</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0"/>
              <w:rPr>
                <w:color w:val="000000"/>
              </w:rPr>
            </w:pPr>
            <w:r>
              <w:rPr>
                <w:color w:val="000000"/>
              </w:rPr>
              <w:t>$</w:t>
            </w:r>
          </w:p>
        </w:tc>
        <w:tc>
          <w:tcPr>
            <w:tcW w:w="1255" w:type="dxa"/>
            <w:tcBorders/>
            <w:shd w:fill="CCEEFF" w:val="clear"/>
            <w:vAlign w:val="bottom"/>
          </w:tcPr>
          <w:p>
            <w:pPr>
              <w:pStyle w:val="TableContents"/>
              <w:spacing w:before="0" w:after="0"/>
              <w:jc w:val="right"/>
              <w:rPr>
                <w:color w:val="000000"/>
              </w:rPr>
            </w:pPr>
            <w:r>
              <w:rPr>
                <w:color w:val="000000"/>
              </w:rPr>
              <w:t>3,944,063</w:t>
            </w:r>
          </w:p>
        </w:tc>
        <w:tc>
          <w:tcPr>
            <w:tcW w:w="215" w:type="dxa"/>
            <w:tcBorders/>
            <w:shd w:fill="CCEEFF" w:val="clear"/>
            <w:vAlign w:val="bottom"/>
          </w:tcPr>
          <w:p>
            <w:pPr>
              <w:pStyle w:val="TableContents"/>
              <w:spacing w:before="0" w:after="283"/>
              <w:rPr/>
            </w:pPr>
            <w:r>
              <w:rPr/>
              <w:t> </w:t>
            </w:r>
          </w:p>
        </w:tc>
      </w:tr>
      <w:tr>
        <w:trPr/>
        <w:tc>
          <w:tcPr>
            <w:tcW w:w="4040" w:type="dxa"/>
            <w:tcBorders/>
            <w:shd w:fill="auto" w:val="clear"/>
            <w:vAlign w:val="bottom"/>
          </w:tcPr>
          <w:p>
            <w:pPr>
              <w:pStyle w:val="TableContents"/>
              <w:spacing w:before="0" w:after="0"/>
              <w:ind w:left="144" w:right="0" w:hanging="144"/>
              <w:rPr>
                <w:color w:val="000000"/>
              </w:rPr>
            </w:pPr>
            <w:r>
              <w:rPr>
                <w:color w:val="000000"/>
              </w:rPr>
              <w:t>Less:  Goodwill and other intangibles</w:t>
            </w:r>
          </w:p>
        </w:tc>
        <w:tc>
          <w:tcPr>
            <w:tcW w:w="60" w:type="dxa"/>
            <w:tcBorders/>
            <w:shd w:fill="auto" w:val="clear"/>
            <w:vAlign w:val="bottom"/>
          </w:tcPr>
          <w:p>
            <w:pPr>
              <w:pStyle w:val="TableContents"/>
              <w:spacing w:before="0" w:after="283"/>
              <w:rPr/>
            </w:pPr>
            <w:r>
              <w:rPr/>
              <w:t> </w:t>
            </w:r>
          </w:p>
        </w:tc>
        <w:tc>
          <w:tcPr>
            <w:tcW w:w="140" w:type="dxa"/>
            <w:tcBorders>
              <w:bottom w:val="single" w:sz="12" w:space="0" w:color="000000"/>
            </w:tcBorders>
            <w:shd w:fill="auto" w:val="clear"/>
            <w:tcMar>
              <w:bottom w:w="28" w:type="dxa"/>
            </w:tcMar>
            <w:vAlign w:val="bottom"/>
          </w:tcPr>
          <w:p>
            <w:pPr>
              <w:pStyle w:val="TableContents"/>
              <w:spacing w:before="0" w:after="283"/>
              <w:rPr/>
            </w:pPr>
            <w:r>
              <w:rPr/>
              <w:t> </w:t>
            </w:r>
          </w:p>
        </w:tc>
        <w:tc>
          <w:tcPr>
            <w:tcW w:w="1100" w:type="dxa"/>
            <w:tcBorders>
              <w:bottom w:val="single" w:sz="12" w:space="0" w:color="000000"/>
            </w:tcBorders>
            <w:shd w:fill="auto" w:val="clear"/>
            <w:tcMar>
              <w:bottom w:w="28" w:type="dxa"/>
            </w:tcMar>
            <w:vAlign w:val="bottom"/>
          </w:tcPr>
          <w:p>
            <w:pPr>
              <w:pStyle w:val="TableContents"/>
              <w:spacing w:before="0" w:after="0"/>
              <w:jc w:val="right"/>
              <w:rPr/>
            </w:pPr>
            <w:r>
              <w:rPr/>
              <w:t>(23,496</w:t>
            </w:r>
          </w:p>
        </w:tc>
        <w:tc>
          <w:tcPr>
            <w:tcW w:w="215" w:type="dxa"/>
            <w:tcBorders/>
            <w:shd w:fill="auto" w:val="clear"/>
            <w:vAlign w:val="bottom"/>
          </w:tcPr>
          <w:p>
            <w:pPr>
              <w:pStyle w:val="TableContents"/>
              <w:spacing w:before="0" w:after="0"/>
              <w:rPr/>
            </w:pPr>
            <w:r>
              <w:rPr/>
              <w:t>)</w:t>
            </w:r>
          </w:p>
        </w:tc>
        <w:tc>
          <w:tcPr>
            <w:tcW w:w="60" w:type="dxa"/>
            <w:tcBorders/>
            <w:shd w:fill="auto" w:val="clear"/>
            <w:vAlign w:val="bottom"/>
          </w:tcPr>
          <w:p>
            <w:pPr>
              <w:pStyle w:val="TableContents"/>
              <w:spacing w:before="0" w:after="283"/>
              <w:rPr/>
            </w:pPr>
            <w:r>
              <w:rPr/>
              <w:t> </w:t>
            </w:r>
          </w:p>
        </w:tc>
        <w:tc>
          <w:tcPr>
            <w:tcW w:w="159" w:type="dxa"/>
            <w:tcBorders>
              <w:bottom w:val="single" w:sz="12" w:space="0" w:color="000000"/>
            </w:tcBorders>
            <w:shd w:fill="auto" w:val="clear"/>
            <w:tcMar>
              <w:bottom w:w="28" w:type="dxa"/>
            </w:tcMar>
            <w:vAlign w:val="bottom"/>
          </w:tcPr>
          <w:p>
            <w:pPr>
              <w:pStyle w:val="TableContents"/>
              <w:spacing w:before="0" w:after="283"/>
              <w:rPr/>
            </w:pPr>
            <w:r>
              <w:rPr/>
              <w:t> </w:t>
            </w:r>
          </w:p>
        </w:tc>
        <w:tc>
          <w:tcPr>
            <w:tcW w:w="1255" w:type="dxa"/>
            <w:tcBorders>
              <w:bottom w:val="single" w:sz="12" w:space="0" w:color="000000"/>
            </w:tcBorders>
            <w:shd w:fill="auto" w:val="clear"/>
            <w:tcMar>
              <w:bottom w:w="28" w:type="dxa"/>
            </w:tcMar>
            <w:vAlign w:val="bottom"/>
          </w:tcPr>
          <w:p>
            <w:pPr>
              <w:pStyle w:val="TableContents"/>
              <w:spacing w:before="0" w:after="0"/>
              <w:jc w:val="right"/>
              <w:rPr>
                <w:color w:val="000000"/>
              </w:rPr>
            </w:pPr>
            <w:r>
              <w:rPr>
                <w:color w:val="000000"/>
              </w:rPr>
              <w:t>(23,857</w:t>
            </w:r>
          </w:p>
        </w:tc>
        <w:tc>
          <w:tcPr>
            <w:tcW w:w="215" w:type="dxa"/>
            <w:tcBorders/>
            <w:shd w:fill="auto" w:val="clear"/>
            <w:vAlign w:val="bottom"/>
          </w:tcPr>
          <w:p>
            <w:pPr>
              <w:pStyle w:val="TableContents"/>
              <w:spacing w:before="0" w:after="0"/>
              <w:rPr>
                <w:color w:val="000000"/>
              </w:rPr>
            </w:pPr>
            <w:r>
              <w:rPr>
                <w:color w:val="000000"/>
              </w:rPr>
              <w:t>)</w:t>
            </w:r>
          </w:p>
        </w:tc>
      </w:tr>
      <w:tr>
        <w:trPr/>
        <w:tc>
          <w:tcPr>
            <w:tcW w:w="4040" w:type="dxa"/>
            <w:tcBorders/>
            <w:shd w:fill="CCEEFF" w:val="clear"/>
            <w:vAlign w:val="bottom"/>
          </w:tcPr>
          <w:p>
            <w:pPr>
              <w:pStyle w:val="TableContents"/>
              <w:spacing w:before="0" w:after="0"/>
              <w:ind w:left="324" w:right="0" w:hanging="144"/>
              <w:rPr>
                <w:color w:val="000000"/>
              </w:rPr>
            </w:pPr>
            <w:r>
              <w:rPr>
                <w:color w:val="000000"/>
              </w:rPr>
              <w:t>Tangible assets</w:t>
            </w:r>
          </w:p>
        </w:tc>
        <w:tc>
          <w:tcPr>
            <w:tcW w:w="60" w:type="dxa"/>
            <w:tcBorders/>
            <w:shd w:fill="CCEEFF" w:val="clear"/>
            <w:vAlign w:val="bottom"/>
          </w:tcPr>
          <w:p>
            <w:pPr>
              <w:pStyle w:val="TableContents"/>
              <w:spacing w:before="0" w:after="283"/>
              <w:rPr/>
            </w:pPr>
            <w:r>
              <w:rPr/>
              <w:t> </w:t>
            </w:r>
          </w:p>
        </w:tc>
        <w:tc>
          <w:tcPr>
            <w:tcW w:w="140" w:type="dxa"/>
            <w:tcBorders>
              <w:bottom w:val="double" w:sz="8" w:space="0" w:color="000000"/>
            </w:tcBorders>
            <w:shd w:fill="CCEEFF" w:val="clear"/>
            <w:tcMar>
              <w:bottom w:w="28" w:type="dxa"/>
            </w:tcMar>
            <w:vAlign w:val="bottom"/>
          </w:tcPr>
          <w:p>
            <w:pPr>
              <w:pStyle w:val="TableContents"/>
              <w:spacing w:before="0" w:after="0"/>
              <w:rPr/>
            </w:pPr>
            <w:r>
              <w:rPr/>
              <w:t>$</w:t>
            </w:r>
          </w:p>
        </w:tc>
        <w:tc>
          <w:tcPr>
            <w:tcW w:w="1100" w:type="dxa"/>
            <w:tcBorders>
              <w:bottom w:val="double" w:sz="8" w:space="0" w:color="000000"/>
            </w:tcBorders>
            <w:shd w:fill="CCEEFF" w:val="clear"/>
            <w:tcMar>
              <w:bottom w:w="28" w:type="dxa"/>
            </w:tcMar>
            <w:vAlign w:val="bottom"/>
          </w:tcPr>
          <w:p>
            <w:pPr>
              <w:pStyle w:val="TableContents"/>
              <w:spacing w:before="0" w:after="0"/>
              <w:jc w:val="right"/>
              <w:rPr/>
            </w:pPr>
            <w:r>
              <w:rPr/>
              <w:t>4,034,553</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9" w:type="dxa"/>
            <w:tcBorders>
              <w:bottom w:val="double" w:sz="8" w:space="0" w:color="000000"/>
            </w:tcBorders>
            <w:shd w:fill="CCEEFF" w:val="clear"/>
            <w:tcMar>
              <w:bottom w:w="28" w:type="dxa"/>
            </w:tcMar>
            <w:vAlign w:val="bottom"/>
          </w:tcPr>
          <w:p>
            <w:pPr>
              <w:pStyle w:val="TableContents"/>
              <w:spacing w:before="0" w:after="0"/>
              <w:rPr>
                <w:color w:val="000000"/>
              </w:rPr>
            </w:pPr>
            <w:r>
              <w:rPr>
                <w:color w:val="000000"/>
              </w:rPr>
              <w:t>$</w:t>
            </w:r>
          </w:p>
        </w:tc>
        <w:tc>
          <w:tcPr>
            <w:tcW w:w="1255" w:type="dxa"/>
            <w:tcBorders>
              <w:bottom w:val="double" w:sz="8" w:space="0" w:color="000000"/>
            </w:tcBorders>
            <w:shd w:fill="CCEEFF" w:val="clear"/>
            <w:tcMar>
              <w:bottom w:w="28" w:type="dxa"/>
            </w:tcMar>
            <w:vAlign w:val="bottom"/>
          </w:tcPr>
          <w:p>
            <w:pPr>
              <w:pStyle w:val="TableContents"/>
              <w:spacing w:before="0" w:after="0"/>
              <w:jc w:val="right"/>
              <w:rPr>
                <w:color w:val="000000"/>
              </w:rPr>
            </w:pPr>
            <w:r>
              <w:rPr>
                <w:color w:val="000000"/>
              </w:rPr>
              <w:t>3,920,206</w:t>
            </w:r>
          </w:p>
        </w:tc>
        <w:tc>
          <w:tcPr>
            <w:tcW w:w="215" w:type="dxa"/>
            <w:tcBorders/>
            <w:shd w:fill="CCEEFF" w:val="clear"/>
            <w:vAlign w:val="bottom"/>
          </w:tcPr>
          <w:p>
            <w:pPr>
              <w:pStyle w:val="TableContents"/>
              <w:spacing w:before="0" w:after="283"/>
              <w:rPr/>
            </w:pPr>
            <w:r>
              <w:rPr/>
              <w:t> </w:t>
            </w:r>
          </w:p>
        </w:tc>
      </w:tr>
      <w:tr>
        <w:trPr/>
        <w:tc>
          <w:tcPr>
            <w:tcW w:w="4040" w:type="dxa"/>
            <w:tcBorders/>
            <w:shd w:fill="auto" w:val="clear"/>
            <w:vAlign w:val="bottom"/>
          </w:tcPr>
          <w:p>
            <w:pPr>
              <w:pStyle w:val="TableContents"/>
              <w:spacing w:before="0" w:after="0"/>
              <w:ind w:left="324" w:right="0" w:hanging="144"/>
              <w:rPr>
                <w:color w:val="000000"/>
              </w:rPr>
            </w:pPr>
            <w:r>
              <w:rPr>
                <w:color w:val="000000"/>
              </w:rPr>
              <w:t>Shares outstanding</w:t>
            </w:r>
          </w:p>
        </w:tc>
        <w:tc>
          <w:tcPr>
            <w:tcW w:w="60" w:type="dxa"/>
            <w:tcBorders/>
            <w:shd w:fill="auto" w:val="clear"/>
            <w:vAlign w:val="bottom"/>
          </w:tcPr>
          <w:p>
            <w:pPr>
              <w:pStyle w:val="TableContents"/>
              <w:spacing w:before="0" w:after="283"/>
              <w:rPr/>
            </w:pPr>
            <w:r>
              <w:rPr/>
              <w:t> </w:t>
            </w:r>
          </w:p>
        </w:tc>
        <w:tc>
          <w:tcPr>
            <w:tcW w:w="140" w:type="dxa"/>
            <w:tcBorders>
              <w:bottom w:val="double" w:sz="8" w:space="0" w:color="000000"/>
            </w:tcBorders>
            <w:shd w:fill="auto" w:val="clear"/>
            <w:tcMar>
              <w:bottom w:w="28" w:type="dxa"/>
            </w:tcMar>
            <w:vAlign w:val="bottom"/>
          </w:tcPr>
          <w:p>
            <w:pPr>
              <w:pStyle w:val="TableContents"/>
              <w:spacing w:before="0" w:after="283"/>
              <w:rPr/>
            </w:pPr>
            <w:r>
              <w:rPr/>
              <w:t> </w:t>
            </w:r>
          </w:p>
        </w:tc>
        <w:tc>
          <w:tcPr>
            <w:tcW w:w="1100" w:type="dxa"/>
            <w:tcBorders>
              <w:bottom w:val="double" w:sz="8" w:space="0" w:color="000000"/>
            </w:tcBorders>
            <w:shd w:fill="auto" w:val="clear"/>
            <w:tcMar>
              <w:bottom w:w="28" w:type="dxa"/>
            </w:tcMar>
            <w:vAlign w:val="bottom"/>
          </w:tcPr>
          <w:p>
            <w:pPr>
              <w:pStyle w:val="TableContents"/>
              <w:spacing w:before="0" w:after="0"/>
              <w:jc w:val="right"/>
              <w:rPr/>
            </w:pPr>
            <w:r>
              <w:rPr/>
              <w:t>17,062,572</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9" w:type="dxa"/>
            <w:tcBorders>
              <w:bottom w:val="double" w:sz="8" w:space="0" w:color="000000"/>
            </w:tcBorders>
            <w:shd w:fill="auto" w:val="clear"/>
            <w:tcMar>
              <w:bottom w:w="28" w:type="dxa"/>
            </w:tcMar>
            <w:vAlign w:val="bottom"/>
          </w:tcPr>
          <w:p>
            <w:pPr>
              <w:pStyle w:val="TableContents"/>
              <w:spacing w:before="0" w:after="283"/>
              <w:rPr/>
            </w:pPr>
            <w:r>
              <w:rPr/>
              <w:t> </w:t>
            </w:r>
          </w:p>
        </w:tc>
        <w:tc>
          <w:tcPr>
            <w:tcW w:w="1255" w:type="dxa"/>
            <w:tcBorders>
              <w:bottom w:val="double" w:sz="8" w:space="0" w:color="000000"/>
            </w:tcBorders>
            <w:shd w:fill="auto" w:val="clear"/>
            <w:tcMar>
              <w:bottom w:w="28" w:type="dxa"/>
            </w:tcMar>
            <w:vAlign w:val="bottom"/>
          </w:tcPr>
          <w:p>
            <w:pPr>
              <w:pStyle w:val="TableContents"/>
              <w:spacing w:before="0" w:after="0"/>
              <w:jc w:val="right"/>
              <w:rPr>
                <w:color w:val="000000"/>
              </w:rPr>
            </w:pPr>
            <w:r>
              <w:rPr>
                <w:color w:val="000000"/>
              </w:rPr>
              <w:t>17,027,197</w:t>
            </w:r>
          </w:p>
        </w:tc>
        <w:tc>
          <w:tcPr>
            <w:tcW w:w="215" w:type="dxa"/>
            <w:tcBorders/>
            <w:shd w:fill="auto" w:val="clear"/>
            <w:vAlign w:val="bottom"/>
          </w:tcPr>
          <w:p>
            <w:pPr>
              <w:pStyle w:val="TableContents"/>
              <w:spacing w:before="0" w:after="283"/>
              <w:rPr/>
            </w:pPr>
            <w:r>
              <w:rPr/>
              <w:t> </w:t>
            </w:r>
          </w:p>
        </w:tc>
      </w:tr>
      <w:tr>
        <w:trPr/>
        <w:tc>
          <w:tcPr>
            <w:tcW w:w="4040" w:type="dxa"/>
            <w:tcBorders/>
            <w:shd w:fill="CCEEFF" w:val="clear"/>
            <w:vAlign w:val="bottom"/>
          </w:tcPr>
          <w:p>
            <w:pPr>
              <w:pStyle w:val="TableContents"/>
              <w:spacing w:before="0" w:after="0"/>
              <w:ind w:left="324" w:right="0" w:hanging="144"/>
              <w:rPr>
                <w:color w:val="000000"/>
              </w:rPr>
            </w:pPr>
            <w:r>
              <w:rPr>
                <w:color w:val="000000"/>
              </w:rPr>
              <w:t>Total stockholders’ equity to total assets</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0"/>
              <w:jc w:val="right"/>
              <w:rPr/>
            </w:pPr>
            <w:r>
              <w:rPr/>
              <w:t>9.07</w:t>
            </w:r>
          </w:p>
        </w:tc>
        <w:tc>
          <w:tcPr>
            <w:tcW w:w="215" w:type="dxa"/>
            <w:tcBorders/>
            <w:shd w:fill="CCEEFF" w:val="clear"/>
            <w:vAlign w:val="bottom"/>
          </w:tcPr>
          <w:p>
            <w:pPr>
              <w:pStyle w:val="TableContents"/>
              <w:spacing w:before="0" w:after="0"/>
              <w:rPr/>
            </w:pPr>
            <w:r>
              <w:rPr/>
              <w:t>%</w:t>
            </w:r>
          </w:p>
        </w:tc>
        <w:tc>
          <w:tcPr>
            <w:tcW w:w="60"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55" w:type="dxa"/>
            <w:tcBorders/>
            <w:shd w:fill="CCEEFF" w:val="clear"/>
            <w:vAlign w:val="bottom"/>
          </w:tcPr>
          <w:p>
            <w:pPr>
              <w:pStyle w:val="TableContents"/>
              <w:spacing w:before="0" w:after="0"/>
              <w:jc w:val="right"/>
              <w:rPr>
                <w:color w:val="000000"/>
              </w:rPr>
            </w:pPr>
            <w:r>
              <w:rPr>
                <w:color w:val="000000"/>
              </w:rPr>
              <w:t>9.05</w:t>
            </w:r>
          </w:p>
        </w:tc>
        <w:tc>
          <w:tcPr>
            <w:tcW w:w="215" w:type="dxa"/>
            <w:tcBorders/>
            <w:shd w:fill="CCEEFF" w:val="clear"/>
            <w:vAlign w:val="bottom"/>
          </w:tcPr>
          <w:p>
            <w:pPr>
              <w:pStyle w:val="TableContents"/>
              <w:spacing w:before="0" w:after="0"/>
              <w:rPr>
                <w:color w:val="000000"/>
              </w:rPr>
            </w:pPr>
            <w:r>
              <w:rPr>
                <w:color w:val="000000"/>
              </w:rPr>
              <w:t>%</w:t>
            </w:r>
          </w:p>
        </w:tc>
      </w:tr>
      <w:tr>
        <w:trPr/>
        <w:tc>
          <w:tcPr>
            <w:tcW w:w="4040" w:type="dxa"/>
            <w:tcBorders/>
            <w:shd w:fill="auto" w:val="clear"/>
            <w:vAlign w:val="bottom"/>
          </w:tcPr>
          <w:p>
            <w:pPr>
              <w:pStyle w:val="TableContents"/>
              <w:spacing w:before="0" w:after="0"/>
              <w:ind w:left="324" w:right="0" w:hanging="144"/>
              <w:rPr>
                <w:color w:val="000000"/>
              </w:rPr>
            </w:pPr>
            <w:r>
              <w:rPr>
                <w:color w:val="000000"/>
              </w:rPr>
              <w:t>Tangible common equity to tangible assets</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0"/>
              <w:jc w:val="right"/>
              <w:rPr/>
            </w:pPr>
            <w:r>
              <w:rPr/>
              <w:t>8.54</w:t>
            </w:r>
          </w:p>
        </w:tc>
        <w:tc>
          <w:tcPr>
            <w:tcW w:w="215" w:type="dxa"/>
            <w:tcBorders/>
            <w:shd w:fill="auto" w:val="clear"/>
            <w:vAlign w:val="bottom"/>
          </w:tcPr>
          <w:p>
            <w:pPr>
              <w:pStyle w:val="TableContents"/>
              <w:spacing w:before="0" w:after="0"/>
              <w:rPr/>
            </w:pPr>
            <w:r>
              <w:rPr/>
              <w:t>%</w:t>
            </w:r>
          </w:p>
        </w:tc>
        <w:tc>
          <w:tcPr>
            <w:tcW w:w="60"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55" w:type="dxa"/>
            <w:tcBorders/>
            <w:shd w:fill="auto" w:val="clear"/>
            <w:vAlign w:val="bottom"/>
          </w:tcPr>
          <w:p>
            <w:pPr>
              <w:pStyle w:val="TableContents"/>
              <w:spacing w:before="0" w:after="0"/>
              <w:jc w:val="right"/>
              <w:rPr>
                <w:color w:val="000000"/>
              </w:rPr>
            </w:pPr>
            <w:r>
              <w:rPr>
                <w:color w:val="000000"/>
              </w:rPr>
              <w:t>8.50</w:t>
            </w:r>
          </w:p>
        </w:tc>
        <w:tc>
          <w:tcPr>
            <w:tcW w:w="215" w:type="dxa"/>
            <w:tcBorders/>
            <w:shd w:fill="auto" w:val="clear"/>
            <w:vAlign w:val="bottom"/>
          </w:tcPr>
          <w:p>
            <w:pPr>
              <w:pStyle w:val="TableContents"/>
              <w:spacing w:before="0" w:after="0"/>
              <w:rPr>
                <w:color w:val="000000"/>
              </w:rPr>
            </w:pPr>
            <w:r>
              <w:rPr>
                <w:color w:val="000000"/>
              </w:rPr>
              <w:t>%</w:t>
            </w:r>
          </w:p>
        </w:tc>
      </w:tr>
      <w:tr>
        <w:trPr/>
        <w:tc>
          <w:tcPr>
            <w:tcW w:w="4040" w:type="dxa"/>
            <w:tcBorders/>
            <w:shd w:fill="CCEEFF" w:val="clear"/>
            <w:vAlign w:val="bottom"/>
          </w:tcPr>
          <w:p>
            <w:pPr>
              <w:pStyle w:val="TableContents"/>
              <w:spacing w:before="0" w:after="0"/>
              <w:ind w:left="324" w:right="0" w:hanging="144"/>
              <w:rPr>
                <w:color w:val="000000"/>
              </w:rPr>
            </w:pPr>
            <w:r>
              <w:rPr>
                <w:color w:val="000000"/>
              </w:rPr>
              <w:t>Book value per share</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0"/>
              <w:rPr/>
            </w:pPr>
            <w:r>
              <w:rPr/>
              <w:t>$</w:t>
            </w:r>
          </w:p>
        </w:tc>
        <w:tc>
          <w:tcPr>
            <w:tcW w:w="1100" w:type="dxa"/>
            <w:tcBorders/>
            <w:shd w:fill="CCEEFF" w:val="clear"/>
            <w:vAlign w:val="bottom"/>
          </w:tcPr>
          <w:p>
            <w:pPr>
              <w:pStyle w:val="TableContents"/>
              <w:spacing w:before="0" w:after="0"/>
              <w:jc w:val="right"/>
              <w:rPr/>
            </w:pPr>
            <w:r>
              <w:rPr/>
              <w:t>21.57</w:t>
            </w:r>
          </w:p>
        </w:tc>
        <w:tc>
          <w:tcPr>
            <w:tcW w:w="21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0"/>
              <w:rPr>
                <w:color w:val="000000"/>
              </w:rPr>
            </w:pPr>
            <w:r>
              <w:rPr>
                <w:color w:val="000000"/>
              </w:rPr>
              <w:t>$</w:t>
            </w:r>
          </w:p>
        </w:tc>
        <w:tc>
          <w:tcPr>
            <w:tcW w:w="1255" w:type="dxa"/>
            <w:tcBorders/>
            <w:shd w:fill="CCEEFF" w:val="clear"/>
            <w:vAlign w:val="bottom"/>
          </w:tcPr>
          <w:p>
            <w:pPr>
              <w:pStyle w:val="TableContents"/>
              <w:spacing w:before="0" w:after="0"/>
              <w:jc w:val="right"/>
              <w:rPr>
                <w:color w:val="000000"/>
              </w:rPr>
            </w:pPr>
            <w:r>
              <w:rPr>
                <w:color w:val="000000"/>
              </w:rPr>
              <w:t>20.97</w:t>
            </w:r>
          </w:p>
        </w:tc>
        <w:tc>
          <w:tcPr>
            <w:tcW w:w="215" w:type="dxa"/>
            <w:tcBorders/>
            <w:shd w:fill="CCEEFF" w:val="clear"/>
            <w:vAlign w:val="bottom"/>
          </w:tcPr>
          <w:p>
            <w:pPr>
              <w:pStyle w:val="TableContents"/>
              <w:spacing w:before="0" w:after="283"/>
              <w:rPr/>
            </w:pPr>
            <w:r>
              <w:rPr/>
              <w:t> </w:t>
            </w:r>
          </w:p>
        </w:tc>
      </w:tr>
      <w:tr>
        <w:trPr/>
        <w:tc>
          <w:tcPr>
            <w:tcW w:w="4040" w:type="dxa"/>
            <w:tcBorders/>
            <w:shd w:fill="auto" w:val="clear"/>
            <w:vAlign w:val="bottom"/>
          </w:tcPr>
          <w:p>
            <w:pPr>
              <w:pStyle w:val="TableContents"/>
              <w:spacing w:before="0" w:after="0"/>
              <w:ind w:left="324" w:right="0" w:hanging="144"/>
              <w:rPr>
                <w:color w:val="000000"/>
              </w:rPr>
            </w:pPr>
            <w:r>
              <w:rPr>
                <w:color w:val="000000"/>
              </w:rPr>
              <w:t>Tangible book value per share</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0"/>
              <w:rPr/>
            </w:pPr>
            <w:r>
              <w:rPr/>
              <w:t>$</w:t>
            </w:r>
          </w:p>
        </w:tc>
        <w:tc>
          <w:tcPr>
            <w:tcW w:w="1100" w:type="dxa"/>
            <w:tcBorders/>
            <w:shd w:fill="auto" w:val="clear"/>
            <w:vAlign w:val="bottom"/>
          </w:tcPr>
          <w:p>
            <w:pPr>
              <w:pStyle w:val="TableContents"/>
              <w:spacing w:before="0" w:after="0"/>
              <w:jc w:val="right"/>
              <w:rPr/>
            </w:pPr>
            <w:r>
              <w:rPr/>
              <w:t>20.19</w:t>
            </w:r>
          </w:p>
        </w:tc>
        <w:tc>
          <w:tcPr>
            <w:tcW w:w="2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0"/>
              <w:rPr/>
            </w:pPr>
            <w:r>
              <w:rPr/>
              <w:t>$</w:t>
            </w:r>
          </w:p>
        </w:tc>
        <w:tc>
          <w:tcPr>
            <w:tcW w:w="1255" w:type="dxa"/>
            <w:tcBorders/>
            <w:shd w:fill="auto" w:val="clear"/>
            <w:vAlign w:val="bottom"/>
          </w:tcPr>
          <w:p>
            <w:pPr>
              <w:pStyle w:val="TableContents"/>
              <w:spacing w:before="0" w:after="0"/>
              <w:jc w:val="right"/>
              <w:rPr/>
            </w:pPr>
            <w:r>
              <w:rPr/>
              <w:t>19.57</w:t>
            </w:r>
          </w:p>
        </w:tc>
        <w:tc>
          <w:tcPr>
            <w:tcW w:w="215" w:type="dxa"/>
            <w:tcBorders/>
            <w:shd w:fill="auto" w:val="clear"/>
            <w:vAlign w:val="bottom"/>
          </w:tcPr>
          <w:p>
            <w:pPr>
              <w:pStyle w:val="TableContents"/>
              <w:spacing w:before="0" w:after="283"/>
              <w:rPr/>
            </w:pPr>
            <w:r>
              <w:rPr/>
              <w:t> </w:t>
            </w:r>
          </w:p>
        </w:tc>
      </w:tr>
    </w:tbl>
    <w:p>
      <w:pPr>
        <w:pStyle w:val="TextBody"/>
        <w:spacing w:before="0" w:after="0"/>
        <w:jc w:val="left"/>
        <w:rPr/>
      </w:pPr>
      <w:r>
        <w:rPr/>
      </w:r>
    </w:p>
    <w:p>
      <w:pPr>
        <w:pStyle w:val="TextBody"/>
        <w:spacing w:before="0" w:after="0"/>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Our accounting and reporting policies conform to GAAP and conform to general practices within the industry in which we operate. To prepare financial statements in conformity with GAAP, management makes estimates, assumptions and judgments based on available information. These estimates, assumptions and judgments affect the amounts reported in the consolidated financial statements and accompanying notes. These estimates, assumptions and judgments are based on information available as of the date of the consolidated financial statements and, as this information changes, actual results could differ from the estimates, assumptions and judgments reflected in the consolidated financial statements. In particular, management has identified several accounting policies that, due to the estimates, assumptions and judgments inherent in those policies, are critical in understanding our consolidated financial statements.</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48</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b w:val="false"/>
            <w:i/>
            <w:color w:val="000000"/>
            <w:sz w:val="16"/>
          </w:rPr>
          <w:t>Table of Contents</w:t>
        </w:r>
      </w:hyperlink>
    </w:p>
    <w:p>
      <w:pPr>
        <w:pStyle w:val="TextBody"/>
        <w:spacing w:before="0" w:after="0"/>
        <w:jc w:val="both"/>
        <w:rPr>
          <w:rFonts w:ascii="Times New Roman" w:hAnsi="Times New Roman"/>
          <w:color w:val="000000"/>
          <w:sz w:val="20"/>
        </w:rPr>
      </w:pPr>
      <w:r>
        <w:rPr>
          <w:rFonts w:ascii="Times New Roman" w:hAnsi="Times New Roman"/>
          <w:color w:val="000000"/>
          <w:sz w:val="20"/>
        </w:rPr>
        <w:t>The Jumpstart Our Business Startups Act (the “JOBS Act”) permits us an extended transition period for complying with new or revised accounting standards affecting public companies. We have elected to take advantage of this extended transition period, which means that the consolidated financial statements included in this Form 10-Q, as well as any financial statements that we file in the future, will not be subject to all new or revised accounting standards generally applicable to public companies for the transition period for so long as we remain an emerging growth company or until we affirmatively and irrevocably opt out of the extended transition period under the JOBS Act.</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following is a discussion of the critical accounting policies and significant estimates that we believe require us to make the most complex or subjective decisions or assessments. Additional information about these policies can be found in Note 1 of the Company’s consolidated financial statements as of March 31, 2023.</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i/>
          <w:color w:val="000000"/>
          <w:sz w:val="20"/>
        </w:rPr>
        <w:t>Securities.</w:t>
      </w:r>
      <w:r>
        <w:rPr>
          <w:rFonts w:ascii="Times New Roman" w:hAnsi="Times New Roman"/>
          <w:color w:val="000000"/>
          <w:sz w:val="20"/>
        </w:rPr>
        <w:t xml:space="preserve"> Investment securities may be classified into trading, held-to-maturity, or available-for-sale portfolios. Securities that are held principally for resale in the near term are classified as trading. Securities that management has the ability and positive intent to hold to maturity are classified as held-to-maturity and recorded at amortized cost. Securities not classified as trading or held-to-maturity are available-for-sale and are reported at fair value with unrealized gains and losses excluded from earnings, but included in the determination of other comprehensive income (loss). Management uses these assets as part of its asset/liability management strategy; they may be sold in response to changes in liquidity needs, interest rates, resultant prepayment risk changes, and other factors. Management determines the appropriate classification of securities at the time of purchase. Purchase premiums and discounts are recognized in interest income using the interest method over the terms of the securities. The cost of securities sold is based on the specific identification method.</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i/>
          <w:color w:val="000000"/>
          <w:sz w:val="20"/>
        </w:rPr>
        <w:t>Loans.</w:t>
      </w:r>
      <w:r>
        <w:rPr>
          <w:rFonts w:ascii="Times New Roman" w:hAnsi="Times New Roman"/>
          <w:color w:val="000000"/>
          <w:sz w:val="20"/>
        </w:rPr>
        <w:t xml:space="preserve"> Loans that management has the intent and ability to hold for the foreseeable future or until maturity or payoff are reported at their outstanding principal balances net of any unearned income, charge-offs, unamortized deferred fees and costs on originated loans, and premiums or discounts on purchased loans. Interest income is accrued on the unpaid principal balance. Loan origination fees, net of certain direct origination costs, are deferred and recognized as an adjustment of the related loan yield using the straight-line method, which is not materially different from the effective interest method required by GAAP.</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Loans are placed on non-accrual status when, in management’s opinion, collection of interest is unlikely, which typically occurs when principal or interest payments are more than ninety days past due. When interest accrual is discontinued, all unpaid accrued interest is reversed against interest income. The interest on these loans is accounted for on the cash-basis or cost-recovery method, until qualifying for return to accrual. Loans are returned to accrual status when all the principal and interest amounts contractually due are brought current and future payments are reasonably assured.</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i/>
          <w:color w:val="000000"/>
          <w:sz w:val="20"/>
        </w:rPr>
        <w:t>Allowance for Credit Losses.</w:t>
      </w:r>
      <w:r>
        <w:rPr>
          <w:rFonts w:ascii="Times New Roman" w:hAnsi="Times New Roman"/>
          <w:color w:val="000000"/>
          <w:sz w:val="20"/>
        </w:rPr>
        <w:t xml:space="preserve"> The ACL for loans is established for future expected credit losses through a provision for credit losses charged to earnings. Expected losses are calculated using comparable and quantifiable information both internal and external about past events, including historical experience, current conditions, and reasonable and supportable forecasts that affect the collectability of the reported amount. Expected credit losses are estimated over the contractual term of the loans and adjusted for expected prepayments when appropriate. Loan losses are charged against the allowance when management believes the uncollectibility of a loan balance is confirmed. Subsequent recoveries, if any, are credited to the allowance. The Company’s ACL for loans consists of specific valuation allowances established for probable losses on specifically analyzed loans and collective valuation allowances calculated using comparable and quantifiable information both internal and external about past events, including historical experience, current conditions, and reasonable and supportable forecasts that affect the collectability of the reported amount.</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ACL for loans is evaluated on a quarterly basis by management and is based upon management’s review of the collectability of the loans in light of historical experience, the nature and volume of the loan portfolio, adverse situations that may affect the borrower’s ability to repay, estimated value of any underlying collateral, and prevailing economic conditions. This evaluation is inherently subjective, as it requires estimates that are susceptible to significant revision as more information becomes available. The determination of the adequacy of the ACL for loans is based on estimates that are particularly susceptible to significant changes in the economic environment and market conditions. In connection with the determination of the estimated losses on loans, management obtains independent appraisals for significant collateral. The Bank’s loans are generally secured by specific items of collateral including real property, crops, livestock, consumer assets, and other business assets.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While management uses available information to recognize losses on loans, further reductions in the carrying amounts of loans may be necessary based on various factors. In addition, regulatory agencies, as an integral part of their examination process, periodically review the estimated losses on loans. Such agencies may require the Bank to recognize additional losses based on their judgments about information available to them at the time of their examination. Because of these factors, it is reasonably possible that the estimated losses on loans may change materially in the near term. However, the amount of the change that is reasonably possible cannot be estimated.</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49</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b w:val="false"/>
            <w:i/>
            <w:color w:val="000000"/>
            <w:sz w:val="16"/>
          </w:rPr>
          <w:t>Table of Contents</w:t>
        </w:r>
      </w:hyperlink>
    </w:p>
    <w:p>
      <w:pPr>
        <w:pStyle w:val="TextBody"/>
        <w:spacing w:before="0" w:after="0"/>
        <w:jc w:val="both"/>
        <w:rPr>
          <w:rFonts w:ascii="Times New Roman" w:hAnsi="Times New Roman"/>
          <w:color w:val="000000"/>
          <w:sz w:val="20"/>
        </w:rPr>
      </w:pPr>
      <w:r>
        <w:rPr>
          <w:rFonts w:ascii="Times New Roman" w:hAnsi="Times New Roman"/>
          <w:color w:val="000000"/>
          <w:sz w:val="20"/>
        </w:rPr>
        <w:t>Loans that exhibit characteristics different from their pool characteristics are evaluated on an individual basis. Loans evaluated individually are not included in the collective ACL for loans evaluation. Certain of these loans are considered to be collateral dependent with the borrower experiencing financial difficulty. For these loans, the fair value of collateral practical expedient is elected whereby the allowance is calculated as the amount by which the amortized cost exceeds the fair value of collateral, less costs to sell. All non-accrual loans $250 thousand or greater are analyzed for a specific ACL.</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Prior to the adoption of the CECL model, the ACL for loans was established through a provision for loan losses charged to expense, which represented management’s best estimate of inherent losses that had been incurred within the existing portfolio of loans. In addition, a loan was considered impaired when, based on current information and events, it was probable that the Company would be unable to collect the scheduled payments of principal or interest when due according to the contractual terms of the loan agreement. All loans rated substandard or worse and greater than $250 thousand were specifically reviewed to determine if they were impaired. Loans that were determined to be impaired were then evaluated to determine estimated impairment, if any. Impairment was measured on a loan-by-loan basis by either the present value of expected future cash flows discounted at the loan’s effective interest rate, the loan’s obtainable market price, or the fair value of the collateral if the loan was collateral dependent. Loans that were not individually determined to be impaired or were not subject to the specific review of impaired status were subject to the general valuation allowance portion of the ACL.</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Company estimates expected credit losses on off balance-sheet credit exposures over the contractual period in which the Company is exposed to credit risk via a contractual obligation to extend credit, unless that obligation is unconditionally cancellable by the Company. The ACL for off-balance sheet credit exposures is adjusted through provision for credit losses. The estimate includes consideration of the likelihood that funding will occur and an estimate of expected credit losses on commitments expected to be funded over its estimated life. Utilization rates are determined based on a two-year rolling average of historical usage. Expected loss rates for all pass rated loans are used to determine the ACL for off-balance sheet credit exposures.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For securities in an unrealized loss position, the Company first assesses whether it intends to sell, or it is more likely than not that it will be required to sell the security before recovery of its amortized cost basis. If either of the criteria regarding intent or requirement to sell is met, the security’s amortized costs basis is written down to fair value through income. For AFS securities that do not meet the aforementioned criteria, the Company evaluates whether the decline in fair value has resulted from credit losses or other factors. In making this assessment, management considers the extent to which fair value is less than amortized cost, any changes to the rating of the security by rating agency, and adverse conditions specifically related to the security, among other factors. If this assessment indicates that a credit loss exists, the present value of cash flows expected to be collected from the security are compared to the amortized cost basis of the security. If the present value of cash flows expected to be collected is less than the amortized cost basis, a credit loss exists and an ACL is recorded for the credit loss, limited by the amount that the fair value is less than the amortized cost basis. Any impairment that has not been recorded through an ACL is recognized in other comprehensive income (loss). Changes in the ACL are recorded as provision for credit losses. Losses are charged against the allowance when management believes the uncollectibility of an AFS security is confirmed or when either of the criteria regarding intent or requirement to sell is met. Accrued interest is excluded from the estimate of credit losses on securities.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i/>
          <w:color w:val="000000"/>
          <w:sz w:val="20"/>
        </w:rPr>
        <w:t>Loans Held for Sale.</w:t>
      </w:r>
      <w:r>
        <w:rPr>
          <w:rFonts w:ascii="Times New Roman" w:hAnsi="Times New Roman"/>
          <w:color w:val="000000"/>
          <w:sz w:val="20"/>
        </w:rPr>
        <w:t xml:space="preserve"> Loans held for sale are comprised of residential mortgage loans. Loans that are originated for best efforts delivery are carried at the lower of aggregate cost or fair value as determined by aggregate outstanding commitments from investors or current investor yield requirements. All other loans held for sale are carried at fair value. Loans sold are typically subject to certain indemnification provisions with the investor; management does not believe these provisions will have any significant consequences.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i/>
          <w:color w:val="000000"/>
          <w:sz w:val="20"/>
        </w:rPr>
        <w:t>Mortgage Servicing Rights Asset.</w:t>
      </w:r>
      <w:r>
        <w:rPr>
          <w:rFonts w:ascii="Times New Roman" w:hAnsi="Times New Roman"/>
          <w:color w:val="000000"/>
          <w:sz w:val="20"/>
        </w:rPr>
        <w:t xml:space="preserve"> When mortgage loans are sold with servicing retained, servicing rights are initially recorded at fair value with the statement of comprehensive income (loss) effect recorded in net gain on sale of loans. Fair value is based on market prices for comparable mortgage servicing contracts, when available, or alternatively, is based on a valuation model that calculates present value of estimated future servicing income.</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Under the fair value measurement method, the Company measures servicing rights at fair value at each reporting date and reports change in fair value of servicing assets in earnings in the period in which the changes occur, and are included with other noninterest income in the consolidated financial statements. The fair values of servicing rights are subject to significant fluctuations as a result of changes in estimated and actual prepayment speeds and default rates and losses.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i/>
          <w:color w:val="000000"/>
          <w:sz w:val="20"/>
        </w:rPr>
        <w:t>Goodwill and Other Intangible Assets.</w:t>
      </w:r>
      <w:r>
        <w:rPr>
          <w:rFonts w:ascii="Times New Roman" w:hAnsi="Times New Roman"/>
          <w:color w:val="000000"/>
          <w:sz w:val="20"/>
        </w:rPr>
        <w:t xml:space="preserve"> Goodwill resulting from business combinations is generally determined as the excess of the fair value of the consideration transferred over the fair value of the net assets acquired and liabilities assumed as of the acquisition date. Goodwill is not amortized, but is tested for impairment at least annually or more frequently if events and circumstances exist that indicate that an impairment test should be performed. Intangible assets with definite lives are amortized over their estimated useful lives.</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50</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b w:val="false"/>
            <w:i/>
            <w:color w:val="000000"/>
            <w:sz w:val="16"/>
          </w:rPr>
          <w:t>Table of Contents</w:t>
        </w:r>
      </w:hyperlink>
    </w:p>
    <w:p>
      <w:pPr>
        <w:pStyle w:val="TextBody"/>
        <w:spacing w:before="0" w:after="0"/>
        <w:jc w:val="left"/>
        <w:rPr>
          <w:rFonts w:ascii="Times New Roman" w:hAnsi="Times New Roman"/>
          <w:b/>
          <w:color w:val="000000"/>
          <w:sz w:val="20"/>
        </w:rPr>
      </w:pPr>
      <w:r>
        <w:rPr>
          <w:rFonts w:ascii="Times New Roman" w:hAnsi="Times New Roman"/>
          <w:b/>
          <w:color w:val="000000"/>
          <w:sz w:val="20"/>
        </w:rPr>
        <w:t>Recently Issued Accounting Pronouncements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See Note 1, Summary of Significant Accounting Policies, in the notes to the consolidated financial statements included elsewhere in this Form 10-Q regarding the impact of new accounting pronouncements which we have adopted.</w:t>
      </w:r>
    </w:p>
    <w:p>
      <w:pPr>
        <w:pStyle w:val="TextBody"/>
        <w:spacing w:before="0" w:after="0"/>
        <w:jc w:val="left"/>
        <w:rPr/>
      </w:pPr>
      <w:r>
        <w:rPr/>
      </w:r>
    </w:p>
    <w:p>
      <w:pPr>
        <w:pStyle w:val="Normal"/>
        <w:spacing w:before="0" w:after="0"/>
        <w:jc w:val="left"/>
        <w:rPr>
          <w:sz w:val="4"/>
          <w:szCs w:val="4"/>
        </w:rPr>
      </w:pPr>
      <w:r>
        <w:rPr>
          <w:sz w:val="4"/>
          <w:szCs w:val="4"/>
        </w:rPr>
      </w:r>
      <w:bookmarkStart w:id="11" w:name="QuantitativeandQualitativ"/>
      <w:bookmarkStart w:id="12" w:name="QuantitativeandQualitativ"/>
      <w:bookmarkEnd w:id="12"/>
    </w:p>
    <w:tbl>
      <w:tblPr>
        <w:tblW w:w="6760" w:type="dxa"/>
        <w:jc w:val="left"/>
        <w:tblInd w:w="0" w:type="dxa"/>
        <w:tblCellMar>
          <w:top w:w="0" w:type="dxa"/>
          <w:left w:w="0" w:type="dxa"/>
          <w:bottom w:w="0" w:type="dxa"/>
          <w:right w:w="0" w:type="dxa"/>
        </w:tblCellMar>
      </w:tblPr>
      <w:tblGrid>
        <w:gridCol w:w="740"/>
        <w:gridCol w:w="6020"/>
      </w:tblGrid>
      <w:tr>
        <w:trPr/>
        <w:tc>
          <w:tcPr>
            <w:tcW w:w="740" w:type="dxa"/>
            <w:tcBorders/>
            <w:shd w:fill="auto" w:val="clear"/>
            <w:vAlign w:val="center"/>
          </w:tcPr>
          <w:p>
            <w:pPr>
              <w:pStyle w:val="TableContents"/>
              <w:spacing w:before="0" w:after="283"/>
              <w:rPr>
                <w:b/>
                <w:color w:val="000000"/>
              </w:rPr>
            </w:pPr>
            <w:r>
              <w:rPr>
                <w:b/>
                <w:color w:val="000000"/>
              </w:rPr>
              <w:t>Item 3.</w:t>
            </w:r>
          </w:p>
        </w:tc>
        <w:tc>
          <w:tcPr>
            <w:tcW w:w="6020" w:type="dxa"/>
            <w:tcBorders/>
            <w:shd w:fill="auto" w:val="clear"/>
            <w:vAlign w:val="center"/>
          </w:tcPr>
          <w:p>
            <w:pPr>
              <w:pStyle w:val="TableContents"/>
              <w:spacing w:before="0" w:after="0"/>
              <w:rPr>
                <w:b/>
                <w:color w:val="000000"/>
              </w:rPr>
            </w:pPr>
            <w:r>
              <w:rPr>
                <w:b/>
                <w:color w:val="000000"/>
              </w:rPr>
              <w:t>Quantitative and Qualitative Disclosure about Market Risk</w:t>
            </w:r>
          </w:p>
        </w:tc>
      </w:tr>
    </w:tbl>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Company manages market risk, which, as a financial institution is primarily interest rate volatility, through the ALCO Committee of the Bank, in accordance with policies approved by its board of directors. The Company uses an interest rate risk simulation model and shock analysis to test the interest rate sensitivity of net interest income and fair value of equity, and the impact of changes in interest rates on other financial metrics. See “Management’s Discussion and Analysis of Financial Condition and Results of Operations—Interest Rate Sensitivity and Market Risk” herein for a discussion of how we manage market risk.</w:t>
      </w:r>
    </w:p>
    <w:p>
      <w:pPr>
        <w:pStyle w:val="TextBody"/>
        <w:spacing w:before="0" w:after="0"/>
        <w:jc w:val="left"/>
        <w:rPr/>
      </w:pPr>
      <w:r>
        <w:rPr/>
      </w:r>
    </w:p>
    <w:p>
      <w:pPr>
        <w:pStyle w:val="Normal"/>
        <w:spacing w:before="0" w:after="0"/>
        <w:jc w:val="left"/>
        <w:rPr>
          <w:sz w:val="4"/>
          <w:szCs w:val="4"/>
        </w:rPr>
      </w:pPr>
      <w:r>
        <w:rPr>
          <w:sz w:val="4"/>
          <w:szCs w:val="4"/>
        </w:rPr>
      </w:r>
      <w:bookmarkStart w:id="13" w:name="ControlsandProcedures"/>
      <w:bookmarkStart w:id="14" w:name="ControlsandProcedures"/>
      <w:bookmarkEnd w:id="14"/>
    </w:p>
    <w:tbl>
      <w:tblPr>
        <w:tblW w:w="3325" w:type="dxa"/>
        <w:jc w:val="left"/>
        <w:tblInd w:w="0" w:type="dxa"/>
        <w:tblCellMar>
          <w:top w:w="0" w:type="dxa"/>
          <w:left w:w="0" w:type="dxa"/>
          <w:bottom w:w="0" w:type="dxa"/>
          <w:right w:w="0" w:type="dxa"/>
        </w:tblCellMar>
      </w:tblPr>
      <w:tblGrid>
        <w:gridCol w:w="740"/>
        <w:gridCol w:w="2585"/>
      </w:tblGrid>
      <w:tr>
        <w:trPr/>
        <w:tc>
          <w:tcPr>
            <w:tcW w:w="740" w:type="dxa"/>
            <w:tcBorders/>
            <w:shd w:fill="auto" w:val="clear"/>
            <w:vAlign w:val="center"/>
          </w:tcPr>
          <w:p>
            <w:pPr>
              <w:pStyle w:val="TableContents"/>
              <w:spacing w:before="0" w:after="283"/>
              <w:rPr>
                <w:b/>
                <w:color w:val="000000"/>
              </w:rPr>
            </w:pPr>
            <w:r>
              <w:rPr>
                <w:b/>
                <w:color w:val="000000"/>
              </w:rPr>
              <w:t>Item 4.</w:t>
            </w:r>
          </w:p>
        </w:tc>
        <w:tc>
          <w:tcPr>
            <w:tcW w:w="2585" w:type="dxa"/>
            <w:tcBorders/>
            <w:shd w:fill="auto" w:val="clear"/>
            <w:vAlign w:val="center"/>
          </w:tcPr>
          <w:p>
            <w:pPr>
              <w:pStyle w:val="TableContents"/>
              <w:spacing w:before="0" w:after="0"/>
              <w:rPr>
                <w:b/>
                <w:color w:val="000000"/>
              </w:rPr>
            </w:pPr>
            <w:r>
              <w:rPr>
                <w:b/>
                <w:color w:val="000000"/>
              </w:rPr>
              <w:t>Controls and Procedures</w:t>
            </w:r>
          </w:p>
        </w:tc>
      </w:tr>
    </w:tbl>
    <w:p>
      <w:pPr>
        <w:pStyle w:val="TextBody"/>
        <w:spacing w:before="0" w:after="0"/>
        <w:jc w:val="left"/>
        <w:rPr/>
      </w:pPr>
      <w:r>
        <w:rPr/>
      </w:r>
    </w:p>
    <w:p>
      <w:pPr>
        <w:pStyle w:val="TextBody"/>
        <w:spacing w:before="0" w:after="0"/>
        <w:jc w:val="left"/>
        <w:rPr>
          <w:rFonts w:ascii="Times New Roman" w:hAnsi="Times New Roman"/>
          <w:i/>
          <w:color w:val="000000"/>
          <w:sz w:val="20"/>
        </w:rPr>
      </w:pPr>
      <w:r>
        <w:rPr>
          <w:rFonts w:ascii="Times New Roman" w:hAnsi="Times New Roman"/>
          <w:i/>
          <w:color w:val="000000"/>
          <w:sz w:val="20"/>
        </w:rPr>
        <w:t>Evaluation of Disclosure Controls and Procedures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As of the end of the period covered by this Form 10-Q, the Company carried out an evaluation, under the supervision and with the participation of its management, including its Chief Executive Officer and Chief Financial Officer, of the effectiveness of the design and operation of its disclosure controls and procedures. In designing and evaluating the disclosure controls and procedures, management recognizes that any controls and procedures, no matter how well designed and operated, can provide only reasonable assurance of achieving the desired control objectives, and management was required to apply judgment in evaluating its controls and procedures. Based on this evaluation, the Company’s Chief Executive Officer and Chief Financial Officer concluded that the Company’s disclosure controls and procedures (as defined in Rules 13a-15(e) and 15d-15(e) under the Securities Exchange Act of 1934, as amended, or the Exchange Act) were effective as of the end of the period covered by this Form 10-Q.</w:t>
      </w:r>
    </w:p>
    <w:p>
      <w:pPr>
        <w:pStyle w:val="TextBody"/>
        <w:spacing w:before="0" w:after="0"/>
        <w:jc w:val="left"/>
        <w:rPr/>
      </w:pPr>
      <w:r>
        <w:rPr/>
      </w:r>
    </w:p>
    <w:p>
      <w:pPr>
        <w:pStyle w:val="TextBody"/>
        <w:spacing w:before="0" w:after="0"/>
        <w:jc w:val="left"/>
        <w:rPr>
          <w:rFonts w:ascii="Times New Roman" w:hAnsi="Times New Roman"/>
          <w:i/>
          <w:color w:val="000000"/>
          <w:sz w:val="20"/>
        </w:rPr>
      </w:pPr>
      <w:r>
        <w:rPr>
          <w:rFonts w:ascii="Times New Roman" w:hAnsi="Times New Roman"/>
          <w:i/>
          <w:color w:val="000000"/>
          <w:sz w:val="20"/>
        </w:rPr>
        <w:t>Internal Control over Financial Reporting</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There were no changes in the Company’s internal control over financial reporting (as such term is defined in Rules 13a-15(f) and 15d-15(f) under the Exchange Act) that occurred during the three months ended March 31, 2023 that have materially affected, or are reasonably likely to materially affect, the Company’s internal control over financial reporting, except as noted below. Beginning January 1, 2023, the Company adopted ASU No. 2016-13, Financial Instruments – Credit Losses (Topic 326) Measurement of Credit Losses on Financial Instruments. The Company implemented changes to the policies, processes, and controls over the estimation of the allowance for credit losses to support the adoption of ASU 2016-13. Many controls under this new standard mirror controls under the prior GAAP methodology. New controls were established over the review of the reasonable and supportable assumptions used for the economic forecast and qualitative adjustment risks. In addition, controls were modified to require final approval of the allowance for credit losses estimate to a chartered committee within the Company. Finally, there were new controls established over the Company’s loan scorecard process.</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51</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b w:val="false"/>
            <w:i/>
            <w:color w:val="000000"/>
            <w:sz w:val="16"/>
          </w:rPr>
          <w:t>Table of Contents</w:t>
        </w:r>
      </w:hyperlink>
    </w:p>
    <w:p>
      <w:pPr>
        <w:pStyle w:val="TextBody"/>
        <w:spacing w:before="0" w:after="0"/>
        <w:ind w:left="900" w:right="0" w:hanging="900"/>
        <w:jc w:val="left"/>
        <w:rPr>
          <w:rFonts w:ascii="Times New Roman" w:hAnsi="Times New Roman"/>
          <w:b/>
          <w:color w:val="000000"/>
          <w:sz w:val="20"/>
        </w:rPr>
      </w:pPr>
      <w:bookmarkStart w:id="15" w:name="PARTII.OTHERINFORMATION"/>
      <w:bookmarkEnd w:id="15"/>
      <w:r>
        <w:rPr>
          <w:rFonts w:ascii="Times New Roman" w:hAnsi="Times New Roman"/>
          <w:b/>
          <w:color w:val="000000"/>
          <w:sz w:val="20"/>
        </w:rPr>
        <w:t>PART II. OTHER INFORMATION</w:t>
      </w:r>
    </w:p>
    <w:p>
      <w:pPr>
        <w:pStyle w:val="TextBody"/>
        <w:spacing w:before="0" w:after="0"/>
        <w:jc w:val="left"/>
        <w:rPr/>
      </w:pPr>
      <w:r>
        <w:rPr/>
      </w:r>
    </w:p>
    <w:p>
      <w:pPr>
        <w:pStyle w:val="Normal"/>
        <w:spacing w:before="0" w:after="0"/>
        <w:jc w:val="left"/>
        <w:rPr>
          <w:sz w:val="4"/>
          <w:szCs w:val="4"/>
        </w:rPr>
      </w:pPr>
      <w:r>
        <w:rPr>
          <w:sz w:val="4"/>
          <w:szCs w:val="4"/>
        </w:rPr>
      </w:r>
      <w:bookmarkStart w:id="16" w:name="LegalProceedings"/>
      <w:bookmarkStart w:id="17" w:name="LegalProceedings"/>
      <w:bookmarkEnd w:id="17"/>
    </w:p>
    <w:tbl>
      <w:tblPr>
        <w:tblW w:w="2635" w:type="dxa"/>
        <w:jc w:val="left"/>
        <w:tblInd w:w="0" w:type="dxa"/>
        <w:tblCellMar>
          <w:top w:w="0" w:type="dxa"/>
          <w:left w:w="0" w:type="dxa"/>
          <w:bottom w:w="0" w:type="dxa"/>
          <w:right w:w="0" w:type="dxa"/>
        </w:tblCellMar>
      </w:tblPr>
      <w:tblGrid>
        <w:gridCol w:w="740"/>
        <w:gridCol w:w="1895"/>
      </w:tblGrid>
      <w:tr>
        <w:trPr/>
        <w:tc>
          <w:tcPr>
            <w:tcW w:w="740" w:type="dxa"/>
            <w:tcBorders/>
            <w:shd w:fill="auto" w:val="clear"/>
            <w:vAlign w:val="center"/>
          </w:tcPr>
          <w:p>
            <w:pPr>
              <w:pStyle w:val="TableContents"/>
              <w:spacing w:before="0" w:after="283"/>
              <w:rPr>
                <w:b/>
                <w:color w:val="000000"/>
              </w:rPr>
            </w:pPr>
            <w:r>
              <w:rPr>
                <w:b/>
                <w:color w:val="000000"/>
              </w:rPr>
              <w:t>Item 1.</w:t>
            </w:r>
          </w:p>
        </w:tc>
        <w:tc>
          <w:tcPr>
            <w:tcW w:w="1895" w:type="dxa"/>
            <w:tcBorders/>
            <w:shd w:fill="auto" w:val="clear"/>
            <w:vAlign w:val="center"/>
          </w:tcPr>
          <w:p>
            <w:pPr>
              <w:pStyle w:val="TableContents"/>
              <w:spacing w:before="0" w:after="0"/>
              <w:rPr>
                <w:b/>
                <w:color w:val="000000"/>
              </w:rPr>
            </w:pPr>
            <w:r>
              <w:rPr>
                <w:b/>
                <w:color w:val="000000"/>
              </w:rPr>
              <w:t>Legal Proceedings</w:t>
            </w:r>
          </w:p>
        </w:tc>
      </w:tr>
    </w:tbl>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The Company and its subsidiaries are subject to various legal actions, as described in our Annual Report on Form 10-K for the year ended December 31, 2022 (the “2022 Annual Report on Form 10-K”) filed with the SEC on March 13, 2023. Except as described above or in our 2022 Annual Report on Form 10-K, we are not presently involved in any other litigation, nor to our knowledge is any litigation threatened against us, that in management’s opinion would result in any material adverse effect on our financial position or results of operations or that is not expected to be covered by insurance.</w:t>
      </w:r>
    </w:p>
    <w:p>
      <w:pPr>
        <w:pStyle w:val="TextBody"/>
        <w:spacing w:before="0" w:after="0"/>
        <w:jc w:val="left"/>
        <w:rPr/>
      </w:pPr>
      <w:r>
        <w:rPr/>
      </w:r>
    </w:p>
    <w:p>
      <w:pPr>
        <w:pStyle w:val="Normal"/>
        <w:spacing w:before="0" w:after="0"/>
        <w:jc w:val="left"/>
        <w:rPr>
          <w:sz w:val="4"/>
          <w:szCs w:val="4"/>
        </w:rPr>
      </w:pPr>
      <w:r>
        <w:rPr>
          <w:sz w:val="4"/>
          <w:szCs w:val="4"/>
        </w:rPr>
      </w:r>
      <w:bookmarkStart w:id="18" w:name="RiskFactors"/>
      <w:bookmarkStart w:id="19" w:name="RiskFactors"/>
      <w:bookmarkEnd w:id="19"/>
    </w:p>
    <w:tbl>
      <w:tblPr>
        <w:tblW w:w="2245" w:type="dxa"/>
        <w:jc w:val="left"/>
        <w:tblInd w:w="0" w:type="dxa"/>
        <w:tblCellMar>
          <w:top w:w="0" w:type="dxa"/>
          <w:left w:w="0" w:type="dxa"/>
          <w:bottom w:w="0" w:type="dxa"/>
          <w:right w:w="0" w:type="dxa"/>
        </w:tblCellMar>
      </w:tblPr>
      <w:tblGrid>
        <w:gridCol w:w="920"/>
        <w:gridCol w:w="1325"/>
      </w:tblGrid>
      <w:tr>
        <w:trPr/>
        <w:tc>
          <w:tcPr>
            <w:tcW w:w="920" w:type="dxa"/>
            <w:tcBorders/>
            <w:shd w:fill="auto" w:val="clear"/>
            <w:vAlign w:val="center"/>
          </w:tcPr>
          <w:p>
            <w:pPr>
              <w:pStyle w:val="TableContents"/>
              <w:spacing w:before="0" w:after="283"/>
              <w:rPr>
                <w:b/>
                <w:color w:val="000000"/>
              </w:rPr>
            </w:pPr>
            <w:r>
              <w:rPr>
                <w:b/>
                <w:color w:val="000000"/>
              </w:rPr>
              <w:t>Item 1A.</w:t>
            </w:r>
          </w:p>
        </w:tc>
        <w:tc>
          <w:tcPr>
            <w:tcW w:w="1325" w:type="dxa"/>
            <w:tcBorders/>
            <w:shd w:fill="auto" w:val="clear"/>
            <w:vAlign w:val="center"/>
          </w:tcPr>
          <w:p>
            <w:pPr>
              <w:pStyle w:val="TableContents"/>
              <w:spacing w:before="0" w:after="0"/>
              <w:rPr>
                <w:b/>
                <w:color w:val="000000"/>
              </w:rPr>
            </w:pPr>
            <w:r>
              <w:rPr>
                <w:b/>
                <w:color w:val="000000"/>
              </w:rPr>
              <w:t>Risk Factors</w:t>
            </w:r>
          </w:p>
        </w:tc>
      </w:tr>
    </w:tbl>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In evaluating an investment in any of our securities, investors should consider carefully, among other things, information under the heading “Cautionary Notice Regarding Forward-Looking Statements” in Part I, Item 2, “Management’s Discussion and Analysis of Financial Condition and Results of Operations,” of this Form 10-Q and the risk factors previously disclosed under the heading “Risk Factors” in Part I, Item 1A of our 2022 Annual Report on Form 10-K. Except as provided in the risk factor below, management believes there have been no material changes in the risk factors disclosed by the Company in the 2022 Annual Report on Form 10-K.</w:t>
      </w:r>
    </w:p>
    <w:p>
      <w:pPr>
        <w:pStyle w:val="TextBody"/>
        <w:spacing w:before="0" w:after="0"/>
        <w:jc w:val="left"/>
        <w:rPr>
          <w:color w:val="000000"/>
        </w:rPr>
      </w:pPr>
      <w:r>
        <w:rPr>
          <w:color w:val="000000"/>
        </w:rPr>
        <w:t> </w:t>
      </w:r>
    </w:p>
    <w:p>
      <w:pPr>
        <w:pStyle w:val="TextBody"/>
        <w:spacing w:before="0" w:after="0"/>
        <w:jc w:val="both"/>
        <w:rPr>
          <w:rFonts w:ascii="Times New Roman" w:hAnsi="Times New Roman"/>
          <w:b/>
          <w:i/>
          <w:color w:val="000000"/>
          <w:sz w:val="20"/>
        </w:rPr>
      </w:pPr>
      <w:r>
        <w:rPr>
          <w:rFonts w:ascii="Times New Roman" w:hAnsi="Times New Roman"/>
          <w:b/>
          <w:i/>
          <w:color w:val="000000"/>
          <w:sz w:val="20"/>
        </w:rPr>
        <w:t>Recent bank failures and the related negative impact on customer confidence in the safety and soundness of the banking industry may adversely affect our business, earnings and financial condition.</w:t>
      </w:r>
    </w:p>
    <w:p>
      <w:pPr>
        <w:pStyle w:val="TextBody"/>
        <w:spacing w:before="0" w:after="0"/>
        <w:jc w:val="left"/>
        <w:rPr>
          <w:color w:val="000000"/>
        </w:rPr>
      </w:pPr>
      <w:r>
        <w:rPr>
          <w:color w:val="000000"/>
        </w:rPr>
        <w:t> </w:t>
      </w:r>
    </w:p>
    <w:p>
      <w:pPr>
        <w:pStyle w:val="TextBody"/>
        <w:spacing w:before="0" w:after="0"/>
        <w:jc w:val="both"/>
        <w:rPr>
          <w:rFonts w:ascii="Times New Roman" w:hAnsi="Times New Roman"/>
          <w:color w:val="000000"/>
          <w:sz w:val="20"/>
        </w:rPr>
      </w:pPr>
      <w:r>
        <w:rPr>
          <w:rFonts w:ascii="Times New Roman" w:hAnsi="Times New Roman"/>
          <w:color w:val="000000"/>
          <w:sz w:val="20"/>
        </w:rPr>
        <w:t>The Company is exposed to a number of risks when other financial institutions experience financial difficulties, which could result in an adverse impact on the regional banking industry, generally, and the business environment in which the Company operates. The recent bank failures of Silicon Valley Bank, Signature Bank, and First Republic Bank during the first and second quarters of 2023 have resulted in significant market volatility among publicly traded bank holding companies and has caused uncertainty in the investor community and bank customers, generally. While the Company does not believe that the circumstances of the recent bank failures are indicators of broader issues within the banking industry, the recent bank failures may negatively impact customer confidence in the safety and soundness of regional banks and, as a result, customers may choose to maintain deposits with larger financial institutions or invest in higher yielding short-term fixed income securities, all of which could materially adversely impact our liquidity, cost of funding, loan funding capacity, net interest margin, capital and results of operations. Management continues to monitor the ongoing events concerning the recent bank failures as well as any future potential bank failures and volatility within the financial services industry generally, together with any responsive measures taken by the banking regulators to mitigate or manage potential turmoil in the financial services industry.</w:t>
      </w:r>
    </w:p>
    <w:p>
      <w:pPr>
        <w:pStyle w:val="TextBody"/>
        <w:spacing w:before="0" w:after="0"/>
        <w:jc w:val="left"/>
        <w:rPr>
          <w:color w:val="000000"/>
        </w:rPr>
      </w:pPr>
      <w:r>
        <w:rPr>
          <w:color w:val="000000"/>
        </w:rPr>
        <w:t> </w:t>
      </w:r>
    </w:p>
    <w:p>
      <w:pPr>
        <w:pStyle w:val="Normal"/>
        <w:spacing w:before="0" w:after="0"/>
        <w:jc w:val="left"/>
        <w:rPr>
          <w:sz w:val="4"/>
          <w:szCs w:val="4"/>
        </w:rPr>
      </w:pPr>
      <w:r>
        <w:rPr>
          <w:sz w:val="4"/>
          <w:szCs w:val="4"/>
        </w:rPr>
      </w:r>
      <w:bookmarkStart w:id="20" w:name="UnregisteredSalesofEquity"/>
      <w:bookmarkStart w:id="21" w:name="UnregisteredSalesofEquity"/>
      <w:bookmarkEnd w:id="21"/>
    </w:p>
    <w:tbl>
      <w:tblPr>
        <w:tblW w:w="6820" w:type="dxa"/>
        <w:jc w:val="left"/>
        <w:tblInd w:w="0" w:type="dxa"/>
        <w:tblCellMar>
          <w:top w:w="0" w:type="dxa"/>
          <w:left w:w="0" w:type="dxa"/>
          <w:bottom w:w="0" w:type="dxa"/>
          <w:right w:w="0" w:type="dxa"/>
        </w:tblCellMar>
      </w:tblPr>
      <w:tblGrid>
        <w:gridCol w:w="740"/>
        <w:gridCol w:w="6080"/>
      </w:tblGrid>
      <w:tr>
        <w:trPr/>
        <w:tc>
          <w:tcPr>
            <w:tcW w:w="740" w:type="dxa"/>
            <w:tcBorders/>
            <w:shd w:fill="auto" w:val="clear"/>
            <w:vAlign w:val="center"/>
          </w:tcPr>
          <w:p>
            <w:pPr>
              <w:pStyle w:val="TableContents"/>
              <w:spacing w:before="0" w:after="283"/>
              <w:rPr>
                <w:b/>
                <w:color w:val="000000"/>
              </w:rPr>
            </w:pPr>
            <w:r>
              <w:rPr>
                <w:b/>
                <w:color w:val="000000"/>
              </w:rPr>
              <w:t>Item 2.</w:t>
            </w:r>
          </w:p>
        </w:tc>
        <w:tc>
          <w:tcPr>
            <w:tcW w:w="6080" w:type="dxa"/>
            <w:tcBorders/>
            <w:shd w:fill="auto" w:val="clear"/>
            <w:vAlign w:val="center"/>
          </w:tcPr>
          <w:p>
            <w:pPr>
              <w:pStyle w:val="TableContents"/>
              <w:spacing w:before="0" w:after="0"/>
              <w:rPr>
                <w:b/>
                <w:color w:val="000000"/>
              </w:rPr>
            </w:pPr>
            <w:r>
              <w:rPr>
                <w:b/>
                <w:color w:val="000000"/>
              </w:rPr>
              <w:t>Unregistered Sales of Equity Securities and Use of Proceeds</w:t>
            </w:r>
          </w:p>
        </w:tc>
      </w:tr>
    </w:tbl>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Issuer Purchases of Equity Securities</w:t>
      </w:r>
    </w:p>
    <w:p>
      <w:pPr>
        <w:pStyle w:val="TextBody"/>
        <w:spacing w:before="0" w:after="0"/>
        <w:jc w:val="left"/>
        <w:rPr/>
      </w:pPr>
      <w:r>
        <w:rPr/>
      </w:r>
    </w:p>
    <w:p>
      <w:pPr>
        <w:pStyle w:val="TextBody"/>
        <w:spacing w:before="0" w:after="0"/>
        <w:jc w:val="left"/>
        <w:rPr>
          <w:rFonts w:ascii="Times New Roman" w:hAnsi="Times New Roman"/>
          <w:color w:val="000000"/>
          <w:sz w:val="20"/>
        </w:rPr>
      </w:pPr>
      <w:r>
        <w:rPr>
          <w:rFonts w:ascii="Times New Roman" w:hAnsi="Times New Roman"/>
          <w:color w:val="000000"/>
          <w:sz w:val="20"/>
        </w:rPr>
        <w:t>There were no purchases of common stock by the Company during the three months ended March 31, 2023.</w:t>
      </w:r>
    </w:p>
    <w:p>
      <w:pPr>
        <w:pStyle w:val="TextBody"/>
        <w:spacing w:before="0" w:after="0"/>
        <w:jc w:val="left"/>
        <w:rPr/>
      </w:pPr>
      <w:r>
        <w:rPr/>
      </w:r>
    </w:p>
    <w:p>
      <w:pPr>
        <w:pStyle w:val="Normal"/>
        <w:spacing w:before="0" w:after="0"/>
        <w:jc w:val="left"/>
        <w:rPr>
          <w:sz w:val="4"/>
          <w:szCs w:val="4"/>
        </w:rPr>
      </w:pPr>
      <w:r>
        <w:rPr>
          <w:sz w:val="4"/>
          <w:szCs w:val="4"/>
        </w:rPr>
      </w:r>
      <w:bookmarkStart w:id="22" w:name="DefaultsuponSeniorSecurit"/>
      <w:bookmarkStart w:id="23" w:name="DefaultsuponSeniorSecurit"/>
      <w:bookmarkEnd w:id="23"/>
    </w:p>
    <w:tbl>
      <w:tblPr>
        <w:tblW w:w="3955" w:type="dxa"/>
        <w:jc w:val="left"/>
        <w:tblInd w:w="0" w:type="dxa"/>
        <w:tblCellMar>
          <w:top w:w="0" w:type="dxa"/>
          <w:left w:w="0" w:type="dxa"/>
          <w:bottom w:w="0" w:type="dxa"/>
          <w:right w:w="0" w:type="dxa"/>
        </w:tblCellMar>
      </w:tblPr>
      <w:tblGrid>
        <w:gridCol w:w="740"/>
        <w:gridCol w:w="3215"/>
      </w:tblGrid>
      <w:tr>
        <w:trPr/>
        <w:tc>
          <w:tcPr>
            <w:tcW w:w="740" w:type="dxa"/>
            <w:tcBorders/>
            <w:shd w:fill="auto" w:val="clear"/>
            <w:vAlign w:val="center"/>
          </w:tcPr>
          <w:p>
            <w:pPr>
              <w:pStyle w:val="TableContents"/>
              <w:spacing w:before="0" w:after="283"/>
              <w:rPr>
                <w:b/>
                <w:color w:val="000000"/>
              </w:rPr>
            </w:pPr>
            <w:r>
              <w:rPr>
                <w:b/>
                <w:color w:val="000000"/>
              </w:rPr>
              <w:t>Item 3.</w:t>
            </w:r>
          </w:p>
        </w:tc>
        <w:tc>
          <w:tcPr>
            <w:tcW w:w="3215" w:type="dxa"/>
            <w:tcBorders/>
            <w:shd w:fill="auto" w:val="clear"/>
            <w:vAlign w:val="center"/>
          </w:tcPr>
          <w:p>
            <w:pPr>
              <w:pStyle w:val="TableContents"/>
              <w:spacing w:before="0" w:after="0"/>
              <w:rPr>
                <w:b/>
                <w:color w:val="000000"/>
              </w:rPr>
            </w:pPr>
            <w:r>
              <w:rPr>
                <w:b/>
                <w:color w:val="000000"/>
              </w:rPr>
              <w:t>Defaults upon Senior Securities</w:t>
            </w:r>
          </w:p>
        </w:tc>
      </w:tr>
    </w:tbl>
    <w:p>
      <w:pPr>
        <w:pStyle w:val="TextBody"/>
        <w:spacing w:before="0" w:after="0"/>
        <w:jc w:val="left"/>
        <w:rPr/>
      </w:pPr>
      <w:r>
        <w:rPr/>
      </w:r>
    </w:p>
    <w:p>
      <w:pPr>
        <w:pStyle w:val="TextBody"/>
        <w:spacing w:before="0" w:after="0"/>
        <w:jc w:val="left"/>
        <w:rPr>
          <w:rFonts w:ascii="Times New Roman" w:hAnsi="Times New Roman"/>
          <w:color w:val="000000"/>
          <w:sz w:val="20"/>
        </w:rPr>
      </w:pPr>
      <w:r>
        <w:rPr>
          <w:rFonts w:ascii="Times New Roman" w:hAnsi="Times New Roman"/>
          <w:color w:val="000000"/>
          <w:sz w:val="20"/>
        </w:rPr>
        <w:t>Not applicable.</w:t>
      </w:r>
    </w:p>
    <w:p>
      <w:pPr>
        <w:pStyle w:val="TextBody"/>
        <w:spacing w:before="0" w:after="0"/>
        <w:jc w:val="left"/>
        <w:rPr/>
      </w:pPr>
      <w:r>
        <w:rPr/>
      </w:r>
    </w:p>
    <w:p>
      <w:pPr>
        <w:pStyle w:val="Normal"/>
        <w:spacing w:before="0" w:after="0"/>
        <w:jc w:val="left"/>
        <w:rPr>
          <w:sz w:val="4"/>
          <w:szCs w:val="4"/>
        </w:rPr>
      </w:pPr>
      <w:r>
        <w:rPr>
          <w:sz w:val="4"/>
          <w:szCs w:val="4"/>
        </w:rPr>
      </w:r>
      <w:bookmarkStart w:id="24" w:name="MineSafetyDisclosures"/>
      <w:bookmarkStart w:id="25" w:name="MineSafetyDisclosures"/>
      <w:bookmarkEnd w:id="25"/>
    </w:p>
    <w:tbl>
      <w:tblPr>
        <w:tblW w:w="3190" w:type="dxa"/>
        <w:jc w:val="left"/>
        <w:tblInd w:w="0" w:type="dxa"/>
        <w:tblCellMar>
          <w:top w:w="0" w:type="dxa"/>
          <w:left w:w="0" w:type="dxa"/>
          <w:bottom w:w="0" w:type="dxa"/>
          <w:right w:w="0" w:type="dxa"/>
        </w:tblCellMar>
      </w:tblPr>
      <w:tblGrid>
        <w:gridCol w:w="740"/>
        <w:gridCol w:w="2450"/>
      </w:tblGrid>
      <w:tr>
        <w:trPr/>
        <w:tc>
          <w:tcPr>
            <w:tcW w:w="740" w:type="dxa"/>
            <w:tcBorders/>
            <w:shd w:fill="auto" w:val="clear"/>
            <w:vAlign w:val="center"/>
          </w:tcPr>
          <w:p>
            <w:pPr>
              <w:pStyle w:val="TableContents"/>
              <w:spacing w:before="0" w:after="283"/>
              <w:rPr>
                <w:b/>
                <w:color w:val="000000"/>
              </w:rPr>
            </w:pPr>
            <w:r>
              <w:rPr>
                <w:b/>
                <w:color w:val="000000"/>
              </w:rPr>
              <w:t>Item 4.</w:t>
            </w:r>
          </w:p>
        </w:tc>
        <w:tc>
          <w:tcPr>
            <w:tcW w:w="2450" w:type="dxa"/>
            <w:tcBorders/>
            <w:shd w:fill="auto" w:val="clear"/>
            <w:vAlign w:val="center"/>
          </w:tcPr>
          <w:p>
            <w:pPr>
              <w:pStyle w:val="TableContents"/>
              <w:spacing w:before="0" w:after="0"/>
              <w:rPr>
                <w:b/>
                <w:color w:val="000000"/>
              </w:rPr>
            </w:pPr>
            <w:r>
              <w:rPr>
                <w:b/>
                <w:color w:val="000000"/>
              </w:rPr>
              <w:t>Mine Safety Disclosures</w:t>
            </w:r>
          </w:p>
        </w:tc>
      </w:tr>
    </w:tbl>
    <w:p>
      <w:pPr>
        <w:pStyle w:val="TextBody"/>
        <w:spacing w:before="0" w:after="0"/>
        <w:jc w:val="left"/>
        <w:rPr/>
      </w:pPr>
      <w:r>
        <w:rPr/>
      </w:r>
    </w:p>
    <w:p>
      <w:pPr>
        <w:pStyle w:val="TextBody"/>
        <w:spacing w:before="0" w:after="0"/>
        <w:jc w:val="left"/>
        <w:rPr>
          <w:rFonts w:ascii="Times New Roman" w:hAnsi="Times New Roman"/>
          <w:color w:val="000000"/>
          <w:sz w:val="20"/>
        </w:rPr>
      </w:pPr>
      <w:r>
        <w:rPr>
          <w:rFonts w:ascii="Times New Roman" w:hAnsi="Times New Roman"/>
          <w:color w:val="000000"/>
          <w:sz w:val="20"/>
        </w:rPr>
        <w:t>Not applicable.</w:t>
      </w:r>
    </w:p>
    <w:p>
      <w:pPr>
        <w:pStyle w:val="TextBody"/>
        <w:spacing w:before="0" w:after="0"/>
        <w:jc w:val="left"/>
        <w:rPr/>
      </w:pPr>
      <w:r>
        <w:rPr/>
      </w:r>
    </w:p>
    <w:p>
      <w:pPr>
        <w:pStyle w:val="Normal"/>
        <w:spacing w:before="0" w:after="0"/>
        <w:jc w:val="left"/>
        <w:rPr>
          <w:sz w:val="4"/>
          <w:szCs w:val="4"/>
        </w:rPr>
      </w:pPr>
      <w:r>
        <w:rPr>
          <w:sz w:val="4"/>
          <w:szCs w:val="4"/>
        </w:rPr>
      </w:r>
      <w:bookmarkStart w:id="26" w:name="OtherInformation"/>
      <w:bookmarkStart w:id="27" w:name="OtherInformation"/>
      <w:bookmarkEnd w:id="27"/>
    </w:p>
    <w:tbl>
      <w:tblPr>
        <w:tblW w:w="2665" w:type="dxa"/>
        <w:jc w:val="left"/>
        <w:tblInd w:w="0" w:type="dxa"/>
        <w:tblCellMar>
          <w:top w:w="0" w:type="dxa"/>
          <w:left w:w="0" w:type="dxa"/>
          <w:bottom w:w="0" w:type="dxa"/>
          <w:right w:w="0" w:type="dxa"/>
        </w:tblCellMar>
      </w:tblPr>
      <w:tblGrid>
        <w:gridCol w:w="740"/>
        <w:gridCol w:w="1925"/>
      </w:tblGrid>
      <w:tr>
        <w:trPr/>
        <w:tc>
          <w:tcPr>
            <w:tcW w:w="740" w:type="dxa"/>
            <w:tcBorders/>
            <w:shd w:fill="auto" w:val="clear"/>
            <w:vAlign w:val="center"/>
          </w:tcPr>
          <w:p>
            <w:pPr>
              <w:pStyle w:val="TableContents"/>
              <w:spacing w:before="0" w:after="283"/>
              <w:rPr>
                <w:b/>
                <w:color w:val="000000"/>
              </w:rPr>
            </w:pPr>
            <w:r>
              <w:rPr>
                <w:b/>
                <w:color w:val="000000"/>
              </w:rPr>
              <w:t>Item 5.</w:t>
            </w:r>
          </w:p>
        </w:tc>
        <w:tc>
          <w:tcPr>
            <w:tcW w:w="1925" w:type="dxa"/>
            <w:tcBorders/>
            <w:shd w:fill="auto" w:val="clear"/>
            <w:vAlign w:val="center"/>
          </w:tcPr>
          <w:p>
            <w:pPr>
              <w:pStyle w:val="TableContents"/>
              <w:spacing w:before="0" w:after="0"/>
              <w:rPr>
                <w:b/>
                <w:color w:val="000000"/>
              </w:rPr>
            </w:pPr>
            <w:r>
              <w:rPr>
                <w:b/>
                <w:color w:val="000000"/>
              </w:rPr>
              <w:t>Other Information</w:t>
            </w:r>
          </w:p>
        </w:tc>
      </w:tr>
    </w:tbl>
    <w:p>
      <w:pPr>
        <w:pStyle w:val="TextBody"/>
        <w:spacing w:before="0" w:after="0"/>
        <w:jc w:val="left"/>
        <w:rPr/>
      </w:pPr>
      <w:r>
        <w:rPr/>
      </w:r>
    </w:p>
    <w:p>
      <w:pPr>
        <w:pStyle w:val="TextBody"/>
        <w:spacing w:before="0" w:after="0"/>
        <w:jc w:val="left"/>
        <w:rPr>
          <w:rFonts w:ascii="Times New Roman" w:hAnsi="Times New Roman"/>
          <w:color w:val="000000"/>
          <w:sz w:val="20"/>
        </w:rPr>
      </w:pPr>
      <w:r>
        <w:rPr>
          <w:rFonts w:ascii="Times New Roman" w:hAnsi="Times New Roman"/>
          <w:color w:val="000000"/>
          <w:sz w:val="20"/>
        </w:rPr>
        <w:t>None.</w:t>
      </w:r>
    </w:p>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52</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b w:val="false"/>
            <w:i/>
            <w:color w:val="000000"/>
            <w:sz w:val="16"/>
          </w:rPr>
          <w:t>Table of Contents</w:t>
        </w:r>
      </w:hyperlink>
    </w:p>
    <w:p>
      <w:pPr>
        <w:pStyle w:val="Normal"/>
        <w:spacing w:before="0" w:after="0"/>
        <w:jc w:val="left"/>
        <w:rPr>
          <w:sz w:val="4"/>
          <w:szCs w:val="4"/>
        </w:rPr>
      </w:pPr>
      <w:r>
        <w:rPr>
          <w:sz w:val="4"/>
          <w:szCs w:val="4"/>
        </w:rPr>
      </w:r>
      <w:bookmarkStart w:id="28" w:name="Exhibits"/>
      <w:bookmarkStart w:id="29" w:name="Exhibits"/>
      <w:bookmarkEnd w:id="29"/>
    </w:p>
    <w:tbl>
      <w:tblPr>
        <w:tblW w:w="1615" w:type="dxa"/>
        <w:jc w:val="left"/>
        <w:tblInd w:w="0" w:type="dxa"/>
        <w:tblCellMar>
          <w:top w:w="0" w:type="dxa"/>
          <w:left w:w="0" w:type="dxa"/>
          <w:bottom w:w="0" w:type="dxa"/>
          <w:right w:w="0" w:type="dxa"/>
        </w:tblCellMar>
      </w:tblPr>
      <w:tblGrid>
        <w:gridCol w:w="740"/>
        <w:gridCol w:w="875"/>
      </w:tblGrid>
      <w:tr>
        <w:trPr/>
        <w:tc>
          <w:tcPr>
            <w:tcW w:w="740" w:type="dxa"/>
            <w:tcBorders/>
            <w:shd w:fill="auto" w:val="clear"/>
            <w:vAlign w:val="center"/>
          </w:tcPr>
          <w:p>
            <w:pPr>
              <w:pStyle w:val="TableContents"/>
              <w:spacing w:before="0" w:after="283"/>
              <w:rPr>
                <w:b/>
                <w:color w:val="000000"/>
              </w:rPr>
            </w:pPr>
            <w:r>
              <w:rPr>
                <w:b/>
                <w:color w:val="000000"/>
              </w:rPr>
              <w:t>Item 6.</w:t>
            </w:r>
          </w:p>
        </w:tc>
        <w:tc>
          <w:tcPr>
            <w:tcW w:w="875" w:type="dxa"/>
            <w:tcBorders/>
            <w:shd w:fill="auto" w:val="clear"/>
            <w:vAlign w:val="center"/>
          </w:tcPr>
          <w:p>
            <w:pPr>
              <w:pStyle w:val="TableContents"/>
              <w:spacing w:before="0" w:after="0"/>
              <w:rPr>
                <w:b/>
                <w:color w:val="000000"/>
              </w:rPr>
            </w:pPr>
            <w:r>
              <w:rPr>
                <w:b/>
                <w:color w:val="000000"/>
              </w:rPr>
              <w:t>Exhibits</w:t>
            </w:r>
          </w:p>
        </w:tc>
      </w:tr>
    </w:tbl>
    <w:p>
      <w:pPr>
        <w:pStyle w:val="TextBody"/>
        <w:spacing w:before="0" w:after="0"/>
        <w:rPr/>
      </w:pPr>
      <w:r>
        <w:rPr/>
      </w:r>
    </w:p>
    <w:tbl>
      <w:tblPr>
        <w:tblW w:w="10205" w:type="dxa"/>
        <w:jc w:val="left"/>
        <w:tblInd w:w="0" w:type="dxa"/>
        <w:tblCellMar>
          <w:top w:w="0" w:type="dxa"/>
          <w:left w:w="0" w:type="dxa"/>
          <w:bottom w:w="28" w:type="dxa"/>
          <w:right w:w="0" w:type="dxa"/>
        </w:tblCellMar>
      </w:tblPr>
      <w:tblGrid>
        <w:gridCol w:w="875"/>
        <w:gridCol w:w="60"/>
        <w:gridCol w:w="9270"/>
      </w:tblGrid>
      <w:tr>
        <w:trPr/>
        <w:tc>
          <w:tcPr>
            <w:tcW w:w="875" w:type="dxa"/>
            <w:tcBorders>
              <w:bottom w:val="single" w:sz="12" w:space="0" w:color="000000"/>
            </w:tcBorders>
            <w:shd w:fill="auto" w:val="clear"/>
            <w:vAlign w:val="center"/>
          </w:tcPr>
          <w:p>
            <w:pPr>
              <w:pStyle w:val="TableContents"/>
              <w:spacing w:before="0" w:after="0"/>
              <w:jc w:val="center"/>
              <w:rPr>
                <w:b/>
                <w:color w:val="000000"/>
              </w:rPr>
            </w:pPr>
            <w:r>
              <w:rPr>
                <w:b/>
                <w:color w:val="000000"/>
              </w:rPr>
              <w:t>Exhibit</w:t>
            </w:r>
          </w:p>
          <w:p>
            <w:pPr>
              <w:pStyle w:val="TableContents"/>
              <w:spacing w:before="0" w:after="0"/>
              <w:jc w:val="center"/>
              <w:rPr>
                <w:b/>
                <w:color w:val="000000"/>
              </w:rPr>
            </w:pPr>
            <w:r>
              <w:rPr>
                <w:b/>
                <w:color w:val="000000"/>
              </w:rPr>
              <w:t>Number</w:t>
            </w:r>
          </w:p>
        </w:tc>
        <w:tc>
          <w:tcPr>
            <w:tcW w:w="60" w:type="dxa"/>
            <w:tcBorders/>
            <w:shd w:fill="auto" w:val="clear"/>
            <w:tcMar>
              <w:bottom w:w="0" w:type="dxa"/>
            </w:tcMar>
            <w:vAlign w:val="center"/>
          </w:tcPr>
          <w:p>
            <w:pPr>
              <w:pStyle w:val="TableContents"/>
              <w:spacing w:before="0" w:after="283"/>
              <w:rPr/>
            </w:pPr>
            <w:r>
              <w:rPr/>
              <w:t> </w:t>
            </w:r>
          </w:p>
        </w:tc>
        <w:tc>
          <w:tcPr>
            <w:tcW w:w="9270" w:type="dxa"/>
            <w:tcBorders>
              <w:bottom w:val="single" w:sz="12" w:space="0" w:color="000000"/>
            </w:tcBorders>
            <w:shd w:fill="auto" w:val="clear"/>
            <w:vAlign w:val="center"/>
          </w:tcPr>
          <w:p>
            <w:pPr>
              <w:pStyle w:val="TableContents"/>
              <w:spacing w:before="0" w:after="0"/>
              <w:jc w:val="center"/>
              <w:rPr>
                <w:b/>
                <w:color w:val="000000"/>
              </w:rPr>
            </w:pPr>
            <w:r>
              <w:rPr>
                <w:b/>
                <w:color w:val="000000"/>
              </w:rPr>
              <w:t>Description</w:t>
            </w:r>
          </w:p>
        </w:tc>
      </w:tr>
      <w:tr>
        <w:trPr/>
        <w:tc>
          <w:tcPr>
            <w:tcW w:w="875" w:type="dxa"/>
            <w:tcBorders/>
            <w:shd w:fill="CCEEFF" w:val="clear"/>
            <w:tcMar>
              <w:bottom w:w="0" w:type="dxa"/>
            </w:tcMar>
            <w:vAlign w:val="center"/>
          </w:tcPr>
          <w:p>
            <w:pPr>
              <w:pStyle w:val="TableContents"/>
              <w:spacing w:before="0" w:after="0"/>
              <w:rPr/>
            </w:pPr>
            <w:hyperlink r:id="rId2">
              <w:r>
                <w:rPr>
                  <w:rStyle w:val="InternetLink"/>
                  <w:color w:val="000000"/>
                </w:rPr>
                <w:t>3.1</w:t>
              </w:r>
            </w:hyperlink>
          </w:p>
        </w:tc>
        <w:tc>
          <w:tcPr>
            <w:tcW w:w="60" w:type="dxa"/>
            <w:tcBorders/>
            <w:shd w:fill="CCEEFF" w:val="clear"/>
            <w:tcMar>
              <w:bottom w:w="0" w:type="dxa"/>
            </w:tcMar>
            <w:vAlign w:val="center"/>
          </w:tcPr>
          <w:p>
            <w:pPr>
              <w:pStyle w:val="TableContents"/>
              <w:spacing w:before="0" w:after="283"/>
              <w:rPr/>
            </w:pPr>
            <w:r>
              <w:rPr/>
              <w:t> </w:t>
            </w:r>
          </w:p>
        </w:tc>
        <w:tc>
          <w:tcPr>
            <w:tcW w:w="9270" w:type="dxa"/>
            <w:tcBorders/>
            <w:shd w:fill="CCEEFF" w:val="clear"/>
            <w:tcMar>
              <w:bottom w:w="0" w:type="dxa"/>
            </w:tcMar>
            <w:vAlign w:val="center"/>
          </w:tcPr>
          <w:p>
            <w:pPr>
              <w:pStyle w:val="TableContents"/>
              <w:spacing w:before="0" w:after="0"/>
              <w:jc w:val="both"/>
              <w:rPr>
                <w:color w:val="000000"/>
              </w:rPr>
            </w:pPr>
            <w:r>
              <w:rPr>
                <w:color w:val="000000"/>
              </w:rPr>
              <w:t>Amended and Restated Certificate of Formation of South Plains Financial, Inc. (incorporated by reference to Exhibit 3.1 to the Company’s Form S-1 filed with the SEC on April 12, 2019) (File No. 333-230851).</w:t>
            </w:r>
          </w:p>
        </w:tc>
      </w:tr>
      <w:tr>
        <w:trPr/>
        <w:tc>
          <w:tcPr>
            <w:tcW w:w="87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9270" w:type="dxa"/>
            <w:tcBorders/>
            <w:shd w:fill="auto" w:val="clear"/>
            <w:tcMar>
              <w:bottom w:w="0" w:type="dxa"/>
            </w:tcMar>
            <w:vAlign w:val="center"/>
          </w:tcPr>
          <w:p>
            <w:pPr>
              <w:pStyle w:val="TableContents"/>
              <w:spacing w:before="0" w:after="283"/>
              <w:rPr/>
            </w:pPr>
            <w:r>
              <w:rPr/>
              <w:t> </w:t>
            </w:r>
          </w:p>
        </w:tc>
      </w:tr>
      <w:tr>
        <w:trPr/>
        <w:tc>
          <w:tcPr>
            <w:tcW w:w="875" w:type="dxa"/>
            <w:tcBorders/>
            <w:shd w:fill="CCEEFF" w:val="clear"/>
            <w:tcMar>
              <w:bottom w:w="0" w:type="dxa"/>
            </w:tcMar>
            <w:vAlign w:val="center"/>
          </w:tcPr>
          <w:p>
            <w:pPr>
              <w:pStyle w:val="TableContents"/>
              <w:spacing w:before="0" w:after="0"/>
              <w:rPr/>
            </w:pPr>
            <w:hyperlink r:id="rId3">
              <w:r>
                <w:rPr>
                  <w:rStyle w:val="InternetLink"/>
                  <w:color w:val="000000"/>
                </w:rPr>
                <w:t>3.2</w:t>
              </w:r>
            </w:hyperlink>
          </w:p>
        </w:tc>
        <w:tc>
          <w:tcPr>
            <w:tcW w:w="60" w:type="dxa"/>
            <w:tcBorders/>
            <w:shd w:fill="CCEEFF" w:val="clear"/>
            <w:tcMar>
              <w:bottom w:w="0" w:type="dxa"/>
            </w:tcMar>
            <w:vAlign w:val="center"/>
          </w:tcPr>
          <w:p>
            <w:pPr>
              <w:pStyle w:val="TableContents"/>
              <w:spacing w:before="0" w:after="283"/>
              <w:rPr/>
            </w:pPr>
            <w:r>
              <w:rPr/>
              <w:t> </w:t>
            </w:r>
          </w:p>
        </w:tc>
        <w:tc>
          <w:tcPr>
            <w:tcW w:w="9270" w:type="dxa"/>
            <w:tcBorders/>
            <w:shd w:fill="CCEEFF" w:val="clear"/>
            <w:tcMar>
              <w:bottom w:w="0" w:type="dxa"/>
            </w:tcMar>
            <w:vAlign w:val="center"/>
          </w:tcPr>
          <w:p>
            <w:pPr>
              <w:pStyle w:val="TableContents"/>
              <w:spacing w:before="0" w:after="0"/>
              <w:jc w:val="both"/>
              <w:rPr>
                <w:color w:val="000000"/>
              </w:rPr>
            </w:pPr>
            <w:r>
              <w:rPr>
                <w:color w:val="000000"/>
              </w:rPr>
              <w:t>Second Amended and Restated Bylaws of South Plains Financial, Inc. (incorporated by reference to Exhibit 3.1 to the Company’s Current Report on Form 8-K filed with the SEC on November 1, 2021) (File No. 001-38895).</w:t>
            </w:r>
          </w:p>
        </w:tc>
      </w:tr>
      <w:tr>
        <w:trPr/>
        <w:tc>
          <w:tcPr>
            <w:tcW w:w="87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9270" w:type="dxa"/>
            <w:tcBorders/>
            <w:shd w:fill="auto" w:val="clear"/>
            <w:tcMar>
              <w:bottom w:w="0" w:type="dxa"/>
            </w:tcMar>
            <w:vAlign w:val="center"/>
          </w:tcPr>
          <w:p>
            <w:pPr>
              <w:pStyle w:val="TableContents"/>
              <w:spacing w:before="0" w:after="283"/>
              <w:rPr/>
            </w:pPr>
            <w:r>
              <w:rPr/>
              <w:t> </w:t>
            </w:r>
          </w:p>
        </w:tc>
      </w:tr>
      <w:tr>
        <w:trPr/>
        <w:tc>
          <w:tcPr>
            <w:tcW w:w="875" w:type="dxa"/>
            <w:tcBorders/>
            <w:shd w:fill="CCEEFF" w:val="clear"/>
            <w:tcMar>
              <w:bottom w:w="0" w:type="dxa"/>
            </w:tcMar>
            <w:vAlign w:val="center"/>
          </w:tcPr>
          <w:p>
            <w:pPr>
              <w:pStyle w:val="TableContents"/>
              <w:spacing w:before="0" w:after="0"/>
              <w:rPr/>
            </w:pPr>
            <w:hyperlink w:anchor="brhc20052584_ex31-1.htm">
              <w:r>
                <w:rPr>
                  <w:rStyle w:val="InternetLink"/>
                  <w:color w:val="000000"/>
                </w:rPr>
                <w:t>31.1*</w:t>
              </w:r>
            </w:hyperlink>
          </w:p>
        </w:tc>
        <w:tc>
          <w:tcPr>
            <w:tcW w:w="60" w:type="dxa"/>
            <w:tcBorders/>
            <w:shd w:fill="CCEEFF" w:val="clear"/>
            <w:tcMar>
              <w:bottom w:w="0" w:type="dxa"/>
            </w:tcMar>
            <w:vAlign w:val="center"/>
          </w:tcPr>
          <w:p>
            <w:pPr>
              <w:pStyle w:val="TableContents"/>
              <w:spacing w:before="0" w:after="283"/>
              <w:rPr/>
            </w:pPr>
            <w:r>
              <w:rPr/>
              <w:t> </w:t>
            </w:r>
          </w:p>
        </w:tc>
        <w:tc>
          <w:tcPr>
            <w:tcW w:w="9270" w:type="dxa"/>
            <w:tcBorders/>
            <w:shd w:fill="CCEEFF" w:val="clear"/>
            <w:tcMar>
              <w:bottom w:w="0" w:type="dxa"/>
            </w:tcMar>
            <w:vAlign w:val="center"/>
          </w:tcPr>
          <w:p>
            <w:pPr>
              <w:pStyle w:val="TableContents"/>
              <w:spacing w:before="0" w:after="0"/>
              <w:jc w:val="both"/>
              <w:rPr>
                <w:color w:val="000000"/>
              </w:rPr>
            </w:pPr>
            <w:r>
              <w:rPr>
                <w:color w:val="000000"/>
              </w:rPr>
              <w:t>Certification of Principal Executive Officer pursuant to Section 302 of the Sarbanes-Oxley Act of 2002.</w:t>
            </w:r>
          </w:p>
        </w:tc>
      </w:tr>
      <w:tr>
        <w:trPr/>
        <w:tc>
          <w:tcPr>
            <w:tcW w:w="87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9270" w:type="dxa"/>
            <w:tcBorders/>
            <w:shd w:fill="auto" w:val="clear"/>
            <w:tcMar>
              <w:bottom w:w="0" w:type="dxa"/>
            </w:tcMar>
            <w:vAlign w:val="center"/>
          </w:tcPr>
          <w:p>
            <w:pPr>
              <w:pStyle w:val="TableContents"/>
              <w:spacing w:before="0" w:after="283"/>
              <w:rPr/>
            </w:pPr>
            <w:r>
              <w:rPr/>
              <w:t> </w:t>
            </w:r>
          </w:p>
        </w:tc>
      </w:tr>
      <w:tr>
        <w:trPr/>
        <w:tc>
          <w:tcPr>
            <w:tcW w:w="875" w:type="dxa"/>
            <w:tcBorders/>
            <w:shd w:fill="CCEEFF" w:val="clear"/>
            <w:tcMar>
              <w:bottom w:w="0" w:type="dxa"/>
            </w:tcMar>
            <w:vAlign w:val="center"/>
          </w:tcPr>
          <w:p>
            <w:pPr>
              <w:pStyle w:val="TableContents"/>
              <w:spacing w:before="0" w:after="0"/>
              <w:rPr/>
            </w:pPr>
            <w:hyperlink w:anchor="brhc20052584_ex31-2.htm">
              <w:r>
                <w:rPr>
                  <w:rStyle w:val="InternetLink"/>
                  <w:color w:val="000000"/>
                </w:rPr>
                <w:t>31.2*</w:t>
              </w:r>
            </w:hyperlink>
          </w:p>
        </w:tc>
        <w:tc>
          <w:tcPr>
            <w:tcW w:w="60" w:type="dxa"/>
            <w:tcBorders/>
            <w:shd w:fill="CCEEFF" w:val="clear"/>
            <w:tcMar>
              <w:bottom w:w="0" w:type="dxa"/>
            </w:tcMar>
            <w:vAlign w:val="center"/>
          </w:tcPr>
          <w:p>
            <w:pPr>
              <w:pStyle w:val="TableContents"/>
              <w:spacing w:before="0" w:after="283"/>
              <w:rPr/>
            </w:pPr>
            <w:r>
              <w:rPr/>
              <w:t> </w:t>
            </w:r>
          </w:p>
        </w:tc>
        <w:tc>
          <w:tcPr>
            <w:tcW w:w="9270" w:type="dxa"/>
            <w:tcBorders/>
            <w:shd w:fill="CCEEFF" w:val="clear"/>
            <w:tcMar>
              <w:bottom w:w="0" w:type="dxa"/>
            </w:tcMar>
            <w:vAlign w:val="center"/>
          </w:tcPr>
          <w:p>
            <w:pPr>
              <w:pStyle w:val="TableContents"/>
              <w:spacing w:before="0" w:after="0"/>
              <w:jc w:val="both"/>
              <w:rPr>
                <w:color w:val="000000"/>
              </w:rPr>
            </w:pPr>
            <w:r>
              <w:rPr>
                <w:color w:val="000000"/>
              </w:rPr>
              <w:t>Certification of Principal Financial Officer pursuant to Section 302 of the Sarbanes-Oxley Act of 2002.</w:t>
            </w:r>
          </w:p>
        </w:tc>
      </w:tr>
      <w:tr>
        <w:trPr/>
        <w:tc>
          <w:tcPr>
            <w:tcW w:w="87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9270" w:type="dxa"/>
            <w:tcBorders/>
            <w:shd w:fill="auto" w:val="clear"/>
            <w:tcMar>
              <w:bottom w:w="0" w:type="dxa"/>
            </w:tcMar>
            <w:vAlign w:val="center"/>
          </w:tcPr>
          <w:p>
            <w:pPr>
              <w:pStyle w:val="TableContents"/>
              <w:spacing w:before="0" w:after="283"/>
              <w:rPr/>
            </w:pPr>
            <w:r>
              <w:rPr/>
              <w:t> </w:t>
            </w:r>
          </w:p>
        </w:tc>
      </w:tr>
      <w:tr>
        <w:trPr/>
        <w:tc>
          <w:tcPr>
            <w:tcW w:w="875" w:type="dxa"/>
            <w:tcBorders/>
            <w:shd w:fill="CCEEFF" w:val="clear"/>
            <w:tcMar>
              <w:bottom w:w="0" w:type="dxa"/>
            </w:tcMar>
            <w:vAlign w:val="center"/>
          </w:tcPr>
          <w:p>
            <w:pPr>
              <w:pStyle w:val="TableContents"/>
              <w:spacing w:before="0" w:after="0"/>
              <w:rPr/>
            </w:pPr>
            <w:hyperlink w:anchor="brhc20052584_ex32-1.htm">
              <w:r>
                <w:rPr>
                  <w:rStyle w:val="InternetLink"/>
                  <w:color w:val="000000"/>
                </w:rPr>
                <w:t>32.1**</w:t>
              </w:r>
            </w:hyperlink>
          </w:p>
        </w:tc>
        <w:tc>
          <w:tcPr>
            <w:tcW w:w="60" w:type="dxa"/>
            <w:tcBorders/>
            <w:shd w:fill="CCEEFF" w:val="clear"/>
            <w:tcMar>
              <w:bottom w:w="0" w:type="dxa"/>
            </w:tcMar>
            <w:vAlign w:val="center"/>
          </w:tcPr>
          <w:p>
            <w:pPr>
              <w:pStyle w:val="TableContents"/>
              <w:spacing w:before="0" w:after="283"/>
              <w:rPr/>
            </w:pPr>
            <w:r>
              <w:rPr/>
              <w:t> </w:t>
            </w:r>
          </w:p>
        </w:tc>
        <w:tc>
          <w:tcPr>
            <w:tcW w:w="9270" w:type="dxa"/>
            <w:tcBorders/>
            <w:shd w:fill="CCEEFF" w:val="clear"/>
            <w:tcMar>
              <w:bottom w:w="0" w:type="dxa"/>
            </w:tcMar>
            <w:vAlign w:val="center"/>
          </w:tcPr>
          <w:p>
            <w:pPr>
              <w:pStyle w:val="TableContents"/>
              <w:spacing w:before="0" w:after="0"/>
              <w:jc w:val="both"/>
              <w:rPr>
                <w:color w:val="000000"/>
              </w:rPr>
            </w:pPr>
            <w:r>
              <w:rPr>
                <w:color w:val="000000"/>
              </w:rPr>
              <w:t>Certification of Chief Executive Officer pursuant to Section 906 of the Sarbanes-Oxley Act of 2002.</w:t>
            </w:r>
          </w:p>
        </w:tc>
      </w:tr>
      <w:tr>
        <w:trPr/>
        <w:tc>
          <w:tcPr>
            <w:tcW w:w="87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9270" w:type="dxa"/>
            <w:tcBorders/>
            <w:shd w:fill="auto" w:val="clear"/>
            <w:tcMar>
              <w:bottom w:w="0" w:type="dxa"/>
            </w:tcMar>
            <w:vAlign w:val="center"/>
          </w:tcPr>
          <w:p>
            <w:pPr>
              <w:pStyle w:val="TableContents"/>
              <w:spacing w:before="0" w:after="283"/>
              <w:rPr/>
            </w:pPr>
            <w:r>
              <w:rPr/>
              <w:t> </w:t>
            </w:r>
          </w:p>
        </w:tc>
      </w:tr>
      <w:tr>
        <w:trPr/>
        <w:tc>
          <w:tcPr>
            <w:tcW w:w="875" w:type="dxa"/>
            <w:tcBorders/>
            <w:shd w:fill="CCEEFF" w:val="clear"/>
            <w:tcMar>
              <w:bottom w:w="0" w:type="dxa"/>
            </w:tcMar>
            <w:vAlign w:val="center"/>
          </w:tcPr>
          <w:p>
            <w:pPr>
              <w:pStyle w:val="TableContents"/>
              <w:spacing w:before="0" w:after="0"/>
              <w:rPr/>
            </w:pPr>
            <w:hyperlink w:anchor="brhc20052584_ex32-2.htm">
              <w:r>
                <w:rPr>
                  <w:rStyle w:val="InternetLink"/>
                  <w:color w:val="000000"/>
                </w:rPr>
                <w:t>32.2**</w:t>
              </w:r>
            </w:hyperlink>
          </w:p>
        </w:tc>
        <w:tc>
          <w:tcPr>
            <w:tcW w:w="60" w:type="dxa"/>
            <w:tcBorders/>
            <w:shd w:fill="CCEEFF" w:val="clear"/>
            <w:tcMar>
              <w:bottom w:w="0" w:type="dxa"/>
            </w:tcMar>
            <w:vAlign w:val="center"/>
          </w:tcPr>
          <w:p>
            <w:pPr>
              <w:pStyle w:val="TableContents"/>
              <w:spacing w:before="0" w:after="283"/>
              <w:rPr/>
            </w:pPr>
            <w:r>
              <w:rPr/>
              <w:t> </w:t>
            </w:r>
          </w:p>
        </w:tc>
        <w:tc>
          <w:tcPr>
            <w:tcW w:w="9270" w:type="dxa"/>
            <w:tcBorders/>
            <w:shd w:fill="CCEEFF" w:val="clear"/>
            <w:tcMar>
              <w:bottom w:w="0" w:type="dxa"/>
            </w:tcMar>
            <w:vAlign w:val="center"/>
          </w:tcPr>
          <w:p>
            <w:pPr>
              <w:pStyle w:val="TableContents"/>
              <w:spacing w:before="0" w:after="0"/>
              <w:jc w:val="both"/>
              <w:rPr>
                <w:color w:val="000000"/>
              </w:rPr>
            </w:pPr>
            <w:r>
              <w:rPr>
                <w:color w:val="000000"/>
              </w:rPr>
              <w:t>Certification of Chief Financial Officer pursuant to Section 906 of the Sarbanes-Oxley Act of 2002.</w:t>
            </w:r>
          </w:p>
        </w:tc>
      </w:tr>
      <w:tr>
        <w:trPr/>
        <w:tc>
          <w:tcPr>
            <w:tcW w:w="87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9270" w:type="dxa"/>
            <w:tcBorders/>
            <w:shd w:fill="auto" w:val="clear"/>
            <w:tcMar>
              <w:bottom w:w="0" w:type="dxa"/>
            </w:tcMar>
            <w:vAlign w:val="center"/>
          </w:tcPr>
          <w:p>
            <w:pPr>
              <w:pStyle w:val="TableContents"/>
              <w:spacing w:before="0" w:after="283"/>
              <w:rPr/>
            </w:pPr>
            <w:r>
              <w:rPr/>
              <w:t> </w:t>
            </w:r>
          </w:p>
        </w:tc>
      </w:tr>
      <w:tr>
        <w:trPr/>
        <w:tc>
          <w:tcPr>
            <w:tcW w:w="875" w:type="dxa"/>
            <w:tcBorders/>
            <w:shd w:fill="CCEEFF" w:val="clear"/>
            <w:tcMar>
              <w:bottom w:w="0" w:type="dxa"/>
            </w:tcMar>
            <w:vAlign w:val="center"/>
          </w:tcPr>
          <w:p>
            <w:pPr>
              <w:pStyle w:val="TableContents"/>
              <w:spacing w:before="0" w:after="0"/>
              <w:rPr>
                <w:color w:val="000000"/>
              </w:rPr>
            </w:pPr>
            <w:r>
              <w:rPr>
                <w:color w:val="000000"/>
              </w:rPr>
              <w:t>101*</w:t>
            </w:r>
          </w:p>
        </w:tc>
        <w:tc>
          <w:tcPr>
            <w:tcW w:w="60" w:type="dxa"/>
            <w:tcBorders/>
            <w:shd w:fill="CCEEFF" w:val="clear"/>
            <w:tcMar>
              <w:bottom w:w="0" w:type="dxa"/>
            </w:tcMar>
            <w:vAlign w:val="center"/>
          </w:tcPr>
          <w:p>
            <w:pPr>
              <w:pStyle w:val="TableContents"/>
              <w:spacing w:before="0" w:after="283"/>
              <w:rPr/>
            </w:pPr>
            <w:r>
              <w:rPr/>
              <w:t> </w:t>
            </w:r>
          </w:p>
        </w:tc>
        <w:tc>
          <w:tcPr>
            <w:tcW w:w="9270" w:type="dxa"/>
            <w:tcBorders/>
            <w:shd w:fill="CCEEFF" w:val="clear"/>
            <w:tcMar>
              <w:bottom w:w="0" w:type="dxa"/>
            </w:tcMar>
            <w:vAlign w:val="center"/>
          </w:tcPr>
          <w:p>
            <w:pPr>
              <w:pStyle w:val="TableContents"/>
              <w:spacing w:before="0" w:after="0"/>
              <w:jc w:val="both"/>
              <w:rPr>
                <w:color w:val="000000"/>
              </w:rPr>
            </w:pPr>
            <w:r>
              <w:rPr>
                <w:color w:val="000000"/>
              </w:rPr>
              <w:t>The following material from South Plains Financial, Inc.’s Form 10-Q for the quarter ended March 31, 2023, formatted in XBRL (eXtensible Business Reporting Language), filed herewith: (i) Consolidated Balance Sheets, (ii) Consolidated Statements of Comprehensive Income, (iii) Consolidated Statements of Changes in Stockholders’ Equity, (iv) Consolidated Statements of Cash Flows, and (v) Notes to Unaudited Consolidated Financial Statements.</w:t>
            </w:r>
          </w:p>
        </w:tc>
      </w:tr>
    </w:tbl>
    <w:p>
      <w:pPr>
        <w:pStyle w:val="TextBody"/>
        <w:spacing w:before="0" w:after="0"/>
        <w:rPr/>
      </w:pPr>
      <w:r>
        <w:rPr/>
      </w:r>
    </w:p>
    <w:tbl>
      <w:tblPr>
        <w:tblW w:w="2665" w:type="dxa"/>
        <w:jc w:val="left"/>
        <w:tblInd w:w="0" w:type="dxa"/>
        <w:tblCellMar>
          <w:top w:w="0" w:type="dxa"/>
          <w:left w:w="0" w:type="dxa"/>
          <w:bottom w:w="0" w:type="dxa"/>
          <w:right w:w="0" w:type="dxa"/>
        </w:tblCellMar>
      </w:tblPr>
      <w:tblGrid>
        <w:gridCol w:w="155"/>
        <w:gridCol w:w="2510"/>
      </w:tblGrid>
      <w:tr>
        <w:trPr/>
        <w:tc>
          <w:tcPr>
            <w:tcW w:w="155" w:type="dxa"/>
            <w:tcBorders/>
            <w:shd w:fill="auto" w:val="clear"/>
            <w:vAlign w:val="center"/>
          </w:tcPr>
          <w:p>
            <w:pPr>
              <w:pStyle w:val="TableContents"/>
              <w:spacing w:before="0" w:after="283"/>
              <w:rPr>
                <w:color w:val="222222"/>
              </w:rPr>
            </w:pPr>
            <w:r>
              <w:rPr>
                <w:color w:val="222222"/>
              </w:rPr>
              <w:t>*</w:t>
            </w:r>
          </w:p>
        </w:tc>
        <w:tc>
          <w:tcPr>
            <w:tcW w:w="2510" w:type="dxa"/>
            <w:tcBorders/>
            <w:shd w:fill="auto" w:val="clear"/>
            <w:vAlign w:val="center"/>
          </w:tcPr>
          <w:p>
            <w:pPr>
              <w:pStyle w:val="TableContents"/>
              <w:spacing w:before="0" w:after="0"/>
              <w:rPr>
                <w:color w:val="222222"/>
              </w:rPr>
            </w:pPr>
            <w:r>
              <w:rPr>
                <w:color w:val="222222"/>
              </w:rPr>
              <w:t>Filed with this Form 10-Q</w:t>
            </w:r>
          </w:p>
        </w:tc>
      </w:tr>
    </w:tbl>
    <w:p>
      <w:pPr>
        <w:pStyle w:val="TextBody"/>
        <w:spacing w:before="0" w:after="0"/>
        <w:rPr/>
      </w:pPr>
      <w:r>
        <w:rPr/>
      </w:r>
    </w:p>
    <w:tbl>
      <w:tblPr>
        <w:tblW w:w="3250" w:type="dxa"/>
        <w:jc w:val="left"/>
        <w:tblInd w:w="0" w:type="dxa"/>
        <w:tblCellMar>
          <w:top w:w="0" w:type="dxa"/>
          <w:left w:w="0" w:type="dxa"/>
          <w:bottom w:w="0" w:type="dxa"/>
          <w:right w:w="0" w:type="dxa"/>
        </w:tblCellMar>
      </w:tblPr>
      <w:tblGrid>
        <w:gridCol w:w="275"/>
        <w:gridCol w:w="2975"/>
      </w:tblGrid>
      <w:tr>
        <w:trPr/>
        <w:tc>
          <w:tcPr>
            <w:tcW w:w="275" w:type="dxa"/>
            <w:tcBorders/>
            <w:shd w:fill="auto" w:val="clear"/>
            <w:vAlign w:val="center"/>
          </w:tcPr>
          <w:p>
            <w:pPr>
              <w:pStyle w:val="TableContents"/>
              <w:spacing w:before="0" w:after="283"/>
              <w:rPr>
                <w:color w:val="222222"/>
              </w:rPr>
            </w:pPr>
            <w:r>
              <w:rPr>
                <w:color w:val="222222"/>
              </w:rPr>
              <w:t>**</w:t>
            </w:r>
          </w:p>
        </w:tc>
        <w:tc>
          <w:tcPr>
            <w:tcW w:w="2975" w:type="dxa"/>
            <w:tcBorders/>
            <w:shd w:fill="auto" w:val="clear"/>
            <w:vAlign w:val="center"/>
          </w:tcPr>
          <w:p>
            <w:pPr>
              <w:pStyle w:val="TableContents"/>
              <w:spacing w:before="0" w:after="0"/>
              <w:rPr>
                <w:color w:val="222222"/>
              </w:rPr>
            </w:pPr>
            <w:r>
              <w:rPr>
                <w:color w:val="222222"/>
              </w:rPr>
              <w:t>Furnished with this Form 10-Q</w:t>
            </w:r>
          </w:p>
        </w:tc>
      </w:tr>
    </w:tbl>
    <w:p>
      <w:pPr>
        <w:pStyle w:val="TextBody"/>
        <w:spacing w:before="0" w:after="0"/>
        <w:jc w:val="left"/>
        <w:rPr/>
      </w:pPr>
      <w:r>
        <w:rPr/>
      </w:r>
    </w:p>
    <w:p>
      <w:pPr>
        <w:pStyle w:val="TextBody"/>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53</w:t>
      </w:r>
    </w:p>
    <w:p>
      <w:pPr>
        <w:pStyle w:val="HorizontalLine"/>
        <w:spacing w:before="200" w:after="200"/>
        <w:jc w:val="left"/>
        <w:rPr/>
      </w:pPr>
      <w:r>
        <w:rPr/>
      </w:r>
    </w:p>
    <w:p>
      <w:pPr>
        <w:pStyle w:val="TextBody"/>
        <w:spacing w:before="200" w:after="200"/>
        <w:jc w:val="left"/>
        <w:rPr/>
      </w:pPr>
      <w:hyperlink w:anchor="TABLEOFCONTENTS">
        <w:r>
          <w:rPr>
            <w:rStyle w:val="InternetLink"/>
            <w:rFonts w:ascii="Times New Roman" w:hAnsi="Times New Roman"/>
            <w:b w:val="false"/>
            <w:i/>
            <w:color w:val="000000"/>
            <w:sz w:val="16"/>
          </w:rPr>
          <w:t>Table of Contents</w:t>
        </w:r>
      </w:hyperlink>
    </w:p>
    <w:p>
      <w:pPr>
        <w:pStyle w:val="TextBody"/>
        <w:spacing w:before="0" w:after="0"/>
        <w:jc w:val="center"/>
        <w:rPr>
          <w:rFonts w:ascii="Times New Roman" w:hAnsi="Times New Roman"/>
          <w:b/>
          <w:color w:val="000000"/>
          <w:sz w:val="20"/>
        </w:rPr>
      </w:pPr>
      <w:bookmarkStart w:id="30" w:name="SIGNATURES"/>
      <w:bookmarkEnd w:id="30"/>
      <w:r>
        <w:rPr>
          <w:rFonts w:ascii="Times New Roman" w:hAnsi="Times New Roman"/>
          <w:b/>
          <w:color w:val="000000"/>
          <w:sz w:val="20"/>
        </w:rPr>
        <w:t>SIGNATURES</w:t>
      </w:r>
    </w:p>
    <w:p>
      <w:pPr>
        <w:pStyle w:val="TextBody"/>
        <w:spacing w:before="0" w:after="0"/>
        <w:jc w:val="left"/>
        <w:rPr/>
      </w:pPr>
      <w:r>
        <w:rPr/>
      </w:r>
    </w:p>
    <w:p>
      <w:pPr>
        <w:pStyle w:val="TextBody"/>
        <w:spacing w:before="0" w:after="0"/>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spacing w:before="0" w:after="0"/>
        <w:jc w:val="left"/>
        <w:rPr/>
      </w:pPr>
      <w:r>
        <w:rPr/>
      </w:r>
    </w:p>
    <w:tbl>
      <w:tblPr>
        <w:tblW w:w="5810" w:type="dxa"/>
        <w:jc w:val="left"/>
        <w:tblInd w:w="0" w:type="dxa"/>
        <w:tblCellMar>
          <w:top w:w="0" w:type="dxa"/>
          <w:left w:w="0" w:type="dxa"/>
          <w:bottom w:w="0" w:type="dxa"/>
          <w:right w:w="0" w:type="dxa"/>
        </w:tblCellMar>
      </w:tblPr>
      <w:tblGrid>
        <w:gridCol w:w="530"/>
        <w:gridCol w:w="1235"/>
        <w:gridCol w:w="365"/>
        <w:gridCol w:w="3680"/>
      </w:tblGrid>
      <w:tr>
        <w:trPr/>
        <w:tc>
          <w:tcPr>
            <w:tcW w:w="1765" w:type="dxa"/>
            <w:gridSpan w:val="2"/>
            <w:tcBorders/>
            <w:shd w:fill="auto" w:val="clear"/>
            <w:vAlign w:val="center"/>
          </w:tcPr>
          <w:p>
            <w:pPr>
              <w:pStyle w:val="TableContents"/>
              <w:spacing w:before="0" w:after="283"/>
              <w:rPr/>
            </w:pPr>
            <w:r>
              <w:rPr/>
              <w:t> </w:t>
            </w:r>
          </w:p>
        </w:tc>
        <w:tc>
          <w:tcPr>
            <w:tcW w:w="4045" w:type="dxa"/>
            <w:gridSpan w:val="2"/>
            <w:tcBorders/>
            <w:shd w:fill="auto" w:val="clear"/>
            <w:vAlign w:val="center"/>
          </w:tcPr>
          <w:p>
            <w:pPr>
              <w:pStyle w:val="TableContents"/>
              <w:spacing w:before="0" w:after="0"/>
              <w:rPr>
                <w:b/>
                <w:color w:val="000000"/>
              </w:rPr>
            </w:pPr>
            <w:r>
              <w:rPr>
                <w:b/>
                <w:color w:val="000000"/>
              </w:rPr>
              <w:t>South Plains Financial, Inc.</w:t>
            </w:r>
          </w:p>
        </w:tc>
      </w:tr>
      <w:tr>
        <w:trPr/>
        <w:tc>
          <w:tcPr>
            <w:tcW w:w="1765" w:type="dxa"/>
            <w:gridSpan w:val="2"/>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3680" w:type="dxa"/>
            <w:tcBorders/>
            <w:shd w:fill="auto" w:val="clear"/>
            <w:vAlign w:val="center"/>
          </w:tcPr>
          <w:p>
            <w:pPr>
              <w:pStyle w:val="TableContents"/>
              <w:spacing w:before="0" w:after="283"/>
              <w:rPr/>
            </w:pPr>
            <w:r>
              <w:rPr/>
              <w:t> </w:t>
            </w:r>
          </w:p>
        </w:tc>
      </w:tr>
      <w:tr>
        <w:trPr/>
        <w:tc>
          <w:tcPr>
            <w:tcW w:w="530" w:type="dxa"/>
            <w:tcBorders/>
            <w:shd w:fill="auto" w:val="clear"/>
            <w:vAlign w:val="center"/>
          </w:tcPr>
          <w:p>
            <w:pPr>
              <w:pStyle w:val="TableContents"/>
              <w:spacing w:before="0" w:after="0"/>
              <w:rPr>
                <w:color w:val="000000"/>
              </w:rPr>
            </w:pPr>
            <w:r>
              <w:rPr>
                <w:color w:val="000000"/>
              </w:rPr>
              <w:t>Date:</w:t>
            </w:r>
          </w:p>
        </w:tc>
        <w:tc>
          <w:tcPr>
            <w:tcW w:w="1235" w:type="dxa"/>
            <w:tcBorders/>
            <w:shd w:fill="auto" w:val="clear"/>
            <w:vAlign w:val="center"/>
          </w:tcPr>
          <w:p>
            <w:pPr>
              <w:pStyle w:val="TableContents"/>
              <w:spacing w:before="0" w:after="0"/>
              <w:rPr/>
            </w:pPr>
            <w:r>
              <w:rPr/>
              <w:t>May 8, 2023</w:t>
            </w:r>
          </w:p>
        </w:tc>
        <w:tc>
          <w:tcPr>
            <w:tcW w:w="365" w:type="dxa"/>
            <w:tcBorders/>
            <w:shd w:fill="auto" w:val="clear"/>
            <w:vAlign w:val="center"/>
          </w:tcPr>
          <w:p>
            <w:pPr>
              <w:pStyle w:val="TableContents"/>
              <w:spacing w:before="0" w:after="0"/>
              <w:rPr>
                <w:color w:val="000000"/>
              </w:rPr>
            </w:pPr>
            <w:r>
              <w:rPr>
                <w:color w:val="000000"/>
              </w:rPr>
              <w:t>By:</w:t>
            </w:r>
          </w:p>
        </w:tc>
        <w:tc>
          <w:tcPr>
            <w:tcW w:w="3680" w:type="dxa"/>
            <w:tcBorders>
              <w:bottom w:val="single" w:sz="12" w:space="0" w:color="000000"/>
            </w:tcBorders>
            <w:shd w:fill="auto" w:val="clear"/>
            <w:tcMar>
              <w:bottom w:w="28" w:type="dxa"/>
            </w:tcMar>
            <w:vAlign w:val="center"/>
          </w:tcPr>
          <w:p>
            <w:pPr>
              <w:pStyle w:val="TableContents"/>
              <w:spacing w:before="0" w:after="0"/>
              <w:jc w:val="center"/>
              <w:rPr>
                <w:color w:val="000000"/>
              </w:rPr>
            </w:pPr>
            <w:r>
              <w:rPr>
                <w:color w:val="000000"/>
              </w:rPr>
              <w:t>/s/ Curtis C. Griffith</w:t>
            </w:r>
          </w:p>
        </w:tc>
      </w:tr>
      <w:tr>
        <w:trPr/>
        <w:tc>
          <w:tcPr>
            <w:tcW w:w="1765" w:type="dxa"/>
            <w:gridSpan w:val="2"/>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3680" w:type="dxa"/>
            <w:tcBorders/>
            <w:shd w:fill="auto" w:val="clear"/>
            <w:vAlign w:val="center"/>
          </w:tcPr>
          <w:p>
            <w:pPr>
              <w:pStyle w:val="TableContents"/>
              <w:spacing w:before="0" w:after="0"/>
              <w:jc w:val="center"/>
              <w:rPr>
                <w:color w:val="000000"/>
              </w:rPr>
            </w:pPr>
            <w:r>
              <w:rPr>
                <w:color w:val="000000"/>
              </w:rPr>
              <w:t>Curtis C. Griffith</w:t>
            </w:r>
          </w:p>
        </w:tc>
      </w:tr>
      <w:tr>
        <w:trPr/>
        <w:tc>
          <w:tcPr>
            <w:tcW w:w="1765" w:type="dxa"/>
            <w:gridSpan w:val="2"/>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3680" w:type="dxa"/>
            <w:tcBorders/>
            <w:shd w:fill="auto" w:val="clear"/>
            <w:vAlign w:val="center"/>
          </w:tcPr>
          <w:p>
            <w:pPr>
              <w:pStyle w:val="TableContents"/>
              <w:spacing w:before="0" w:after="0"/>
              <w:jc w:val="center"/>
              <w:rPr>
                <w:color w:val="000000"/>
              </w:rPr>
            </w:pPr>
            <w:r>
              <w:rPr>
                <w:color w:val="000000"/>
              </w:rPr>
              <w:t>Chairman and Chief Executive Officer</w:t>
            </w:r>
          </w:p>
        </w:tc>
      </w:tr>
      <w:tr>
        <w:trPr/>
        <w:tc>
          <w:tcPr>
            <w:tcW w:w="1765" w:type="dxa"/>
            <w:gridSpan w:val="2"/>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3680" w:type="dxa"/>
            <w:tcBorders/>
            <w:shd w:fill="auto" w:val="clear"/>
            <w:vAlign w:val="center"/>
          </w:tcPr>
          <w:p>
            <w:pPr>
              <w:pStyle w:val="TableContents"/>
              <w:spacing w:before="0" w:after="283"/>
              <w:rPr/>
            </w:pPr>
            <w:r>
              <w:rPr/>
              <w:t> </w:t>
            </w:r>
          </w:p>
        </w:tc>
      </w:tr>
      <w:tr>
        <w:trPr/>
        <w:tc>
          <w:tcPr>
            <w:tcW w:w="530" w:type="dxa"/>
            <w:tcBorders/>
            <w:shd w:fill="auto" w:val="clear"/>
            <w:vAlign w:val="center"/>
          </w:tcPr>
          <w:p>
            <w:pPr>
              <w:pStyle w:val="TableContents"/>
              <w:spacing w:before="0" w:after="0"/>
              <w:rPr>
                <w:color w:val="000000"/>
              </w:rPr>
            </w:pPr>
            <w:r>
              <w:rPr>
                <w:color w:val="000000"/>
              </w:rPr>
              <w:t>Date:</w:t>
            </w:r>
          </w:p>
        </w:tc>
        <w:tc>
          <w:tcPr>
            <w:tcW w:w="1235" w:type="dxa"/>
            <w:tcBorders/>
            <w:shd w:fill="auto" w:val="clear"/>
            <w:vAlign w:val="center"/>
          </w:tcPr>
          <w:p>
            <w:pPr>
              <w:pStyle w:val="TableContents"/>
              <w:spacing w:before="0" w:after="0"/>
              <w:rPr/>
            </w:pPr>
            <w:r>
              <w:rPr/>
              <w:t>May 8, 2023</w:t>
            </w:r>
          </w:p>
        </w:tc>
        <w:tc>
          <w:tcPr>
            <w:tcW w:w="365" w:type="dxa"/>
            <w:tcBorders/>
            <w:shd w:fill="auto" w:val="clear"/>
            <w:vAlign w:val="center"/>
          </w:tcPr>
          <w:p>
            <w:pPr>
              <w:pStyle w:val="TableContents"/>
              <w:spacing w:before="0" w:after="0"/>
              <w:rPr>
                <w:color w:val="000000"/>
              </w:rPr>
            </w:pPr>
            <w:r>
              <w:rPr>
                <w:color w:val="000000"/>
              </w:rPr>
              <w:t>By:</w:t>
            </w:r>
          </w:p>
        </w:tc>
        <w:tc>
          <w:tcPr>
            <w:tcW w:w="3680" w:type="dxa"/>
            <w:tcBorders>
              <w:bottom w:val="single" w:sz="12" w:space="0" w:color="000000"/>
            </w:tcBorders>
            <w:shd w:fill="auto" w:val="clear"/>
            <w:tcMar>
              <w:bottom w:w="28" w:type="dxa"/>
            </w:tcMar>
            <w:vAlign w:val="center"/>
          </w:tcPr>
          <w:p>
            <w:pPr>
              <w:pStyle w:val="TableContents"/>
              <w:spacing w:before="0" w:after="0"/>
              <w:jc w:val="center"/>
              <w:rPr>
                <w:color w:val="000000"/>
              </w:rPr>
            </w:pPr>
            <w:r>
              <w:rPr>
                <w:color w:val="000000"/>
              </w:rPr>
              <w:t>/s/ Steven B. Crockett</w:t>
            </w:r>
          </w:p>
        </w:tc>
      </w:tr>
      <w:tr>
        <w:trPr/>
        <w:tc>
          <w:tcPr>
            <w:tcW w:w="1765" w:type="dxa"/>
            <w:gridSpan w:val="2"/>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3680" w:type="dxa"/>
            <w:tcBorders/>
            <w:shd w:fill="auto" w:val="clear"/>
            <w:vAlign w:val="center"/>
          </w:tcPr>
          <w:p>
            <w:pPr>
              <w:pStyle w:val="TableContents"/>
              <w:spacing w:before="0" w:after="0"/>
              <w:jc w:val="center"/>
              <w:rPr>
                <w:color w:val="000000"/>
              </w:rPr>
            </w:pPr>
            <w:r>
              <w:rPr>
                <w:color w:val="000000"/>
              </w:rPr>
              <w:t>Steven B. Crockett</w:t>
            </w:r>
          </w:p>
        </w:tc>
      </w:tr>
      <w:tr>
        <w:trPr/>
        <w:tc>
          <w:tcPr>
            <w:tcW w:w="1765" w:type="dxa"/>
            <w:gridSpan w:val="2"/>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3680" w:type="dxa"/>
            <w:tcBorders/>
            <w:shd w:fill="auto" w:val="clear"/>
            <w:vAlign w:val="center"/>
          </w:tcPr>
          <w:p>
            <w:pPr>
              <w:pStyle w:val="TableContents"/>
              <w:spacing w:before="0" w:after="0"/>
              <w:jc w:val="center"/>
              <w:rPr>
                <w:color w:val="000000"/>
              </w:rPr>
            </w:pPr>
            <w:r>
              <w:rPr>
                <w:color w:val="000000"/>
              </w:rPr>
              <w:t>Chief Financial Officer and Treasurer</w:t>
            </w:r>
          </w:p>
        </w:tc>
      </w:tr>
    </w:tbl>
    <w:p>
      <w:pPr>
        <w:pStyle w:val="TextBody"/>
        <w:spacing w:before="0" w:after="0"/>
        <w:jc w:val="left"/>
        <w:rPr/>
      </w:pPr>
      <w:r>
        <w:rPr/>
      </w:r>
    </w:p>
    <w:p>
      <w:pPr>
        <w:pStyle w:val="TextBody"/>
        <w:spacing w:before="0" w:after="0"/>
        <w:jc w:val="left"/>
        <w:rPr/>
      </w:pPr>
      <w:r>
        <w:rPr/>
      </w:r>
    </w:p>
    <w:p>
      <w:pPr>
        <w:pStyle w:val="TextBody"/>
        <w:spacing w:before="0" w:after="0"/>
        <w:jc w:val="center"/>
        <w:rPr>
          <w:rFonts w:ascii="Times New Roman" w:hAnsi="Times New Roman"/>
          <w:color w:val="000000"/>
          <w:sz w:val="20"/>
        </w:rPr>
      </w:pPr>
      <w:r>
        <w:rPr>
          <w:rFonts w:ascii="Times New Roman" w:hAnsi="Times New Roman"/>
          <w:b w:val="false"/>
          <w:i w:val="false"/>
          <w:caps w:val="false"/>
          <w:smallCaps w:val="false"/>
          <w:color w:val="000000"/>
          <w:sz w:val="16"/>
        </w:rPr>
        <w:t>54</w:t>
      </w:r>
      <w:r>
        <w:rPr>
          <w:rFonts w:ascii="Times New Roman" w:hAnsi="Times New Roman"/>
          <w:color w:val="000000"/>
          <w:sz w:val="20"/>
        </w:rPr>
        <w:t xml:space="preserve"> </w:t>
      </w:r>
    </w:p>
    <w:p>
      <w:pPr>
        <w:pStyle w:val="HorizontalLine"/>
        <w:jc w:val="left"/>
        <w:rPr/>
      </w:pPr>
      <w:r>
        <w:rPr/>
      </w:r>
      <w:r>
        <w:br w:type="page"/>
      </w:r>
    </w:p>
    <w:p>
      <w:pPr>
        <w:pStyle w:val="HorizontalLine"/>
        <w:pBdr>
          <w:bottom w:val="single" w:sz="20" w:space="0" w:color="808080"/>
        </w:pBdr>
        <w:rPr/>
      </w:pPr>
      <w:r>
        <w:rPr/>
      </w:r>
      <w:bookmarkStart w:id="31" w:name="brhc20052584_ex31-1.htm"/>
      <w:bookmarkStart w:id="32" w:name="ksbrhc20052584_ex311"/>
      <w:bookmarkStart w:id="33" w:name="brhc20052584_ex31-1.htm"/>
      <w:bookmarkStart w:id="34" w:name="ksbrhc20052584_ex311"/>
      <w:bookmarkEnd w:id="33"/>
      <w:bookmarkEnd w:id="34"/>
    </w:p>
    <w:p>
      <w:pPr>
        <w:pStyle w:val="TextBody"/>
        <w:spacing w:before="0" w:after="0"/>
        <w:jc w:val="right"/>
        <w:rPr>
          <w:b/>
        </w:rPr>
      </w:pPr>
      <w:r>
        <w:rPr>
          <w:b/>
        </w:rPr>
        <w:t>Exhibit 31.1</w:t>
      </w:r>
    </w:p>
    <w:p>
      <w:pPr>
        <w:pStyle w:val="TextBody"/>
        <w:spacing w:before="0" w:after="0"/>
        <w:rPr/>
      </w:pPr>
      <w:r>
        <w:rPr/>
      </w:r>
    </w:p>
    <w:p>
      <w:pPr>
        <w:pStyle w:val="TextBody"/>
        <w:spacing w:before="0" w:after="0"/>
        <w:jc w:val="center"/>
        <w:rPr>
          <w:b/>
        </w:rPr>
      </w:pPr>
      <w:r>
        <w:rPr>
          <w:b/>
        </w:rPr>
        <w:t>CERTIFICATION PURSUANT TO</w:t>
      </w:r>
    </w:p>
    <w:p>
      <w:pPr>
        <w:pStyle w:val="TextBody"/>
        <w:spacing w:before="0" w:after="0"/>
        <w:jc w:val="center"/>
        <w:rPr>
          <w:b/>
        </w:rPr>
      </w:pPr>
      <w:r>
        <w:rPr>
          <w:b/>
        </w:rPr>
        <w:t>RULES 13a-14(a) AND 15d-14(a) UNDER THE SECURITIES EXCHANGE ACT OF 1934,</w:t>
      </w:r>
    </w:p>
    <w:p>
      <w:pPr>
        <w:pStyle w:val="TextBody"/>
        <w:spacing w:before="0" w:after="0"/>
        <w:jc w:val="center"/>
        <w:rPr>
          <w:b/>
        </w:rPr>
      </w:pPr>
      <w:r>
        <w:rPr>
          <w:b/>
        </w:rPr>
        <w:t>AS ADOPTED PURSUANT TO SECTION 302 OF THE SARBANES-OXLEY ACT OF 2002</w:t>
      </w:r>
    </w:p>
    <w:p>
      <w:pPr>
        <w:pStyle w:val="TextBody"/>
        <w:spacing w:before="0" w:after="0"/>
        <w:rPr/>
      </w:pPr>
      <w:r>
        <w:rPr/>
      </w:r>
    </w:p>
    <w:p>
      <w:pPr>
        <w:pStyle w:val="TextBody"/>
        <w:spacing w:before="0" w:after="0"/>
        <w:jc w:val="both"/>
        <w:rPr/>
      </w:pPr>
      <w:r>
        <w:rPr/>
        <w:t>I, Curtis C. Griffith, certify that:</w:t>
      </w:r>
    </w:p>
    <w:p>
      <w:pPr>
        <w:pStyle w:val="TextBody"/>
        <w:spacing w:before="0" w:after="0"/>
        <w:rPr/>
      </w:pPr>
      <w:r>
        <w:rPr/>
      </w:r>
    </w:p>
    <w:p>
      <w:pPr>
        <w:pStyle w:val="Normal"/>
        <w:spacing w:before="0" w:after="0"/>
        <w:rPr>
          <w:sz w:val="4"/>
          <w:szCs w:val="4"/>
        </w:rPr>
      </w:pPr>
      <w:r>
        <w:rPr>
          <w:sz w:val="4"/>
          <w:szCs w:val="4"/>
        </w:rPr>
      </w:r>
      <w:bookmarkStart w:id="35" w:name="z2b6dac3a226548da812cac82046c12c4"/>
      <w:bookmarkStart w:id="36" w:name="z2b6dac3a226548da812cac82046c12c4"/>
      <w:bookmarkEnd w:id="36"/>
    </w:p>
    <w:tbl>
      <w:tblPr>
        <w:tblW w:w="10205" w:type="dxa"/>
        <w:jc w:val="left"/>
        <w:tblInd w:w="0" w:type="dxa"/>
        <w:tblCellMar>
          <w:top w:w="0" w:type="dxa"/>
          <w:left w:w="0" w:type="dxa"/>
          <w:bottom w:w="0" w:type="dxa"/>
          <w:right w:w="0" w:type="dxa"/>
        </w:tblCellMar>
      </w:tblPr>
      <w:tblGrid>
        <w:gridCol w:w="194"/>
        <w:gridCol w:w="10011"/>
      </w:tblGrid>
      <w:tr>
        <w:trPr/>
        <w:tc>
          <w:tcPr>
            <w:tcW w:w="194" w:type="dxa"/>
            <w:tcBorders/>
            <w:shd w:fill="auto" w:val="clear"/>
            <w:vAlign w:val="center"/>
          </w:tcPr>
          <w:p>
            <w:pPr>
              <w:pStyle w:val="TableContents"/>
              <w:spacing w:before="0" w:after="283"/>
              <w:rPr>
                <w:color w:val="000000"/>
              </w:rPr>
            </w:pPr>
            <w:r>
              <w:rPr>
                <w:color w:val="000000"/>
              </w:rPr>
              <w:t>1.</w:t>
            </w:r>
          </w:p>
        </w:tc>
        <w:tc>
          <w:tcPr>
            <w:tcW w:w="10011" w:type="dxa"/>
            <w:tcBorders/>
            <w:shd w:fill="auto" w:val="clear"/>
            <w:vAlign w:val="center"/>
          </w:tcPr>
          <w:p>
            <w:pPr>
              <w:pStyle w:val="TableContents"/>
              <w:spacing w:before="0" w:after="0"/>
              <w:jc w:val="both"/>
              <w:rPr>
                <w:color w:val="000000"/>
              </w:rPr>
            </w:pPr>
            <w:r>
              <w:rPr>
                <w:color w:val="000000"/>
              </w:rPr>
              <w:t>I have reviewed this Quarterly Report on Form 10-Q of South Plains Financial, Inc. (the “registrant”) for the quarter ended March 31, 2023 (this “report”);</w:t>
            </w:r>
          </w:p>
        </w:tc>
      </w:tr>
    </w:tbl>
    <w:p>
      <w:pPr>
        <w:pStyle w:val="TextBody"/>
        <w:spacing w:before="0" w:after="0"/>
        <w:rPr/>
      </w:pPr>
      <w:r>
        <w:rPr/>
      </w:r>
    </w:p>
    <w:p>
      <w:pPr>
        <w:pStyle w:val="Normal"/>
        <w:spacing w:before="0" w:after="0"/>
        <w:rPr>
          <w:sz w:val="4"/>
          <w:szCs w:val="4"/>
        </w:rPr>
      </w:pPr>
      <w:r>
        <w:rPr>
          <w:sz w:val="4"/>
          <w:szCs w:val="4"/>
        </w:rPr>
      </w:r>
      <w:bookmarkStart w:id="37" w:name="ze7ed125f197246a496083c301acea9ac"/>
      <w:bookmarkStart w:id="38" w:name="ze7ed125f197246a496083c301acea9ac"/>
      <w:bookmarkEnd w:id="38"/>
    </w:p>
    <w:tbl>
      <w:tblPr>
        <w:tblW w:w="10205" w:type="dxa"/>
        <w:jc w:val="left"/>
        <w:tblInd w:w="0" w:type="dxa"/>
        <w:tblCellMar>
          <w:top w:w="0" w:type="dxa"/>
          <w:left w:w="0" w:type="dxa"/>
          <w:bottom w:w="0" w:type="dxa"/>
          <w:right w:w="0" w:type="dxa"/>
        </w:tblCellMar>
      </w:tblPr>
      <w:tblGrid>
        <w:gridCol w:w="174"/>
        <w:gridCol w:w="10031"/>
      </w:tblGrid>
      <w:tr>
        <w:trPr/>
        <w:tc>
          <w:tcPr>
            <w:tcW w:w="174" w:type="dxa"/>
            <w:tcBorders/>
            <w:shd w:fill="auto" w:val="clear"/>
            <w:vAlign w:val="center"/>
          </w:tcPr>
          <w:p>
            <w:pPr>
              <w:pStyle w:val="TableContents"/>
              <w:spacing w:before="0" w:after="283"/>
              <w:rPr>
                <w:color w:val="000000"/>
              </w:rPr>
            </w:pPr>
            <w:r>
              <w:rPr>
                <w:color w:val="000000"/>
              </w:rPr>
              <w:t>2.</w:t>
            </w:r>
          </w:p>
        </w:tc>
        <w:tc>
          <w:tcPr>
            <w:tcW w:w="10031" w:type="dxa"/>
            <w:tcBorders/>
            <w:shd w:fill="auto" w:val="clear"/>
            <w:vAlign w:val="center"/>
          </w:tcPr>
          <w:p>
            <w:pPr>
              <w:pStyle w:val="TableContents"/>
              <w:spacing w:before="0" w:after="0"/>
              <w:jc w:val="both"/>
              <w:rPr>
                <w:color w:val="000000"/>
              </w:rPr>
            </w:pPr>
            <w:r>
              <w:rPr>
                <w:color w:val="00000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before="0" w:after="0"/>
        <w:rPr/>
      </w:pPr>
      <w:r>
        <w:rPr/>
      </w:r>
    </w:p>
    <w:p>
      <w:pPr>
        <w:pStyle w:val="Normal"/>
        <w:spacing w:before="0" w:after="0"/>
        <w:rPr>
          <w:sz w:val="4"/>
          <w:szCs w:val="4"/>
        </w:rPr>
      </w:pPr>
      <w:r>
        <w:rPr>
          <w:sz w:val="4"/>
          <w:szCs w:val="4"/>
        </w:rPr>
      </w:r>
      <w:bookmarkStart w:id="39" w:name="ze3c8822069124f80aa05bf01afa6a57c"/>
      <w:bookmarkStart w:id="40" w:name="ze3c8822069124f80aa05bf01afa6a57c"/>
      <w:bookmarkEnd w:id="40"/>
    </w:p>
    <w:tbl>
      <w:tblPr>
        <w:tblW w:w="10205" w:type="dxa"/>
        <w:jc w:val="left"/>
        <w:tblInd w:w="0" w:type="dxa"/>
        <w:tblCellMar>
          <w:top w:w="0" w:type="dxa"/>
          <w:left w:w="0" w:type="dxa"/>
          <w:bottom w:w="0" w:type="dxa"/>
          <w:right w:w="0" w:type="dxa"/>
        </w:tblCellMar>
      </w:tblPr>
      <w:tblGrid>
        <w:gridCol w:w="177"/>
        <w:gridCol w:w="10028"/>
      </w:tblGrid>
      <w:tr>
        <w:trPr/>
        <w:tc>
          <w:tcPr>
            <w:tcW w:w="177" w:type="dxa"/>
            <w:tcBorders/>
            <w:shd w:fill="auto" w:val="clear"/>
            <w:vAlign w:val="center"/>
          </w:tcPr>
          <w:p>
            <w:pPr>
              <w:pStyle w:val="TableContents"/>
              <w:spacing w:before="0" w:after="283"/>
              <w:rPr/>
            </w:pPr>
            <w:r>
              <w:rPr/>
              <w:t>3.</w:t>
            </w:r>
          </w:p>
        </w:tc>
        <w:tc>
          <w:tcPr>
            <w:tcW w:w="10028" w:type="dxa"/>
            <w:tcBorders/>
            <w:shd w:fill="auto" w:val="clear"/>
            <w:vAlign w:val="center"/>
          </w:tcPr>
          <w:p>
            <w:pPr>
              <w:pStyle w:val="TableContents"/>
              <w:spacing w:before="0" w:after="0"/>
              <w:jc w:val="both"/>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spacing w:before="0" w:after="0"/>
        <w:rPr/>
      </w:pPr>
      <w:r>
        <w:rPr/>
      </w:r>
    </w:p>
    <w:p>
      <w:pPr>
        <w:pStyle w:val="Normal"/>
        <w:spacing w:before="0" w:after="0"/>
        <w:rPr>
          <w:sz w:val="4"/>
          <w:szCs w:val="4"/>
        </w:rPr>
      </w:pPr>
      <w:r>
        <w:rPr>
          <w:sz w:val="4"/>
          <w:szCs w:val="4"/>
        </w:rPr>
      </w:r>
      <w:bookmarkStart w:id="41" w:name="z9d41f082a0514fc9ab9b77f237ad5141"/>
      <w:bookmarkStart w:id="42" w:name="z9d41f082a0514fc9ab9b77f237ad5141"/>
      <w:bookmarkEnd w:id="42"/>
    </w:p>
    <w:tbl>
      <w:tblPr>
        <w:tblW w:w="10205" w:type="dxa"/>
        <w:jc w:val="left"/>
        <w:tblInd w:w="0" w:type="dxa"/>
        <w:tblCellMar>
          <w:top w:w="0" w:type="dxa"/>
          <w:left w:w="0" w:type="dxa"/>
          <w:bottom w:w="0" w:type="dxa"/>
          <w:right w:w="0" w:type="dxa"/>
        </w:tblCellMar>
      </w:tblPr>
      <w:tblGrid>
        <w:gridCol w:w="173"/>
        <w:gridCol w:w="10032"/>
      </w:tblGrid>
      <w:tr>
        <w:trPr/>
        <w:tc>
          <w:tcPr>
            <w:tcW w:w="173" w:type="dxa"/>
            <w:tcBorders/>
            <w:shd w:fill="auto" w:val="clear"/>
            <w:vAlign w:val="center"/>
          </w:tcPr>
          <w:p>
            <w:pPr>
              <w:pStyle w:val="TableContents"/>
              <w:spacing w:before="0" w:after="283"/>
              <w:rPr/>
            </w:pPr>
            <w:r>
              <w:rPr/>
              <w:t>4.</w:t>
            </w:r>
          </w:p>
        </w:tc>
        <w:tc>
          <w:tcPr>
            <w:tcW w:w="10032" w:type="dxa"/>
            <w:tcBorders/>
            <w:shd w:fill="auto" w:val="clear"/>
            <w:vAlign w:val="center"/>
          </w:tcPr>
          <w:p>
            <w:pPr>
              <w:pStyle w:val="TableContents"/>
              <w:spacing w:before="0" w:after="0"/>
              <w:jc w:val="both"/>
              <w:rPr/>
            </w:pPr>
            <w:r>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spacing w:before="0" w:after="0"/>
        <w:rPr/>
      </w:pPr>
      <w:r>
        <w:rPr/>
      </w:r>
    </w:p>
    <w:p>
      <w:pPr>
        <w:pStyle w:val="Normal"/>
        <w:spacing w:before="0" w:after="0"/>
        <w:rPr>
          <w:sz w:val="4"/>
          <w:szCs w:val="4"/>
        </w:rPr>
      </w:pPr>
      <w:r>
        <w:rPr>
          <w:sz w:val="4"/>
          <w:szCs w:val="4"/>
        </w:rPr>
      </w:r>
      <w:bookmarkStart w:id="43" w:name="z5d21c6687ecd4e1c86d6fb51aa8d4293"/>
      <w:bookmarkStart w:id="44" w:name="z5d21c6687ecd4e1c86d6fb51aa8d4293"/>
      <w:bookmarkEnd w:id="44"/>
    </w:p>
    <w:tbl>
      <w:tblPr>
        <w:tblW w:w="10205" w:type="dxa"/>
        <w:jc w:val="left"/>
        <w:tblInd w:w="0" w:type="dxa"/>
        <w:tblCellMar>
          <w:top w:w="0" w:type="dxa"/>
          <w:left w:w="0" w:type="dxa"/>
          <w:bottom w:w="0" w:type="dxa"/>
          <w:right w:w="0" w:type="dxa"/>
        </w:tblCellMar>
      </w:tblPr>
      <w:tblGrid>
        <w:gridCol w:w="75"/>
        <w:gridCol w:w="219"/>
        <w:gridCol w:w="9911"/>
      </w:tblGrid>
      <w:tr>
        <w:trPr/>
        <w:tc>
          <w:tcPr>
            <w:tcW w:w="75" w:type="dxa"/>
            <w:tcBorders/>
            <w:shd w:fill="auto" w:val="clear"/>
            <w:vAlign w:val="center"/>
          </w:tcPr>
          <w:p>
            <w:pPr>
              <w:pStyle w:val="TableContents"/>
              <w:spacing w:before="0" w:after="283"/>
              <w:rPr/>
            </w:pPr>
            <w:r>
              <w:rPr/>
              <w:t> </w:t>
            </w:r>
          </w:p>
        </w:tc>
        <w:tc>
          <w:tcPr>
            <w:tcW w:w="219" w:type="dxa"/>
            <w:tcBorders/>
            <w:shd w:fill="auto" w:val="clear"/>
            <w:vAlign w:val="center"/>
          </w:tcPr>
          <w:p>
            <w:pPr>
              <w:pStyle w:val="TableContents"/>
              <w:spacing w:before="0" w:after="283"/>
              <w:rPr/>
            </w:pPr>
            <w:r>
              <w:rPr/>
              <w:t>(a)</w:t>
            </w:r>
          </w:p>
        </w:tc>
        <w:tc>
          <w:tcPr>
            <w:tcW w:w="9911" w:type="dxa"/>
            <w:tcBorders/>
            <w:shd w:fill="auto" w:val="clear"/>
            <w:vAlign w:val="center"/>
          </w:tcPr>
          <w:p>
            <w:pPr>
              <w:pStyle w:val="TableContents"/>
              <w:spacing w:before="0" w:after="0"/>
              <w:jc w:val="both"/>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spacing w:before="0" w:after="0"/>
        <w:rPr/>
      </w:pPr>
      <w:r>
        <w:rPr/>
      </w:r>
    </w:p>
    <w:p>
      <w:pPr>
        <w:pStyle w:val="Normal"/>
        <w:spacing w:before="0" w:after="0"/>
        <w:rPr>
          <w:sz w:val="4"/>
          <w:szCs w:val="4"/>
        </w:rPr>
      </w:pPr>
      <w:r>
        <w:rPr>
          <w:sz w:val="4"/>
          <w:szCs w:val="4"/>
        </w:rPr>
      </w:r>
      <w:bookmarkStart w:id="45" w:name="zca01e72d7d50403b99f0d5fc75a6e7e4"/>
      <w:bookmarkStart w:id="46" w:name="zca01e72d7d50403b99f0d5fc75a6e7e4"/>
      <w:bookmarkEnd w:id="46"/>
    </w:p>
    <w:tbl>
      <w:tblPr>
        <w:tblW w:w="10205" w:type="dxa"/>
        <w:jc w:val="left"/>
        <w:tblInd w:w="0" w:type="dxa"/>
        <w:tblCellMar>
          <w:top w:w="0" w:type="dxa"/>
          <w:left w:w="0" w:type="dxa"/>
          <w:bottom w:w="0" w:type="dxa"/>
          <w:right w:w="0" w:type="dxa"/>
        </w:tblCellMar>
      </w:tblPr>
      <w:tblGrid>
        <w:gridCol w:w="38"/>
        <w:gridCol w:w="235"/>
        <w:gridCol w:w="9932"/>
      </w:tblGrid>
      <w:tr>
        <w:trPr/>
        <w:tc>
          <w:tcPr>
            <w:tcW w:w="38" w:type="dxa"/>
            <w:tcBorders/>
            <w:shd w:fill="auto" w:val="clear"/>
            <w:vAlign w:val="center"/>
          </w:tcPr>
          <w:p>
            <w:pPr>
              <w:pStyle w:val="TableContents"/>
              <w:spacing w:before="0" w:after="283"/>
              <w:rPr/>
            </w:pPr>
            <w:r>
              <w:rPr/>
            </w:r>
          </w:p>
        </w:tc>
        <w:tc>
          <w:tcPr>
            <w:tcW w:w="235" w:type="dxa"/>
            <w:tcBorders/>
            <w:shd w:fill="auto" w:val="clear"/>
            <w:vAlign w:val="center"/>
          </w:tcPr>
          <w:p>
            <w:pPr>
              <w:pStyle w:val="TableContents"/>
              <w:spacing w:before="0" w:after="283"/>
              <w:rPr/>
            </w:pPr>
            <w:r>
              <w:rPr/>
              <w:t>(b)</w:t>
            </w:r>
          </w:p>
        </w:tc>
        <w:tc>
          <w:tcPr>
            <w:tcW w:w="9932" w:type="dxa"/>
            <w:tcBorders/>
            <w:shd w:fill="auto" w:val="clear"/>
            <w:vAlign w:val="center"/>
          </w:tcPr>
          <w:p>
            <w:pPr>
              <w:pStyle w:val="TableContents"/>
              <w:spacing w:before="0" w:after="0"/>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spacing w:before="0" w:after="0"/>
        <w:rPr/>
      </w:pPr>
      <w:r>
        <w:rPr/>
      </w:r>
    </w:p>
    <w:p>
      <w:pPr>
        <w:pStyle w:val="Normal"/>
        <w:spacing w:before="0" w:after="0"/>
        <w:rPr>
          <w:sz w:val="4"/>
          <w:szCs w:val="4"/>
        </w:rPr>
      </w:pPr>
      <w:r>
        <w:rPr>
          <w:sz w:val="4"/>
          <w:szCs w:val="4"/>
        </w:rPr>
      </w:r>
      <w:bookmarkStart w:id="47" w:name="zb241524d21314d92a9881fcd61fbf23e"/>
      <w:bookmarkStart w:id="48" w:name="zb241524d21314d92a9881fcd61fbf23e"/>
      <w:bookmarkEnd w:id="48"/>
    </w:p>
    <w:tbl>
      <w:tblPr>
        <w:tblW w:w="10205" w:type="dxa"/>
        <w:jc w:val="left"/>
        <w:tblInd w:w="0" w:type="dxa"/>
        <w:tblCellMar>
          <w:top w:w="0" w:type="dxa"/>
          <w:left w:w="0" w:type="dxa"/>
          <w:bottom w:w="0" w:type="dxa"/>
          <w:right w:w="0" w:type="dxa"/>
        </w:tblCellMar>
      </w:tblPr>
      <w:tblGrid>
        <w:gridCol w:w="38"/>
        <w:gridCol w:w="226"/>
        <w:gridCol w:w="9941"/>
      </w:tblGrid>
      <w:tr>
        <w:trPr/>
        <w:tc>
          <w:tcPr>
            <w:tcW w:w="38" w:type="dxa"/>
            <w:tcBorders/>
            <w:shd w:fill="auto" w:val="clear"/>
            <w:vAlign w:val="center"/>
          </w:tcPr>
          <w:p>
            <w:pPr>
              <w:pStyle w:val="TableContents"/>
              <w:spacing w:before="0" w:after="283"/>
              <w:rPr/>
            </w:pPr>
            <w:r>
              <w:rPr/>
            </w:r>
          </w:p>
        </w:tc>
        <w:tc>
          <w:tcPr>
            <w:tcW w:w="226" w:type="dxa"/>
            <w:tcBorders/>
            <w:shd w:fill="auto" w:val="clear"/>
            <w:vAlign w:val="center"/>
          </w:tcPr>
          <w:p>
            <w:pPr>
              <w:pStyle w:val="TableContents"/>
              <w:spacing w:before="0" w:after="283"/>
              <w:rPr/>
            </w:pPr>
            <w:r>
              <w:rPr/>
              <w:t>(c)</w:t>
            </w:r>
          </w:p>
        </w:tc>
        <w:tc>
          <w:tcPr>
            <w:tcW w:w="9941" w:type="dxa"/>
            <w:tcBorders/>
            <w:shd w:fill="auto" w:val="clear"/>
            <w:vAlign w:val="center"/>
          </w:tcPr>
          <w:p>
            <w:pPr>
              <w:pStyle w:val="TableContents"/>
              <w:spacing w:before="0" w:after="0"/>
              <w:jc w:val="both"/>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spacing w:before="0" w:after="0"/>
        <w:rPr/>
      </w:pPr>
      <w:r>
        <w:rPr/>
      </w:r>
    </w:p>
    <w:p>
      <w:pPr>
        <w:pStyle w:val="Normal"/>
        <w:spacing w:before="0" w:after="0"/>
        <w:rPr>
          <w:sz w:val="4"/>
          <w:szCs w:val="4"/>
        </w:rPr>
      </w:pPr>
      <w:r>
        <w:rPr>
          <w:sz w:val="4"/>
          <w:szCs w:val="4"/>
        </w:rPr>
      </w:r>
      <w:bookmarkStart w:id="49" w:name="z718e102a2b9d4eb891e605a4d80b3222"/>
      <w:bookmarkStart w:id="50" w:name="z718e102a2b9d4eb891e605a4d80b3222"/>
      <w:bookmarkEnd w:id="50"/>
    </w:p>
    <w:tbl>
      <w:tblPr>
        <w:tblW w:w="10205" w:type="dxa"/>
        <w:jc w:val="left"/>
        <w:tblInd w:w="0" w:type="dxa"/>
        <w:tblCellMar>
          <w:top w:w="0" w:type="dxa"/>
          <w:left w:w="0" w:type="dxa"/>
          <w:bottom w:w="0" w:type="dxa"/>
          <w:right w:w="0" w:type="dxa"/>
        </w:tblCellMar>
      </w:tblPr>
      <w:tblGrid>
        <w:gridCol w:w="38"/>
        <w:gridCol w:w="235"/>
        <w:gridCol w:w="9932"/>
      </w:tblGrid>
      <w:tr>
        <w:trPr/>
        <w:tc>
          <w:tcPr>
            <w:tcW w:w="38" w:type="dxa"/>
            <w:tcBorders/>
            <w:shd w:fill="auto" w:val="clear"/>
            <w:vAlign w:val="center"/>
          </w:tcPr>
          <w:p>
            <w:pPr>
              <w:pStyle w:val="TableContents"/>
              <w:spacing w:before="0" w:after="283"/>
              <w:rPr/>
            </w:pPr>
            <w:r>
              <w:rPr/>
            </w:r>
          </w:p>
        </w:tc>
        <w:tc>
          <w:tcPr>
            <w:tcW w:w="235" w:type="dxa"/>
            <w:tcBorders/>
            <w:shd w:fill="auto" w:val="clear"/>
            <w:vAlign w:val="center"/>
          </w:tcPr>
          <w:p>
            <w:pPr>
              <w:pStyle w:val="TableContents"/>
              <w:spacing w:before="0" w:after="283"/>
              <w:rPr/>
            </w:pPr>
            <w:r>
              <w:rPr/>
              <w:t>(d)</w:t>
            </w:r>
          </w:p>
        </w:tc>
        <w:tc>
          <w:tcPr>
            <w:tcW w:w="9932" w:type="dxa"/>
            <w:tcBorders/>
            <w:shd w:fill="auto" w:val="clear"/>
            <w:vAlign w:val="center"/>
          </w:tcPr>
          <w:p>
            <w:pPr>
              <w:pStyle w:val="TableContents"/>
              <w:spacing w:before="0" w:after="0"/>
              <w:jc w:val="both"/>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spacing w:before="0" w:after="0"/>
        <w:rPr/>
      </w:pPr>
      <w:r>
        <w:rPr/>
      </w:r>
    </w:p>
    <w:p>
      <w:pPr>
        <w:pStyle w:val="Normal"/>
        <w:spacing w:before="0" w:after="0"/>
        <w:rPr>
          <w:sz w:val="4"/>
          <w:szCs w:val="4"/>
        </w:rPr>
      </w:pPr>
      <w:r>
        <w:rPr>
          <w:sz w:val="4"/>
          <w:szCs w:val="4"/>
        </w:rPr>
      </w:r>
      <w:bookmarkStart w:id="51" w:name="zf8f19cedfc3944fc889cd039a096ceda"/>
      <w:bookmarkStart w:id="52" w:name="zf8f19cedfc3944fc889cd039a096ceda"/>
      <w:bookmarkEnd w:id="52"/>
    </w:p>
    <w:tbl>
      <w:tblPr>
        <w:tblW w:w="10205" w:type="dxa"/>
        <w:jc w:val="left"/>
        <w:tblInd w:w="0" w:type="dxa"/>
        <w:tblCellMar>
          <w:top w:w="0" w:type="dxa"/>
          <w:left w:w="0" w:type="dxa"/>
          <w:bottom w:w="0" w:type="dxa"/>
          <w:right w:w="0" w:type="dxa"/>
        </w:tblCellMar>
      </w:tblPr>
      <w:tblGrid>
        <w:gridCol w:w="176"/>
        <w:gridCol w:w="10029"/>
      </w:tblGrid>
      <w:tr>
        <w:trPr/>
        <w:tc>
          <w:tcPr>
            <w:tcW w:w="176" w:type="dxa"/>
            <w:tcBorders/>
            <w:shd w:fill="auto" w:val="clear"/>
            <w:vAlign w:val="center"/>
          </w:tcPr>
          <w:p>
            <w:pPr>
              <w:pStyle w:val="TableContents"/>
              <w:spacing w:before="0" w:after="283"/>
              <w:rPr/>
            </w:pPr>
            <w:r>
              <w:rPr/>
              <w:t>5.</w:t>
            </w:r>
          </w:p>
        </w:tc>
        <w:tc>
          <w:tcPr>
            <w:tcW w:w="10029" w:type="dxa"/>
            <w:tcBorders/>
            <w:shd w:fill="auto" w:val="clear"/>
            <w:vAlign w:val="center"/>
          </w:tcPr>
          <w:p>
            <w:pPr>
              <w:pStyle w:val="TableContents"/>
              <w:spacing w:before="0" w:after="0"/>
              <w:jc w:val="both"/>
              <w:rPr/>
            </w:pPr>
            <w:r>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spacing w:before="0" w:after="0"/>
        <w:rPr/>
      </w:pPr>
      <w:r>
        <w:rPr/>
      </w:r>
    </w:p>
    <w:p>
      <w:pPr>
        <w:pStyle w:val="Normal"/>
        <w:spacing w:before="0" w:after="0"/>
        <w:rPr>
          <w:sz w:val="4"/>
          <w:szCs w:val="4"/>
        </w:rPr>
      </w:pPr>
      <w:r>
        <w:rPr>
          <w:sz w:val="4"/>
          <w:szCs w:val="4"/>
        </w:rPr>
      </w:r>
      <w:bookmarkStart w:id="53" w:name="zc61c14251eba4d3096f91b54b673f4e6"/>
      <w:bookmarkStart w:id="54" w:name="zc61c14251eba4d3096f91b54b673f4e6"/>
      <w:bookmarkEnd w:id="54"/>
    </w:p>
    <w:tbl>
      <w:tblPr>
        <w:tblW w:w="10205" w:type="dxa"/>
        <w:jc w:val="left"/>
        <w:tblInd w:w="0" w:type="dxa"/>
        <w:tblCellMar>
          <w:top w:w="0" w:type="dxa"/>
          <w:left w:w="0" w:type="dxa"/>
          <w:bottom w:w="0" w:type="dxa"/>
          <w:right w:w="0" w:type="dxa"/>
        </w:tblCellMar>
      </w:tblPr>
      <w:tblGrid>
        <w:gridCol w:w="38"/>
        <w:gridCol w:w="228"/>
        <w:gridCol w:w="9939"/>
      </w:tblGrid>
      <w:tr>
        <w:trPr/>
        <w:tc>
          <w:tcPr>
            <w:tcW w:w="38" w:type="dxa"/>
            <w:tcBorders/>
            <w:shd w:fill="auto" w:val="clear"/>
            <w:vAlign w:val="center"/>
          </w:tcPr>
          <w:p>
            <w:pPr>
              <w:pStyle w:val="TableContents"/>
              <w:spacing w:before="0" w:after="283"/>
              <w:rPr/>
            </w:pPr>
            <w:r>
              <w:rPr/>
            </w:r>
          </w:p>
        </w:tc>
        <w:tc>
          <w:tcPr>
            <w:tcW w:w="228" w:type="dxa"/>
            <w:tcBorders/>
            <w:shd w:fill="auto" w:val="clear"/>
            <w:vAlign w:val="center"/>
          </w:tcPr>
          <w:p>
            <w:pPr>
              <w:pStyle w:val="TableContents"/>
              <w:spacing w:before="0" w:after="283"/>
              <w:rPr/>
            </w:pPr>
            <w:r>
              <w:rPr/>
              <w:t>(a)</w:t>
            </w:r>
          </w:p>
        </w:tc>
        <w:tc>
          <w:tcPr>
            <w:tcW w:w="9939" w:type="dxa"/>
            <w:tcBorders/>
            <w:shd w:fill="auto" w:val="clear"/>
            <w:vAlign w:val="center"/>
          </w:tcPr>
          <w:p>
            <w:pPr>
              <w:pStyle w:val="TableContents"/>
              <w:spacing w:before="0" w:after="0"/>
              <w:jc w:val="both"/>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spacing w:before="0" w:after="0"/>
        <w:rPr/>
      </w:pPr>
      <w:r>
        <w:rPr/>
      </w:r>
    </w:p>
    <w:p>
      <w:pPr>
        <w:pStyle w:val="Normal"/>
        <w:spacing w:before="0" w:after="0"/>
        <w:rPr>
          <w:sz w:val="4"/>
          <w:szCs w:val="4"/>
        </w:rPr>
      </w:pPr>
      <w:r>
        <w:rPr>
          <w:sz w:val="4"/>
          <w:szCs w:val="4"/>
        </w:rPr>
      </w:r>
      <w:bookmarkStart w:id="55" w:name="z56a7034558b24e919e5690d7629f1fa3"/>
      <w:bookmarkStart w:id="56" w:name="z56a7034558b24e919e5690d7629f1fa3"/>
      <w:bookmarkEnd w:id="56"/>
    </w:p>
    <w:tbl>
      <w:tblPr>
        <w:tblW w:w="10205" w:type="dxa"/>
        <w:jc w:val="left"/>
        <w:tblInd w:w="0" w:type="dxa"/>
        <w:tblCellMar>
          <w:top w:w="0" w:type="dxa"/>
          <w:left w:w="0" w:type="dxa"/>
          <w:bottom w:w="0" w:type="dxa"/>
          <w:right w:w="0" w:type="dxa"/>
        </w:tblCellMar>
      </w:tblPr>
      <w:tblGrid>
        <w:gridCol w:w="38"/>
        <w:gridCol w:w="259"/>
        <w:gridCol w:w="9908"/>
      </w:tblGrid>
      <w:tr>
        <w:trPr/>
        <w:tc>
          <w:tcPr>
            <w:tcW w:w="38" w:type="dxa"/>
            <w:tcBorders/>
            <w:shd w:fill="auto" w:val="clear"/>
            <w:vAlign w:val="center"/>
          </w:tcPr>
          <w:p>
            <w:pPr>
              <w:pStyle w:val="TableContents"/>
              <w:spacing w:before="0" w:after="283"/>
              <w:rPr/>
            </w:pPr>
            <w:r>
              <w:rPr/>
            </w:r>
          </w:p>
        </w:tc>
        <w:tc>
          <w:tcPr>
            <w:tcW w:w="259" w:type="dxa"/>
            <w:tcBorders/>
            <w:shd w:fill="auto" w:val="clear"/>
            <w:vAlign w:val="center"/>
          </w:tcPr>
          <w:p>
            <w:pPr>
              <w:pStyle w:val="TableContents"/>
              <w:spacing w:before="0" w:after="283"/>
              <w:rPr/>
            </w:pPr>
            <w:r>
              <w:rPr/>
              <w:t>(b)</w:t>
            </w:r>
          </w:p>
        </w:tc>
        <w:tc>
          <w:tcPr>
            <w:tcW w:w="9908" w:type="dxa"/>
            <w:tcBorders/>
            <w:shd w:fill="auto" w:val="clear"/>
            <w:vAlign w:val="center"/>
          </w:tcPr>
          <w:p>
            <w:pPr>
              <w:pStyle w:val="TableContents"/>
              <w:spacing w:before="0" w:after="0"/>
              <w:jc w:val="both"/>
              <w:rPr/>
            </w:pPr>
            <w:r>
              <w:rPr/>
              <w:t>Any fraud, whether or not material, that involves management or other employees who have a significant role in the registrant’s internal control over financial reporting.</w:t>
            </w:r>
          </w:p>
        </w:tc>
      </w:tr>
    </w:tbl>
    <w:p>
      <w:pPr>
        <w:pStyle w:val="TextBody"/>
        <w:spacing w:before="0" w:after="0"/>
        <w:rPr/>
      </w:pPr>
      <w:r>
        <w:rPr/>
      </w:r>
    </w:p>
    <w:p>
      <w:pPr>
        <w:pStyle w:val="Normal"/>
        <w:spacing w:before="0" w:after="0"/>
        <w:rPr>
          <w:sz w:val="4"/>
          <w:szCs w:val="4"/>
        </w:rPr>
      </w:pPr>
      <w:r>
        <w:rPr>
          <w:sz w:val="4"/>
          <w:szCs w:val="4"/>
        </w:rPr>
      </w:r>
      <w:bookmarkStart w:id="57" w:name="z379c71d5077749cd9e8cf5f605bed461"/>
      <w:bookmarkStart w:id="58" w:name="z379c71d5077749cd9e8cf5f605bed461"/>
      <w:bookmarkEnd w:id="58"/>
    </w:p>
    <w:tbl>
      <w:tblPr>
        <w:tblW w:w="5850" w:type="dxa"/>
        <w:jc w:val="left"/>
        <w:tblInd w:w="0" w:type="dxa"/>
        <w:tblCellMar>
          <w:top w:w="0" w:type="dxa"/>
          <w:left w:w="0" w:type="dxa"/>
          <w:bottom w:w="0" w:type="dxa"/>
          <w:right w:w="0" w:type="dxa"/>
        </w:tblCellMar>
      </w:tblPr>
      <w:tblGrid>
        <w:gridCol w:w="1805"/>
        <w:gridCol w:w="365"/>
        <w:gridCol w:w="3680"/>
      </w:tblGrid>
      <w:tr>
        <w:trPr/>
        <w:tc>
          <w:tcPr>
            <w:tcW w:w="1805" w:type="dxa"/>
            <w:tcBorders/>
            <w:shd w:fill="auto" w:val="clear"/>
            <w:vAlign w:val="center"/>
          </w:tcPr>
          <w:p>
            <w:pPr>
              <w:pStyle w:val="TableContents"/>
              <w:spacing w:before="0" w:after="0"/>
              <w:rPr/>
            </w:pPr>
            <w:r>
              <w:rPr/>
              <w:t>Date: May 8, 2023</w:t>
            </w:r>
          </w:p>
        </w:tc>
        <w:tc>
          <w:tcPr>
            <w:tcW w:w="365" w:type="dxa"/>
            <w:tcBorders/>
            <w:shd w:fill="auto" w:val="clear"/>
            <w:vAlign w:val="center"/>
          </w:tcPr>
          <w:p>
            <w:pPr>
              <w:pStyle w:val="TableContents"/>
              <w:spacing w:before="0" w:after="0"/>
              <w:rPr/>
            </w:pPr>
            <w:r>
              <w:rPr/>
              <w:t>By:</w:t>
            </w:r>
          </w:p>
        </w:tc>
        <w:tc>
          <w:tcPr>
            <w:tcW w:w="3680" w:type="dxa"/>
            <w:tcBorders>
              <w:bottom w:val="single" w:sz="12" w:space="0" w:color="000000"/>
            </w:tcBorders>
            <w:shd w:fill="auto" w:val="clear"/>
            <w:tcMar>
              <w:bottom w:w="28" w:type="dxa"/>
            </w:tcMar>
            <w:vAlign w:val="center"/>
          </w:tcPr>
          <w:p>
            <w:pPr>
              <w:pStyle w:val="TableContents"/>
              <w:spacing w:before="0" w:after="0"/>
              <w:jc w:val="center"/>
              <w:rPr/>
            </w:pPr>
            <w:r>
              <w:rPr/>
              <w:t>/s/ Curtis C. Griffith</w:t>
            </w:r>
          </w:p>
        </w:tc>
      </w:tr>
      <w:tr>
        <w:trPr/>
        <w:tc>
          <w:tcPr>
            <w:tcW w:w="180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3680" w:type="dxa"/>
            <w:tcBorders/>
            <w:shd w:fill="auto" w:val="clear"/>
            <w:vAlign w:val="center"/>
          </w:tcPr>
          <w:p>
            <w:pPr>
              <w:pStyle w:val="TableContents"/>
              <w:spacing w:before="0" w:after="0"/>
              <w:jc w:val="center"/>
              <w:rPr/>
            </w:pPr>
            <w:r>
              <w:rPr/>
              <w:t>Curtis C. Griffith</w:t>
            </w:r>
          </w:p>
        </w:tc>
      </w:tr>
      <w:tr>
        <w:trPr/>
        <w:tc>
          <w:tcPr>
            <w:tcW w:w="180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3680" w:type="dxa"/>
            <w:tcBorders/>
            <w:shd w:fill="auto" w:val="clear"/>
            <w:vAlign w:val="center"/>
          </w:tcPr>
          <w:p>
            <w:pPr>
              <w:pStyle w:val="TableContents"/>
              <w:spacing w:before="0" w:after="0"/>
              <w:jc w:val="center"/>
              <w:rPr/>
            </w:pPr>
            <w:r>
              <w:rPr/>
              <w:t>Chairman and Chief Executive Officer</w:t>
            </w:r>
          </w:p>
        </w:tc>
      </w:tr>
    </w:tbl>
    <w:p>
      <w:pPr>
        <w:pStyle w:val="TextBody"/>
        <w:spacing w:before="0" w:after="0"/>
        <w:rPr/>
      </w:pPr>
      <w:r>
        <w:rPr/>
      </w:r>
    </w:p>
    <w:p>
      <w:pPr>
        <w:pStyle w:val="TextBody"/>
        <w:spacing w:before="0" w:after="0"/>
        <w:rPr/>
      </w:pPr>
      <w:r>
        <w:rPr/>
      </w:r>
    </w:p>
    <w:p>
      <w:pPr>
        <w:pStyle w:val="HorizontalLine"/>
        <w:pBdr>
          <w:bottom w:val="single" w:sz="20" w:space="0" w:color="808080"/>
        </w:pBdr>
        <w:rPr/>
      </w:pPr>
      <w:r>
        <w:rPr/>
      </w:r>
      <w:r>
        <w:br w:type="page"/>
      </w:r>
    </w:p>
    <w:p>
      <w:pPr>
        <w:pStyle w:val="HorizontalLine"/>
        <w:pBdr>
          <w:bottom w:val="single" w:sz="20" w:space="0" w:color="808080"/>
        </w:pBdr>
        <w:rPr/>
      </w:pPr>
      <w:r>
        <w:rPr/>
      </w:r>
      <w:bookmarkStart w:id="59" w:name="brhc20052584_ex31-2.htm"/>
      <w:bookmarkStart w:id="60" w:name="ksbrhc20052584_ex312"/>
      <w:bookmarkStart w:id="61" w:name="brhc20052584_ex31-2.htm"/>
      <w:bookmarkStart w:id="62" w:name="ksbrhc20052584_ex312"/>
      <w:bookmarkEnd w:id="61"/>
      <w:bookmarkEnd w:id="62"/>
    </w:p>
    <w:p>
      <w:pPr>
        <w:pStyle w:val="TextBody"/>
        <w:spacing w:before="0" w:after="0"/>
        <w:jc w:val="right"/>
        <w:rPr/>
      </w:pPr>
      <w:r>
        <w:rPr/>
        <w:drawing>
          <wp:inline distT="0" distB="0" distL="0" distR="0">
            <wp:extent cx="19050" cy="76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4"/>
                    <a:stretch>
                      <a:fillRect/>
                    </a:stretch>
                  </pic:blipFill>
                  <pic:spPr bwMode="auto">
                    <a:xfrm>
                      <a:off x="0" y="0"/>
                      <a:ext cx="19050" cy="76200"/>
                    </a:xfrm>
                    <a:prstGeom prst="rect">
                      <a:avLst/>
                    </a:prstGeom>
                  </pic:spPr>
                </pic:pic>
              </a:graphicData>
            </a:graphic>
          </wp:inline>
        </w:drawing>
      </w:r>
      <w:r>
        <w:rPr>
          <w:b/>
        </w:rPr>
        <w:t>Exhibit 31.2</w:t>
      </w:r>
    </w:p>
    <w:p>
      <w:pPr>
        <w:pStyle w:val="TextBody"/>
        <w:spacing w:before="0" w:after="0"/>
        <w:rPr/>
      </w:pPr>
      <w:r>
        <w:rPr/>
      </w:r>
    </w:p>
    <w:p>
      <w:pPr>
        <w:pStyle w:val="TextBody"/>
        <w:spacing w:before="0" w:after="0"/>
        <w:jc w:val="center"/>
        <w:rPr>
          <w:b/>
        </w:rPr>
      </w:pPr>
      <w:r>
        <w:rPr>
          <w:b/>
        </w:rPr>
        <w:t>CERTIFICATION PURSUANT TO</w:t>
      </w:r>
    </w:p>
    <w:p>
      <w:pPr>
        <w:pStyle w:val="TextBody"/>
        <w:spacing w:before="0" w:after="0"/>
        <w:jc w:val="center"/>
        <w:rPr>
          <w:b/>
        </w:rPr>
      </w:pPr>
      <w:r>
        <w:rPr>
          <w:b/>
        </w:rPr>
        <w:t>RULES 13a-14(a) AND 15d-14(a) UNDER THE SECURITIES EXCHANGE ACT OF 1934,</w:t>
      </w:r>
    </w:p>
    <w:p>
      <w:pPr>
        <w:pStyle w:val="TextBody"/>
        <w:spacing w:before="0" w:after="0"/>
        <w:jc w:val="center"/>
        <w:rPr>
          <w:b/>
        </w:rPr>
      </w:pPr>
      <w:r>
        <w:rPr>
          <w:b/>
        </w:rPr>
        <w:t>AS ADOPTED PURSUANT TO SECTION 302 OF THE SARBANES-OXLEY ACT OF 2002</w:t>
      </w:r>
    </w:p>
    <w:p>
      <w:pPr>
        <w:pStyle w:val="TextBody"/>
        <w:spacing w:before="0" w:after="0"/>
        <w:rPr/>
      </w:pPr>
      <w:r>
        <w:rPr/>
      </w:r>
    </w:p>
    <w:p>
      <w:pPr>
        <w:pStyle w:val="TextBody"/>
        <w:spacing w:before="0" w:after="0"/>
        <w:jc w:val="both"/>
        <w:rPr/>
      </w:pPr>
      <w:r>
        <w:rPr/>
        <w:t>I, Steven B. Crockett, certify that:</w:t>
      </w:r>
    </w:p>
    <w:p>
      <w:pPr>
        <w:pStyle w:val="TextBody"/>
        <w:spacing w:before="0" w:after="0"/>
        <w:rPr/>
      </w:pPr>
      <w:r>
        <w:rPr/>
      </w:r>
    </w:p>
    <w:p>
      <w:pPr>
        <w:pStyle w:val="Normal"/>
        <w:spacing w:before="0" w:after="0"/>
        <w:rPr>
          <w:sz w:val="4"/>
          <w:szCs w:val="4"/>
        </w:rPr>
      </w:pPr>
      <w:r>
        <w:rPr>
          <w:sz w:val="4"/>
          <w:szCs w:val="4"/>
        </w:rPr>
      </w:r>
      <w:bookmarkStart w:id="63" w:name="zf586c6bded1e4883a47b62191bc91190"/>
      <w:bookmarkStart w:id="64" w:name="zf586c6bded1e4883a47b62191bc91190"/>
      <w:bookmarkEnd w:id="64"/>
    </w:p>
    <w:tbl>
      <w:tblPr>
        <w:tblW w:w="10205" w:type="dxa"/>
        <w:jc w:val="left"/>
        <w:tblInd w:w="0" w:type="dxa"/>
        <w:tblCellMar>
          <w:top w:w="0" w:type="dxa"/>
          <w:left w:w="0" w:type="dxa"/>
          <w:bottom w:w="0" w:type="dxa"/>
          <w:right w:w="0" w:type="dxa"/>
        </w:tblCellMar>
      </w:tblPr>
      <w:tblGrid>
        <w:gridCol w:w="194"/>
        <w:gridCol w:w="10011"/>
      </w:tblGrid>
      <w:tr>
        <w:trPr/>
        <w:tc>
          <w:tcPr>
            <w:tcW w:w="194" w:type="dxa"/>
            <w:tcBorders/>
            <w:shd w:fill="auto" w:val="clear"/>
            <w:vAlign w:val="center"/>
          </w:tcPr>
          <w:p>
            <w:pPr>
              <w:pStyle w:val="TableContents"/>
              <w:spacing w:before="0" w:after="283"/>
              <w:rPr/>
            </w:pPr>
            <w:r>
              <w:rPr/>
              <w:t>1.</w:t>
            </w:r>
          </w:p>
        </w:tc>
        <w:tc>
          <w:tcPr>
            <w:tcW w:w="10011" w:type="dxa"/>
            <w:tcBorders/>
            <w:shd w:fill="auto" w:val="clear"/>
            <w:vAlign w:val="center"/>
          </w:tcPr>
          <w:p>
            <w:pPr>
              <w:pStyle w:val="TableContents"/>
              <w:spacing w:before="0" w:after="0"/>
              <w:jc w:val="both"/>
              <w:rPr/>
            </w:pPr>
            <w:r>
              <w:rPr/>
              <w:t>I have reviewed this Quarterly Report on Form 10-Q of South Plains Financial, Inc. (the “registrant”) for the quarter ended March 31, 2023 (this “report”);</w:t>
            </w:r>
          </w:p>
        </w:tc>
      </w:tr>
    </w:tbl>
    <w:p>
      <w:pPr>
        <w:pStyle w:val="TextBody"/>
        <w:spacing w:before="0" w:after="0"/>
        <w:rPr/>
      </w:pPr>
      <w:r>
        <w:rPr/>
      </w:r>
    </w:p>
    <w:p>
      <w:pPr>
        <w:pStyle w:val="Normal"/>
        <w:spacing w:before="0" w:after="0"/>
        <w:rPr>
          <w:sz w:val="4"/>
          <w:szCs w:val="4"/>
        </w:rPr>
      </w:pPr>
      <w:r>
        <w:rPr>
          <w:sz w:val="4"/>
          <w:szCs w:val="4"/>
        </w:rPr>
      </w:r>
      <w:bookmarkStart w:id="65" w:name="z9bec5000ccb94a3f8f29e155888dbc38"/>
      <w:bookmarkStart w:id="66" w:name="z9bec5000ccb94a3f8f29e155888dbc38"/>
      <w:bookmarkEnd w:id="66"/>
    </w:p>
    <w:tbl>
      <w:tblPr>
        <w:tblW w:w="10205" w:type="dxa"/>
        <w:jc w:val="left"/>
        <w:tblInd w:w="0" w:type="dxa"/>
        <w:tblCellMar>
          <w:top w:w="0" w:type="dxa"/>
          <w:left w:w="0" w:type="dxa"/>
          <w:bottom w:w="0" w:type="dxa"/>
          <w:right w:w="0" w:type="dxa"/>
        </w:tblCellMar>
      </w:tblPr>
      <w:tblGrid>
        <w:gridCol w:w="174"/>
        <w:gridCol w:w="10031"/>
      </w:tblGrid>
      <w:tr>
        <w:trPr/>
        <w:tc>
          <w:tcPr>
            <w:tcW w:w="174" w:type="dxa"/>
            <w:tcBorders/>
            <w:shd w:fill="auto" w:val="clear"/>
            <w:vAlign w:val="center"/>
          </w:tcPr>
          <w:p>
            <w:pPr>
              <w:pStyle w:val="TableContents"/>
              <w:spacing w:before="0" w:after="283"/>
              <w:rPr/>
            </w:pPr>
            <w:r>
              <w:rPr/>
              <w:t>2.</w:t>
            </w:r>
          </w:p>
        </w:tc>
        <w:tc>
          <w:tcPr>
            <w:tcW w:w="10031" w:type="dxa"/>
            <w:tcBorders/>
            <w:shd w:fill="auto" w:val="clear"/>
            <w:vAlign w:val="center"/>
          </w:tcPr>
          <w:p>
            <w:pPr>
              <w:pStyle w:val="TableContents"/>
              <w:spacing w:before="0" w:after="0"/>
              <w:jc w:val="both"/>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before="0" w:after="0"/>
        <w:rPr/>
      </w:pPr>
      <w:r>
        <w:rPr/>
      </w:r>
    </w:p>
    <w:p>
      <w:pPr>
        <w:pStyle w:val="Normal"/>
        <w:spacing w:before="0" w:after="0"/>
        <w:rPr>
          <w:sz w:val="4"/>
          <w:szCs w:val="4"/>
        </w:rPr>
      </w:pPr>
      <w:r>
        <w:rPr>
          <w:sz w:val="4"/>
          <w:szCs w:val="4"/>
        </w:rPr>
      </w:r>
      <w:bookmarkStart w:id="67" w:name="za34ebb13255c44ac8e13c9c7866e4ad3"/>
      <w:bookmarkStart w:id="68" w:name="za34ebb13255c44ac8e13c9c7866e4ad3"/>
      <w:bookmarkEnd w:id="68"/>
    </w:p>
    <w:tbl>
      <w:tblPr>
        <w:tblW w:w="10205" w:type="dxa"/>
        <w:jc w:val="left"/>
        <w:tblInd w:w="0" w:type="dxa"/>
        <w:tblCellMar>
          <w:top w:w="0" w:type="dxa"/>
          <w:left w:w="0" w:type="dxa"/>
          <w:bottom w:w="0" w:type="dxa"/>
          <w:right w:w="0" w:type="dxa"/>
        </w:tblCellMar>
      </w:tblPr>
      <w:tblGrid>
        <w:gridCol w:w="177"/>
        <w:gridCol w:w="10028"/>
      </w:tblGrid>
      <w:tr>
        <w:trPr/>
        <w:tc>
          <w:tcPr>
            <w:tcW w:w="177" w:type="dxa"/>
            <w:tcBorders/>
            <w:shd w:fill="auto" w:val="clear"/>
            <w:vAlign w:val="center"/>
          </w:tcPr>
          <w:p>
            <w:pPr>
              <w:pStyle w:val="TableContents"/>
              <w:spacing w:before="0" w:after="283"/>
              <w:rPr/>
            </w:pPr>
            <w:r>
              <w:rPr/>
              <w:t>3.</w:t>
            </w:r>
          </w:p>
        </w:tc>
        <w:tc>
          <w:tcPr>
            <w:tcW w:w="10028" w:type="dxa"/>
            <w:tcBorders/>
            <w:shd w:fill="auto" w:val="clear"/>
            <w:vAlign w:val="center"/>
          </w:tcPr>
          <w:p>
            <w:pPr>
              <w:pStyle w:val="TableContents"/>
              <w:spacing w:before="0" w:after="0"/>
              <w:jc w:val="both"/>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spacing w:before="0" w:after="0"/>
        <w:rPr/>
      </w:pPr>
      <w:r>
        <w:rPr/>
      </w:r>
    </w:p>
    <w:p>
      <w:pPr>
        <w:pStyle w:val="Normal"/>
        <w:spacing w:before="0" w:after="0"/>
        <w:rPr>
          <w:sz w:val="4"/>
          <w:szCs w:val="4"/>
        </w:rPr>
      </w:pPr>
      <w:r>
        <w:rPr>
          <w:sz w:val="4"/>
          <w:szCs w:val="4"/>
        </w:rPr>
      </w:r>
      <w:bookmarkStart w:id="69" w:name="zbd5b801b314d4bfdb1e60d4bda0ff448"/>
      <w:bookmarkStart w:id="70" w:name="zbd5b801b314d4bfdb1e60d4bda0ff448"/>
      <w:bookmarkEnd w:id="70"/>
    </w:p>
    <w:tbl>
      <w:tblPr>
        <w:tblW w:w="10205" w:type="dxa"/>
        <w:jc w:val="left"/>
        <w:tblInd w:w="0" w:type="dxa"/>
        <w:tblCellMar>
          <w:top w:w="0" w:type="dxa"/>
          <w:left w:w="0" w:type="dxa"/>
          <w:bottom w:w="0" w:type="dxa"/>
          <w:right w:w="0" w:type="dxa"/>
        </w:tblCellMar>
      </w:tblPr>
      <w:tblGrid>
        <w:gridCol w:w="173"/>
        <w:gridCol w:w="10032"/>
      </w:tblGrid>
      <w:tr>
        <w:trPr/>
        <w:tc>
          <w:tcPr>
            <w:tcW w:w="173" w:type="dxa"/>
            <w:tcBorders/>
            <w:shd w:fill="auto" w:val="clear"/>
            <w:vAlign w:val="center"/>
          </w:tcPr>
          <w:p>
            <w:pPr>
              <w:pStyle w:val="TableContents"/>
              <w:spacing w:before="0" w:after="283"/>
              <w:rPr/>
            </w:pPr>
            <w:r>
              <w:rPr/>
              <w:t>4.</w:t>
            </w:r>
          </w:p>
        </w:tc>
        <w:tc>
          <w:tcPr>
            <w:tcW w:w="10032" w:type="dxa"/>
            <w:tcBorders/>
            <w:shd w:fill="auto" w:val="clear"/>
            <w:vAlign w:val="center"/>
          </w:tcPr>
          <w:p>
            <w:pPr>
              <w:pStyle w:val="TableContents"/>
              <w:spacing w:before="0" w:after="0"/>
              <w:jc w:val="both"/>
              <w:rPr/>
            </w:pPr>
            <w:r>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spacing w:before="0" w:after="0"/>
        <w:rPr/>
      </w:pPr>
      <w:r>
        <w:rPr/>
      </w:r>
    </w:p>
    <w:p>
      <w:pPr>
        <w:pStyle w:val="Normal"/>
        <w:spacing w:before="0" w:after="0"/>
        <w:rPr>
          <w:sz w:val="4"/>
          <w:szCs w:val="4"/>
        </w:rPr>
      </w:pPr>
      <w:r>
        <w:rPr>
          <w:sz w:val="4"/>
          <w:szCs w:val="4"/>
        </w:rPr>
      </w:r>
      <w:bookmarkStart w:id="71" w:name="zd4e606b5405244b8b3a73931ae5c689c"/>
      <w:bookmarkStart w:id="72" w:name="zd4e606b5405244b8b3a73931ae5c689c"/>
      <w:bookmarkEnd w:id="72"/>
    </w:p>
    <w:tbl>
      <w:tblPr>
        <w:tblW w:w="10205" w:type="dxa"/>
        <w:jc w:val="left"/>
        <w:tblInd w:w="0" w:type="dxa"/>
        <w:tblCellMar>
          <w:top w:w="0" w:type="dxa"/>
          <w:left w:w="0" w:type="dxa"/>
          <w:bottom w:w="0" w:type="dxa"/>
          <w:right w:w="0" w:type="dxa"/>
        </w:tblCellMar>
      </w:tblPr>
      <w:tblGrid>
        <w:gridCol w:w="75"/>
        <w:gridCol w:w="219"/>
        <w:gridCol w:w="9911"/>
      </w:tblGrid>
      <w:tr>
        <w:trPr/>
        <w:tc>
          <w:tcPr>
            <w:tcW w:w="75" w:type="dxa"/>
            <w:tcBorders/>
            <w:shd w:fill="auto" w:val="clear"/>
            <w:vAlign w:val="center"/>
          </w:tcPr>
          <w:p>
            <w:pPr>
              <w:pStyle w:val="TableContents"/>
              <w:spacing w:before="0" w:after="283"/>
              <w:rPr/>
            </w:pPr>
            <w:r>
              <w:rPr/>
              <w:t> </w:t>
            </w:r>
          </w:p>
        </w:tc>
        <w:tc>
          <w:tcPr>
            <w:tcW w:w="219" w:type="dxa"/>
            <w:tcBorders/>
            <w:shd w:fill="auto" w:val="clear"/>
            <w:vAlign w:val="center"/>
          </w:tcPr>
          <w:p>
            <w:pPr>
              <w:pStyle w:val="TableContents"/>
              <w:spacing w:before="0" w:after="283"/>
              <w:rPr/>
            </w:pPr>
            <w:r>
              <w:rPr/>
              <w:t>(a)</w:t>
            </w:r>
          </w:p>
        </w:tc>
        <w:tc>
          <w:tcPr>
            <w:tcW w:w="9911" w:type="dxa"/>
            <w:tcBorders/>
            <w:shd w:fill="auto" w:val="clear"/>
            <w:vAlign w:val="center"/>
          </w:tcPr>
          <w:p>
            <w:pPr>
              <w:pStyle w:val="TableContents"/>
              <w:spacing w:before="0" w:after="0"/>
              <w:jc w:val="both"/>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spacing w:before="0" w:after="0"/>
        <w:rPr/>
      </w:pPr>
      <w:r>
        <w:rPr/>
      </w:r>
    </w:p>
    <w:p>
      <w:pPr>
        <w:pStyle w:val="Normal"/>
        <w:spacing w:before="0" w:after="0"/>
        <w:rPr>
          <w:sz w:val="4"/>
          <w:szCs w:val="4"/>
        </w:rPr>
      </w:pPr>
      <w:r>
        <w:rPr>
          <w:sz w:val="4"/>
          <w:szCs w:val="4"/>
        </w:rPr>
      </w:r>
      <w:bookmarkStart w:id="73" w:name="zc37cbb7876914e409cb90c90fffdd0db"/>
      <w:bookmarkStart w:id="74" w:name="zc37cbb7876914e409cb90c90fffdd0db"/>
      <w:bookmarkEnd w:id="74"/>
    </w:p>
    <w:tbl>
      <w:tblPr>
        <w:tblW w:w="10205" w:type="dxa"/>
        <w:jc w:val="left"/>
        <w:tblInd w:w="0" w:type="dxa"/>
        <w:tblCellMar>
          <w:top w:w="0" w:type="dxa"/>
          <w:left w:w="0" w:type="dxa"/>
          <w:bottom w:w="0" w:type="dxa"/>
          <w:right w:w="0" w:type="dxa"/>
        </w:tblCellMar>
      </w:tblPr>
      <w:tblGrid>
        <w:gridCol w:w="38"/>
        <w:gridCol w:w="235"/>
        <w:gridCol w:w="9932"/>
      </w:tblGrid>
      <w:tr>
        <w:trPr/>
        <w:tc>
          <w:tcPr>
            <w:tcW w:w="38" w:type="dxa"/>
            <w:tcBorders/>
            <w:shd w:fill="auto" w:val="clear"/>
            <w:vAlign w:val="center"/>
          </w:tcPr>
          <w:p>
            <w:pPr>
              <w:pStyle w:val="TableContents"/>
              <w:spacing w:before="0" w:after="283"/>
              <w:rPr/>
            </w:pPr>
            <w:r>
              <w:rPr/>
            </w:r>
          </w:p>
        </w:tc>
        <w:tc>
          <w:tcPr>
            <w:tcW w:w="235" w:type="dxa"/>
            <w:tcBorders/>
            <w:shd w:fill="auto" w:val="clear"/>
            <w:vAlign w:val="center"/>
          </w:tcPr>
          <w:p>
            <w:pPr>
              <w:pStyle w:val="TableContents"/>
              <w:spacing w:before="0" w:after="283"/>
              <w:rPr/>
            </w:pPr>
            <w:r>
              <w:rPr/>
              <w:t>(b)</w:t>
            </w:r>
          </w:p>
        </w:tc>
        <w:tc>
          <w:tcPr>
            <w:tcW w:w="9932" w:type="dxa"/>
            <w:tcBorders/>
            <w:shd w:fill="auto" w:val="clear"/>
            <w:vAlign w:val="center"/>
          </w:tcPr>
          <w:p>
            <w:pPr>
              <w:pStyle w:val="TableContents"/>
              <w:spacing w:before="0" w:after="0"/>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spacing w:before="0" w:after="0"/>
        <w:rPr/>
      </w:pPr>
      <w:r>
        <w:rPr/>
      </w:r>
    </w:p>
    <w:p>
      <w:pPr>
        <w:pStyle w:val="Normal"/>
        <w:spacing w:before="0" w:after="0"/>
        <w:rPr>
          <w:sz w:val="4"/>
          <w:szCs w:val="4"/>
        </w:rPr>
      </w:pPr>
      <w:r>
        <w:rPr>
          <w:sz w:val="4"/>
          <w:szCs w:val="4"/>
        </w:rPr>
      </w:r>
      <w:bookmarkStart w:id="75" w:name="z3e6c6a507fda425b96ee0c6e0cbd5703"/>
      <w:bookmarkStart w:id="76" w:name="z3e6c6a507fda425b96ee0c6e0cbd5703"/>
      <w:bookmarkEnd w:id="76"/>
    </w:p>
    <w:tbl>
      <w:tblPr>
        <w:tblW w:w="10205" w:type="dxa"/>
        <w:jc w:val="left"/>
        <w:tblInd w:w="0" w:type="dxa"/>
        <w:tblCellMar>
          <w:top w:w="0" w:type="dxa"/>
          <w:left w:w="0" w:type="dxa"/>
          <w:bottom w:w="0" w:type="dxa"/>
          <w:right w:w="0" w:type="dxa"/>
        </w:tblCellMar>
      </w:tblPr>
      <w:tblGrid>
        <w:gridCol w:w="38"/>
        <w:gridCol w:w="226"/>
        <w:gridCol w:w="9941"/>
      </w:tblGrid>
      <w:tr>
        <w:trPr/>
        <w:tc>
          <w:tcPr>
            <w:tcW w:w="38" w:type="dxa"/>
            <w:tcBorders/>
            <w:shd w:fill="auto" w:val="clear"/>
            <w:vAlign w:val="center"/>
          </w:tcPr>
          <w:p>
            <w:pPr>
              <w:pStyle w:val="TableContents"/>
              <w:spacing w:before="0" w:after="283"/>
              <w:rPr/>
            </w:pPr>
            <w:r>
              <w:rPr/>
            </w:r>
          </w:p>
        </w:tc>
        <w:tc>
          <w:tcPr>
            <w:tcW w:w="226" w:type="dxa"/>
            <w:tcBorders/>
            <w:shd w:fill="auto" w:val="clear"/>
            <w:vAlign w:val="center"/>
          </w:tcPr>
          <w:p>
            <w:pPr>
              <w:pStyle w:val="TableContents"/>
              <w:spacing w:before="0" w:after="283"/>
              <w:rPr/>
            </w:pPr>
            <w:r>
              <w:rPr/>
              <w:t>(c)</w:t>
            </w:r>
          </w:p>
        </w:tc>
        <w:tc>
          <w:tcPr>
            <w:tcW w:w="9941" w:type="dxa"/>
            <w:tcBorders/>
            <w:shd w:fill="auto" w:val="clear"/>
            <w:vAlign w:val="center"/>
          </w:tcPr>
          <w:p>
            <w:pPr>
              <w:pStyle w:val="TableContents"/>
              <w:spacing w:before="0" w:after="0"/>
              <w:jc w:val="both"/>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spacing w:before="0" w:after="0"/>
        <w:rPr/>
      </w:pPr>
      <w:r>
        <w:rPr/>
      </w:r>
    </w:p>
    <w:p>
      <w:pPr>
        <w:pStyle w:val="Normal"/>
        <w:spacing w:before="0" w:after="0"/>
        <w:rPr>
          <w:sz w:val="4"/>
          <w:szCs w:val="4"/>
        </w:rPr>
      </w:pPr>
      <w:r>
        <w:rPr>
          <w:sz w:val="4"/>
          <w:szCs w:val="4"/>
        </w:rPr>
      </w:r>
      <w:bookmarkStart w:id="77" w:name="zf6b58e2970e94ff19d3b5c34320b10ec"/>
      <w:bookmarkStart w:id="78" w:name="zf6b58e2970e94ff19d3b5c34320b10ec"/>
      <w:bookmarkEnd w:id="78"/>
    </w:p>
    <w:tbl>
      <w:tblPr>
        <w:tblW w:w="10205" w:type="dxa"/>
        <w:jc w:val="left"/>
        <w:tblInd w:w="0" w:type="dxa"/>
        <w:tblCellMar>
          <w:top w:w="0" w:type="dxa"/>
          <w:left w:w="0" w:type="dxa"/>
          <w:bottom w:w="0" w:type="dxa"/>
          <w:right w:w="0" w:type="dxa"/>
        </w:tblCellMar>
      </w:tblPr>
      <w:tblGrid>
        <w:gridCol w:w="38"/>
        <w:gridCol w:w="235"/>
        <w:gridCol w:w="9932"/>
      </w:tblGrid>
      <w:tr>
        <w:trPr/>
        <w:tc>
          <w:tcPr>
            <w:tcW w:w="38" w:type="dxa"/>
            <w:tcBorders/>
            <w:shd w:fill="auto" w:val="clear"/>
            <w:vAlign w:val="center"/>
          </w:tcPr>
          <w:p>
            <w:pPr>
              <w:pStyle w:val="TableContents"/>
              <w:spacing w:before="0" w:after="283"/>
              <w:rPr/>
            </w:pPr>
            <w:r>
              <w:rPr/>
            </w:r>
          </w:p>
        </w:tc>
        <w:tc>
          <w:tcPr>
            <w:tcW w:w="235" w:type="dxa"/>
            <w:tcBorders/>
            <w:shd w:fill="auto" w:val="clear"/>
            <w:vAlign w:val="center"/>
          </w:tcPr>
          <w:p>
            <w:pPr>
              <w:pStyle w:val="TableContents"/>
              <w:spacing w:before="0" w:after="283"/>
              <w:rPr/>
            </w:pPr>
            <w:r>
              <w:rPr/>
              <w:t>(d)</w:t>
            </w:r>
          </w:p>
        </w:tc>
        <w:tc>
          <w:tcPr>
            <w:tcW w:w="9932" w:type="dxa"/>
            <w:tcBorders/>
            <w:shd w:fill="auto" w:val="clear"/>
            <w:vAlign w:val="center"/>
          </w:tcPr>
          <w:p>
            <w:pPr>
              <w:pStyle w:val="TableContents"/>
              <w:spacing w:before="0" w:after="0"/>
              <w:jc w:val="both"/>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spacing w:before="0" w:after="0"/>
        <w:rPr/>
      </w:pPr>
      <w:r>
        <w:rPr/>
      </w:r>
    </w:p>
    <w:p>
      <w:pPr>
        <w:pStyle w:val="Normal"/>
        <w:spacing w:before="0" w:after="0"/>
        <w:rPr>
          <w:sz w:val="4"/>
          <w:szCs w:val="4"/>
        </w:rPr>
      </w:pPr>
      <w:r>
        <w:rPr>
          <w:sz w:val="4"/>
          <w:szCs w:val="4"/>
        </w:rPr>
      </w:r>
      <w:bookmarkStart w:id="79" w:name="ze0a05a6ad2734eaa90b5a071c99dc305"/>
      <w:bookmarkStart w:id="80" w:name="ze0a05a6ad2734eaa90b5a071c99dc305"/>
      <w:bookmarkEnd w:id="80"/>
    </w:p>
    <w:tbl>
      <w:tblPr>
        <w:tblW w:w="10205" w:type="dxa"/>
        <w:jc w:val="left"/>
        <w:tblInd w:w="0" w:type="dxa"/>
        <w:tblCellMar>
          <w:top w:w="0" w:type="dxa"/>
          <w:left w:w="0" w:type="dxa"/>
          <w:bottom w:w="0" w:type="dxa"/>
          <w:right w:w="0" w:type="dxa"/>
        </w:tblCellMar>
      </w:tblPr>
      <w:tblGrid>
        <w:gridCol w:w="176"/>
        <w:gridCol w:w="10029"/>
      </w:tblGrid>
      <w:tr>
        <w:trPr/>
        <w:tc>
          <w:tcPr>
            <w:tcW w:w="176" w:type="dxa"/>
            <w:tcBorders/>
            <w:shd w:fill="auto" w:val="clear"/>
            <w:vAlign w:val="center"/>
          </w:tcPr>
          <w:p>
            <w:pPr>
              <w:pStyle w:val="TableContents"/>
              <w:spacing w:before="0" w:after="283"/>
              <w:rPr/>
            </w:pPr>
            <w:r>
              <w:rPr/>
              <w:t>5.</w:t>
            </w:r>
          </w:p>
        </w:tc>
        <w:tc>
          <w:tcPr>
            <w:tcW w:w="10029" w:type="dxa"/>
            <w:tcBorders/>
            <w:shd w:fill="auto" w:val="clear"/>
            <w:vAlign w:val="center"/>
          </w:tcPr>
          <w:p>
            <w:pPr>
              <w:pStyle w:val="TableContents"/>
              <w:spacing w:before="0" w:after="0"/>
              <w:jc w:val="both"/>
              <w:rPr/>
            </w:pPr>
            <w:r>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spacing w:before="0" w:after="0"/>
        <w:rPr/>
      </w:pPr>
      <w:r>
        <w:rPr/>
      </w:r>
    </w:p>
    <w:p>
      <w:pPr>
        <w:pStyle w:val="Normal"/>
        <w:spacing w:before="0" w:after="0"/>
        <w:rPr>
          <w:sz w:val="4"/>
          <w:szCs w:val="4"/>
        </w:rPr>
      </w:pPr>
      <w:r>
        <w:rPr>
          <w:sz w:val="4"/>
          <w:szCs w:val="4"/>
        </w:rPr>
      </w:r>
      <w:bookmarkStart w:id="81" w:name="z1405fafc05c44a6f895c34bbf183f744"/>
      <w:bookmarkStart w:id="82" w:name="z1405fafc05c44a6f895c34bbf183f744"/>
      <w:bookmarkEnd w:id="82"/>
    </w:p>
    <w:tbl>
      <w:tblPr>
        <w:tblW w:w="10205" w:type="dxa"/>
        <w:jc w:val="left"/>
        <w:tblInd w:w="0" w:type="dxa"/>
        <w:tblCellMar>
          <w:top w:w="0" w:type="dxa"/>
          <w:left w:w="0" w:type="dxa"/>
          <w:bottom w:w="0" w:type="dxa"/>
          <w:right w:w="0" w:type="dxa"/>
        </w:tblCellMar>
      </w:tblPr>
      <w:tblGrid>
        <w:gridCol w:w="38"/>
        <w:gridCol w:w="228"/>
        <w:gridCol w:w="9939"/>
      </w:tblGrid>
      <w:tr>
        <w:trPr/>
        <w:tc>
          <w:tcPr>
            <w:tcW w:w="38" w:type="dxa"/>
            <w:tcBorders/>
            <w:shd w:fill="auto" w:val="clear"/>
            <w:vAlign w:val="center"/>
          </w:tcPr>
          <w:p>
            <w:pPr>
              <w:pStyle w:val="TableContents"/>
              <w:spacing w:before="0" w:after="283"/>
              <w:rPr/>
            </w:pPr>
            <w:r>
              <w:rPr/>
            </w:r>
          </w:p>
        </w:tc>
        <w:tc>
          <w:tcPr>
            <w:tcW w:w="228" w:type="dxa"/>
            <w:tcBorders/>
            <w:shd w:fill="auto" w:val="clear"/>
            <w:vAlign w:val="center"/>
          </w:tcPr>
          <w:p>
            <w:pPr>
              <w:pStyle w:val="TableContents"/>
              <w:spacing w:before="0" w:after="283"/>
              <w:rPr/>
            </w:pPr>
            <w:r>
              <w:rPr/>
              <w:t>(a)</w:t>
            </w:r>
          </w:p>
        </w:tc>
        <w:tc>
          <w:tcPr>
            <w:tcW w:w="9939" w:type="dxa"/>
            <w:tcBorders/>
            <w:shd w:fill="auto" w:val="clear"/>
            <w:vAlign w:val="center"/>
          </w:tcPr>
          <w:p>
            <w:pPr>
              <w:pStyle w:val="TableContents"/>
              <w:spacing w:before="0" w:after="0"/>
              <w:jc w:val="both"/>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spacing w:before="0" w:after="0"/>
        <w:rPr/>
      </w:pPr>
      <w:r>
        <w:rPr/>
      </w:r>
    </w:p>
    <w:p>
      <w:pPr>
        <w:pStyle w:val="Normal"/>
        <w:spacing w:before="0" w:after="0"/>
        <w:rPr>
          <w:sz w:val="4"/>
          <w:szCs w:val="4"/>
        </w:rPr>
      </w:pPr>
      <w:r>
        <w:rPr>
          <w:sz w:val="4"/>
          <w:szCs w:val="4"/>
        </w:rPr>
      </w:r>
      <w:bookmarkStart w:id="83" w:name="zfe016bf69a194e2ab60f041bd6ef39cd"/>
      <w:bookmarkStart w:id="84" w:name="zfe016bf69a194e2ab60f041bd6ef39cd"/>
      <w:bookmarkEnd w:id="84"/>
    </w:p>
    <w:tbl>
      <w:tblPr>
        <w:tblW w:w="10205" w:type="dxa"/>
        <w:jc w:val="left"/>
        <w:tblInd w:w="0" w:type="dxa"/>
        <w:tblCellMar>
          <w:top w:w="0" w:type="dxa"/>
          <w:left w:w="0" w:type="dxa"/>
          <w:bottom w:w="0" w:type="dxa"/>
          <w:right w:w="0" w:type="dxa"/>
        </w:tblCellMar>
      </w:tblPr>
      <w:tblGrid>
        <w:gridCol w:w="38"/>
        <w:gridCol w:w="259"/>
        <w:gridCol w:w="9908"/>
      </w:tblGrid>
      <w:tr>
        <w:trPr/>
        <w:tc>
          <w:tcPr>
            <w:tcW w:w="38" w:type="dxa"/>
            <w:tcBorders/>
            <w:shd w:fill="auto" w:val="clear"/>
            <w:vAlign w:val="center"/>
          </w:tcPr>
          <w:p>
            <w:pPr>
              <w:pStyle w:val="TableContents"/>
              <w:spacing w:before="0" w:after="283"/>
              <w:rPr/>
            </w:pPr>
            <w:r>
              <w:rPr/>
            </w:r>
          </w:p>
        </w:tc>
        <w:tc>
          <w:tcPr>
            <w:tcW w:w="259" w:type="dxa"/>
            <w:tcBorders/>
            <w:shd w:fill="auto" w:val="clear"/>
            <w:vAlign w:val="center"/>
          </w:tcPr>
          <w:p>
            <w:pPr>
              <w:pStyle w:val="TableContents"/>
              <w:spacing w:before="0" w:after="283"/>
              <w:rPr/>
            </w:pPr>
            <w:r>
              <w:rPr/>
              <w:t>(b)</w:t>
            </w:r>
          </w:p>
        </w:tc>
        <w:tc>
          <w:tcPr>
            <w:tcW w:w="9908" w:type="dxa"/>
            <w:tcBorders/>
            <w:shd w:fill="auto" w:val="clear"/>
            <w:vAlign w:val="center"/>
          </w:tcPr>
          <w:p>
            <w:pPr>
              <w:pStyle w:val="TableContents"/>
              <w:spacing w:before="0" w:after="0"/>
              <w:jc w:val="both"/>
              <w:rPr/>
            </w:pPr>
            <w:r>
              <w:rPr/>
              <w:t>Any fraud, whether or not material, that involves management or other employees who have a significant role in the registrant’s internal control over financial reporting.</w:t>
            </w:r>
          </w:p>
        </w:tc>
      </w:tr>
    </w:tbl>
    <w:p>
      <w:pPr>
        <w:pStyle w:val="TextBody"/>
        <w:spacing w:before="0" w:after="0"/>
        <w:rPr/>
      </w:pPr>
      <w:r>
        <w:rPr/>
      </w:r>
    </w:p>
    <w:p>
      <w:pPr>
        <w:pStyle w:val="Normal"/>
        <w:spacing w:before="0" w:after="0"/>
        <w:rPr>
          <w:sz w:val="4"/>
          <w:szCs w:val="4"/>
        </w:rPr>
      </w:pPr>
      <w:r>
        <w:rPr>
          <w:sz w:val="4"/>
          <w:szCs w:val="4"/>
        </w:rPr>
      </w:r>
      <w:bookmarkStart w:id="85" w:name="z7abeabb67c6d4e47be21490306bfc78f"/>
      <w:bookmarkStart w:id="86" w:name="z7abeabb67c6d4e47be21490306bfc78f"/>
      <w:bookmarkEnd w:id="86"/>
    </w:p>
    <w:tbl>
      <w:tblPr>
        <w:tblW w:w="4380" w:type="dxa"/>
        <w:jc w:val="left"/>
        <w:tblInd w:w="0" w:type="dxa"/>
        <w:tblCellMar>
          <w:top w:w="0" w:type="dxa"/>
          <w:left w:w="0" w:type="dxa"/>
          <w:bottom w:w="0" w:type="dxa"/>
          <w:right w:w="0" w:type="dxa"/>
        </w:tblCellMar>
      </w:tblPr>
      <w:tblGrid>
        <w:gridCol w:w="1805"/>
        <w:gridCol w:w="365"/>
        <w:gridCol w:w="2210"/>
      </w:tblGrid>
      <w:tr>
        <w:trPr/>
        <w:tc>
          <w:tcPr>
            <w:tcW w:w="1805" w:type="dxa"/>
            <w:tcBorders/>
            <w:shd w:fill="auto" w:val="clear"/>
            <w:vAlign w:val="center"/>
          </w:tcPr>
          <w:p>
            <w:pPr>
              <w:pStyle w:val="TableContents"/>
              <w:spacing w:before="0" w:after="0"/>
              <w:rPr/>
            </w:pPr>
            <w:r>
              <w:rPr/>
              <w:t>Date: May 8, 2023</w:t>
            </w:r>
          </w:p>
        </w:tc>
        <w:tc>
          <w:tcPr>
            <w:tcW w:w="365" w:type="dxa"/>
            <w:tcBorders/>
            <w:shd w:fill="auto" w:val="clear"/>
            <w:vAlign w:val="center"/>
          </w:tcPr>
          <w:p>
            <w:pPr>
              <w:pStyle w:val="TableContents"/>
              <w:spacing w:before="0" w:after="0"/>
              <w:rPr/>
            </w:pPr>
            <w:r>
              <w:rPr/>
              <w:t>By:</w:t>
            </w:r>
          </w:p>
        </w:tc>
        <w:tc>
          <w:tcPr>
            <w:tcW w:w="2210" w:type="dxa"/>
            <w:tcBorders>
              <w:bottom w:val="single" w:sz="12" w:space="0" w:color="000000"/>
            </w:tcBorders>
            <w:shd w:fill="auto" w:val="clear"/>
            <w:tcMar>
              <w:bottom w:w="28" w:type="dxa"/>
            </w:tcMar>
            <w:vAlign w:val="center"/>
          </w:tcPr>
          <w:p>
            <w:pPr>
              <w:pStyle w:val="TableContents"/>
              <w:spacing w:before="0" w:after="0"/>
              <w:jc w:val="center"/>
              <w:rPr/>
            </w:pPr>
            <w:r>
              <w:rPr/>
              <w:t>/s/ Steven B. Crockett</w:t>
            </w:r>
          </w:p>
        </w:tc>
      </w:tr>
      <w:tr>
        <w:trPr/>
        <w:tc>
          <w:tcPr>
            <w:tcW w:w="180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2210" w:type="dxa"/>
            <w:tcBorders/>
            <w:shd w:fill="auto" w:val="clear"/>
            <w:vAlign w:val="center"/>
          </w:tcPr>
          <w:p>
            <w:pPr>
              <w:pStyle w:val="TableContents"/>
              <w:spacing w:before="0" w:after="0"/>
              <w:jc w:val="center"/>
              <w:rPr/>
            </w:pPr>
            <w:r>
              <w:rPr/>
              <w:t>Steven B. Crockett</w:t>
            </w:r>
          </w:p>
        </w:tc>
      </w:tr>
      <w:tr>
        <w:trPr/>
        <w:tc>
          <w:tcPr>
            <w:tcW w:w="180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2210" w:type="dxa"/>
            <w:tcBorders/>
            <w:shd w:fill="auto" w:val="clear"/>
            <w:vAlign w:val="center"/>
          </w:tcPr>
          <w:p>
            <w:pPr>
              <w:pStyle w:val="TableContents"/>
              <w:spacing w:before="0" w:after="0"/>
              <w:jc w:val="center"/>
              <w:rPr/>
            </w:pPr>
            <w:r>
              <w:rPr/>
              <w:t>Chief Financial Officer</w:t>
            </w:r>
          </w:p>
        </w:tc>
      </w:tr>
    </w:tbl>
    <w:p>
      <w:pPr>
        <w:pStyle w:val="TextBody"/>
        <w:spacing w:before="0" w:after="0"/>
        <w:rPr/>
      </w:pPr>
      <w:r>
        <w:rPr/>
      </w:r>
    </w:p>
    <w:p>
      <w:pPr>
        <w:pStyle w:val="TextBody"/>
        <w:spacing w:before="0" w:after="0"/>
        <w:rPr/>
      </w:pPr>
      <w:r>
        <w:rPr/>
      </w:r>
    </w:p>
    <w:p>
      <w:pPr>
        <w:pStyle w:val="HorizontalLine"/>
        <w:pBdr>
          <w:bottom w:val="single" w:sz="20" w:space="0" w:color="808080"/>
        </w:pBdr>
        <w:rPr/>
      </w:pPr>
      <w:r>
        <w:rPr/>
      </w:r>
      <w:r>
        <w:br w:type="page"/>
      </w:r>
    </w:p>
    <w:p>
      <w:pPr>
        <w:pStyle w:val="HorizontalLine"/>
        <w:pBdr>
          <w:bottom w:val="single" w:sz="20" w:space="0" w:color="808080"/>
        </w:pBdr>
        <w:rPr/>
      </w:pPr>
      <w:r>
        <w:rPr/>
      </w:r>
      <w:bookmarkStart w:id="87" w:name="brhc20052584_ex32-1.htm"/>
      <w:bookmarkStart w:id="88" w:name="ksbrhc20052584_ex321"/>
      <w:bookmarkStart w:id="89" w:name="brhc20052584_ex32-1.htm"/>
      <w:bookmarkStart w:id="90" w:name="ksbrhc20052584_ex321"/>
      <w:bookmarkEnd w:id="89"/>
      <w:bookmarkEnd w:id="90"/>
    </w:p>
    <w:p>
      <w:pPr>
        <w:pStyle w:val="TextBody"/>
        <w:spacing w:before="0" w:after="0"/>
        <w:jc w:val="right"/>
        <w:rPr>
          <w:b/>
        </w:rPr>
      </w:pPr>
      <w:r>
        <w:rPr>
          <w:b/>
        </w:rPr>
        <w:t>Exhibit 32.1</w:t>
      </w:r>
    </w:p>
    <w:p>
      <w:pPr>
        <w:pStyle w:val="TextBody"/>
        <w:spacing w:before="0" w:after="0"/>
        <w:rPr/>
      </w:pPr>
      <w:r>
        <w:rPr/>
      </w:r>
    </w:p>
    <w:p>
      <w:pPr>
        <w:pStyle w:val="TextBody"/>
        <w:spacing w:before="0" w:after="0"/>
        <w:jc w:val="center"/>
        <w:rPr>
          <w:b/>
        </w:rPr>
      </w:pPr>
      <w:r>
        <w:rPr>
          <w:b/>
        </w:rPr>
        <w:t>CERTIFICATION PURSUANT TO</w:t>
      </w:r>
    </w:p>
    <w:p>
      <w:pPr>
        <w:pStyle w:val="TextBody"/>
        <w:spacing w:before="0" w:after="0"/>
        <w:jc w:val="center"/>
        <w:rPr>
          <w:b/>
        </w:rPr>
      </w:pPr>
      <w:r>
        <w:rPr>
          <w:b/>
        </w:rPr>
        <w:t>18 U.S.C. SECTION 1350, AS ADOPTED PURSUANT TO</w:t>
      </w:r>
    </w:p>
    <w:p>
      <w:pPr>
        <w:pStyle w:val="TextBody"/>
        <w:spacing w:before="0" w:after="0"/>
        <w:jc w:val="center"/>
        <w:rPr>
          <w:b/>
        </w:rPr>
      </w:pPr>
      <w:r>
        <w:rPr>
          <w:b/>
        </w:rPr>
        <w:t>SECTION 906 OF THE SARBANES-OXLEY ACT OF 2002</w:t>
      </w:r>
    </w:p>
    <w:p>
      <w:pPr>
        <w:pStyle w:val="TextBody"/>
        <w:spacing w:before="0" w:after="0"/>
        <w:rPr/>
      </w:pPr>
      <w:r>
        <w:rPr/>
      </w:r>
    </w:p>
    <w:p>
      <w:pPr>
        <w:pStyle w:val="TextBody"/>
        <w:spacing w:before="0" w:after="0"/>
        <w:jc w:val="both"/>
        <w:rPr/>
      </w:pPr>
      <w:r>
        <w:rPr/>
        <w:t>In connection with the Quarterly Report on Form 10-Q of South Plains Financial, Inc. (the “Company”) for the quarter ended March 31, 2023 (the “Report”), as filed with the Securities and Exchange Commission on the date hereof, I certify, pursuant to 18 U.S.C. § 1350, as adopted pursuant to § 906 of the Sarbanes-Oxley Act of 2002, that to the best of my knowledge:</w:t>
      </w:r>
    </w:p>
    <w:p>
      <w:pPr>
        <w:pStyle w:val="TextBody"/>
        <w:spacing w:before="0" w:after="0"/>
        <w:rPr/>
      </w:pPr>
      <w:r>
        <w:rPr/>
      </w:r>
    </w:p>
    <w:p>
      <w:pPr>
        <w:pStyle w:val="Normal"/>
        <w:spacing w:before="0" w:after="0"/>
        <w:rPr>
          <w:sz w:val="4"/>
          <w:szCs w:val="4"/>
        </w:rPr>
      </w:pPr>
      <w:r>
        <w:rPr>
          <w:sz w:val="4"/>
          <w:szCs w:val="4"/>
        </w:rPr>
      </w:r>
      <w:bookmarkStart w:id="91" w:name="zf34d2ec9bea94431b29bc5a2519b0cf3"/>
      <w:bookmarkStart w:id="92" w:name="zf34d2ec9bea94431b29bc5a2519b0cf3"/>
      <w:bookmarkEnd w:id="92"/>
    </w:p>
    <w:tbl>
      <w:tblPr>
        <w:tblW w:w="10205" w:type="dxa"/>
        <w:jc w:val="left"/>
        <w:tblInd w:w="0" w:type="dxa"/>
        <w:tblCellMar>
          <w:top w:w="0" w:type="dxa"/>
          <w:left w:w="0" w:type="dxa"/>
          <w:bottom w:w="0" w:type="dxa"/>
          <w:right w:w="0" w:type="dxa"/>
        </w:tblCellMar>
      </w:tblPr>
      <w:tblGrid>
        <w:gridCol w:w="75"/>
        <w:gridCol w:w="268"/>
        <w:gridCol w:w="9862"/>
      </w:tblGrid>
      <w:tr>
        <w:trPr/>
        <w:tc>
          <w:tcPr>
            <w:tcW w:w="75" w:type="dxa"/>
            <w:tcBorders/>
            <w:shd w:fill="auto" w:val="clear"/>
            <w:vAlign w:val="center"/>
          </w:tcPr>
          <w:p>
            <w:pPr>
              <w:pStyle w:val="TableContents"/>
              <w:spacing w:before="0" w:after="283"/>
              <w:rPr/>
            </w:pPr>
            <w:r>
              <w:rPr/>
              <w:t> </w:t>
            </w:r>
          </w:p>
        </w:tc>
        <w:tc>
          <w:tcPr>
            <w:tcW w:w="268" w:type="dxa"/>
            <w:tcBorders/>
            <w:shd w:fill="auto" w:val="clear"/>
            <w:vAlign w:val="center"/>
          </w:tcPr>
          <w:p>
            <w:pPr>
              <w:pStyle w:val="TableContents"/>
              <w:spacing w:before="0" w:after="283"/>
              <w:rPr/>
            </w:pPr>
            <w:r>
              <w:rPr/>
              <w:t>(1)</w:t>
            </w:r>
          </w:p>
        </w:tc>
        <w:tc>
          <w:tcPr>
            <w:tcW w:w="9862" w:type="dxa"/>
            <w:tcBorders/>
            <w:shd w:fill="auto" w:val="clear"/>
            <w:vAlign w:val="center"/>
          </w:tcPr>
          <w:p>
            <w:pPr>
              <w:pStyle w:val="TableContents"/>
              <w:spacing w:before="0" w:after="0"/>
              <w:jc w:val="both"/>
              <w:rPr/>
            </w:pPr>
            <w:r>
              <w:rPr/>
              <w:t>The Report fully complies with the requirements of Section 13(a) or Section 15(d) of the Securities Exchange Act of 1934, as amended; and</w:t>
            </w:r>
          </w:p>
        </w:tc>
      </w:tr>
    </w:tbl>
    <w:p>
      <w:pPr>
        <w:pStyle w:val="TextBody"/>
        <w:spacing w:before="0" w:after="0"/>
        <w:rPr/>
      </w:pPr>
      <w:r>
        <w:rPr/>
      </w:r>
    </w:p>
    <w:p>
      <w:pPr>
        <w:pStyle w:val="Normal"/>
        <w:spacing w:before="0" w:after="0"/>
        <w:rPr>
          <w:sz w:val="4"/>
          <w:szCs w:val="4"/>
        </w:rPr>
      </w:pPr>
      <w:r>
        <w:rPr>
          <w:sz w:val="4"/>
          <w:szCs w:val="4"/>
        </w:rPr>
      </w:r>
      <w:bookmarkStart w:id="93" w:name="ze4ff9e55556b4bc99ac0c1dc98fa004f"/>
      <w:bookmarkStart w:id="94" w:name="ze4ff9e55556b4bc99ac0c1dc98fa004f"/>
      <w:bookmarkEnd w:id="94"/>
    </w:p>
    <w:tbl>
      <w:tblPr>
        <w:tblW w:w="10205" w:type="dxa"/>
        <w:jc w:val="left"/>
        <w:tblInd w:w="0" w:type="dxa"/>
        <w:tblCellMar>
          <w:top w:w="0" w:type="dxa"/>
          <w:left w:w="0" w:type="dxa"/>
          <w:bottom w:w="0" w:type="dxa"/>
          <w:right w:w="0" w:type="dxa"/>
        </w:tblCellMar>
      </w:tblPr>
      <w:tblGrid>
        <w:gridCol w:w="38"/>
        <w:gridCol w:w="267"/>
        <w:gridCol w:w="9900"/>
      </w:tblGrid>
      <w:tr>
        <w:trPr/>
        <w:tc>
          <w:tcPr>
            <w:tcW w:w="38" w:type="dxa"/>
            <w:tcBorders/>
            <w:shd w:fill="auto" w:val="clear"/>
            <w:vAlign w:val="center"/>
          </w:tcPr>
          <w:p>
            <w:pPr>
              <w:pStyle w:val="TableContents"/>
              <w:spacing w:before="0" w:after="283"/>
              <w:rPr/>
            </w:pPr>
            <w:r>
              <w:rPr/>
            </w:r>
          </w:p>
        </w:tc>
        <w:tc>
          <w:tcPr>
            <w:tcW w:w="267" w:type="dxa"/>
            <w:tcBorders/>
            <w:shd w:fill="auto" w:val="clear"/>
            <w:vAlign w:val="center"/>
          </w:tcPr>
          <w:p>
            <w:pPr>
              <w:pStyle w:val="TableContents"/>
              <w:spacing w:before="0" w:after="283"/>
              <w:rPr/>
            </w:pPr>
            <w:r>
              <w:rPr/>
              <w:t>(2)</w:t>
            </w:r>
          </w:p>
        </w:tc>
        <w:tc>
          <w:tcPr>
            <w:tcW w:w="9900" w:type="dxa"/>
            <w:tcBorders/>
            <w:shd w:fill="auto" w:val="clear"/>
            <w:vAlign w:val="center"/>
          </w:tcPr>
          <w:p>
            <w:pPr>
              <w:pStyle w:val="TableContents"/>
              <w:spacing w:before="0" w:after="0"/>
              <w:jc w:val="both"/>
              <w:rPr/>
            </w:pPr>
            <w:r>
              <w:rPr/>
              <w:t>The information contained in the Report fairly presents, in all material respects, the financial condition and results of operations of the Company.</w:t>
            </w:r>
          </w:p>
        </w:tc>
      </w:tr>
    </w:tbl>
    <w:p>
      <w:pPr>
        <w:pStyle w:val="TextBody"/>
        <w:spacing w:before="0" w:after="0"/>
        <w:rPr/>
      </w:pPr>
      <w:r>
        <w:rPr/>
      </w:r>
    </w:p>
    <w:p>
      <w:pPr>
        <w:pStyle w:val="Normal"/>
        <w:spacing w:before="0" w:after="0"/>
        <w:rPr>
          <w:sz w:val="4"/>
          <w:szCs w:val="4"/>
        </w:rPr>
      </w:pPr>
      <w:r>
        <w:rPr>
          <w:sz w:val="4"/>
          <w:szCs w:val="4"/>
        </w:rPr>
      </w:r>
      <w:bookmarkStart w:id="95" w:name="zb270bb869491450abc065828d5c01398"/>
      <w:bookmarkStart w:id="96" w:name="zb270bb869491450abc065828d5c01398"/>
      <w:bookmarkEnd w:id="96"/>
    </w:p>
    <w:tbl>
      <w:tblPr>
        <w:tblW w:w="5850" w:type="dxa"/>
        <w:jc w:val="left"/>
        <w:tblInd w:w="0" w:type="dxa"/>
        <w:tblCellMar>
          <w:top w:w="0" w:type="dxa"/>
          <w:left w:w="0" w:type="dxa"/>
          <w:bottom w:w="0" w:type="dxa"/>
          <w:right w:w="0" w:type="dxa"/>
        </w:tblCellMar>
      </w:tblPr>
      <w:tblGrid>
        <w:gridCol w:w="1805"/>
        <w:gridCol w:w="365"/>
        <w:gridCol w:w="3680"/>
      </w:tblGrid>
      <w:tr>
        <w:trPr/>
        <w:tc>
          <w:tcPr>
            <w:tcW w:w="1805" w:type="dxa"/>
            <w:tcBorders/>
            <w:shd w:fill="auto" w:val="clear"/>
            <w:vAlign w:val="center"/>
          </w:tcPr>
          <w:p>
            <w:pPr>
              <w:pStyle w:val="TableContents"/>
              <w:spacing w:before="0" w:after="0"/>
              <w:rPr/>
            </w:pPr>
            <w:r>
              <w:rPr/>
              <w:t>Date: May 8, 2023</w:t>
            </w:r>
          </w:p>
        </w:tc>
        <w:tc>
          <w:tcPr>
            <w:tcW w:w="365" w:type="dxa"/>
            <w:tcBorders/>
            <w:shd w:fill="auto" w:val="clear"/>
            <w:vAlign w:val="center"/>
          </w:tcPr>
          <w:p>
            <w:pPr>
              <w:pStyle w:val="TableContents"/>
              <w:spacing w:before="0" w:after="0"/>
              <w:rPr/>
            </w:pPr>
            <w:r>
              <w:rPr/>
              <w:t>By:</w:t>
            </w:r>
          </w:p>
        </w:tc>
        <w:tc>
          <w:tcPr>
            <w:tcW w:w="3680" w:type="dxa"/>
            <w:tcBorders>
              <w:bottom w:val="single" w:sz="12" w:space="0" w:color="000000"/>
            </w:tcBorders>
            <w:shd w:fill="auto" w:val="clear"/>
            <w:tcMar>
              <w:bottom w:w="28" w:type="dxa"/>
            </w:tcMar>
            <w:vAlign w:val="center"/>
          </w:tcPr>
          <w:p>
            <w:pPr>
              <w:pStyle w:val="TableContents"/>
              <w:spacing w:before="0" w:after="0"/>
              <w:jc w:val="center"/>
              <w:rPr/>
            </w:pPr>
            <w:r>
              <w:rPr/>
              <w:t>/s/ Curtis C. Griffith</w:t>
            </w:r>
          </w:p>
        </w:tc>
      </w:tr>
      <w:tr>
        <w:trPr/>
        <w:tc>
          <w:tcPr>
            <w:tcW w:w="180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3680" w:type="dxa"/>
            <w:tcBorders/>
            <w:shd w:fill="auto" w:val="clear"/>
            <w:vAlign w:val="center"/>
          </w:tcPr>
          <w:p>
            <w:pPr>
              <w:pStyle w:val="TableContents"/>
              <w:spacing w:before="0" w:after="0"/>
              <w:jc w:val="center"/>
              <w:rPr/>
            </w:pPr>
            <w:r>
              <w:rPr/>
              <w:t>Curtis C. Griffith</w:t>
            </w:r>
          </w:p>
        </w:tc>
      </w:tr>
      <w:tr>
        <w:trPr/>
        <w:tc>
          <w:tcPr>
            <w:tcW w:w="180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3680" w:type="dxa"/>
            <w:tcBorders/>
            <w:shd w:fill="auto" w:val="clear"/>
            <w:vAlign w:val="center"/>
          </w:tcPr>
          <w:p>
            <w:pPr>
              <w:pStyle w:val="TableContents"/>
              <w:spacing w:before="0" w:after="0"/>
              <w:jc w:val="center"/>
              <w:rPr/>
            </w:pPr>
            <w:r>
              <w:rPr/>
              <w:t>Chairman and Chief Executive Officer</w:t>
            </w:r>
          </w:p>
        </w:tc>
      </w:tr>
    </w:tbl>
    <w:p>
      <w:pPr>
        <w:pStyle w:val="TextBody"/>
        <w:spacing w:before="0" w:after="0"/>
        <w:rPr/>
      </w:pPr>
      <w:r>
        <w:rPr/>
      </w:r>
    </w:p>
    <w:p>
      <w:pPr>
        <w:pStyle w:val="TextBody"/>
        <w:spacing w:before="0" w:after="0"/>
        <w:rPr/>
      </w:pPr>
      <w:r>
        <w:rPr/>
      </w:r>
    </w:p>
    <w:p>
      <w:pPr>
        <w:pStyle w:val="HorizontalLine"/>
        <w:pBdr>
          <w:bottom w:val="single" w:sz="20" w:space="0" w:color="808080"/>
        </w:pBdr>
        <w:rPr/>
      </w:pPr>
      <w:r>
        <w:rPr/>
      </w:r>
      <w:r>
        <w:br w:type="page"/>
      </w:r>
    </w:p>
    <w:p>
      <w:pPr>
        <w:pStyle w:val="HorizontalLine"/>
        <w:pBdr>
          <w:bottom w:val="single" w:sz="20" w:space="0" w:color="808080"/>
        </w:pBdr>
        <w:rPr/>
      </w:pPr>
      <w:r>
        <w:rPr/>
      </w:r>
      <w:bookmarkStart w:id="97" w:name="brhc20052584_ex32-2.htm"/>
      <w:bookmarkStart w:id="98" w:name="ksbrhc20052584_ex322"/>
      <w:bookmarkStart w:id="99" w:name="brhc20052584_ex32-2.htm"/>
      <w:bookmarkStart w:id="100" w:name="ksbrhc20052584_ex322"/>
      <w:bookmarkEnd w:id="99"/>
      <w:bookmarkEnd w:id="100"/>
    </w:p>
    <w:p>
      <w:pPr>
        <w:pStyle w:val="TextBody"/>
        <w:spacing w:before="0" w:after="0"/>
        <w:jc w:val="right"/>
        <w:rPr>
          <w:b/>
        </w:rPr>
      </w:pPr>
      <w:r>
        <w:rPr>
          <w:b/>
        </w:rPr>
        <w:t>Exhibit 32.2</w:t>
      </w:r>
    </w:p>
    <w:p>
      <w:pPr>
        <w:pStyle w:val="TextBody"/>
        <w:spacing w:before="0" w:after="0"/>
        <w:rPr/>
      </w:pPr>
      <w:r>
        <w:rPr/>
      </w:r>
    </w:p>
    <w:p>
      <w:pPr>
        <w:pStyle w:val="TextBody"/>
        <w:spacing w:before="0" w:after="0"/>
        <w:jc w:val="center"/>
        <w:rPr>
          <w:b/>
        </w:rPr>
      </w:pPr>
      <w:r>
        <w:rPr>
          <w:b/>
        </w:rPr>
        <w:t>CERTIFICATION PURSUANT TO</w:t>
      </w:r>
    </w:p>
    <w:p>
      <w:pPr>
        <w:pStyle w:val="TextBody"/>
        <w:spacing w:before="0" w:after="0"/>
        <w:jc w:val="center"/>
        <w:rPr>
          <w:b/>
        </w:rPr>
      </w:pPr>
      <w:r>
        <w:rPr>
          <w:b/>
        </w:rPr>
        <w:t>18 U.S.C. SECTION 1350, AS ADOPTED PURSUANT TO</w:t>
      </w:r>
    </w:p>
    <w:p>
      <w:pPr>
        <w:pStyle w:val="TextBody"/>
        <w:spacing w:before="0" w:after="0"/>
        <w:jc w:val="center"/>
        <w:rPr>
          <w:b/>
        </w:rPr>
      </w:pPr>
      <w:r>
        <w:rPr>
          <w:b/>
        </w:rPr>
        <w:t>SECTION 906 OF THE SARBANES-OXLEY ACT OF 2002</w:t>
      </w:r>
    </w:p>
    <w:p>
      <w:pPr>
        <w:pStyle w:val="TextBody"/>
        <w:spacing w:before="0" w:after="0"/>
        <w:rPr/>
      </w:pPr>
      <w:r>
        <w:rPr/>
      </w:r>
    </w:p>
    <w:p>
      <w:pPr>
        <w:pStyle w:val="TextBody"/>
        <w:spacing w:before="0" w:after="0"/>
        <w:jc w:val="both"/>
        <w:rPr/>
      </w:pPr>
      <w:r>
        <w:rPr/>
        <w:t>In connection with the Quarterly Report on Form 10-Q of South Plains Financial, Inc. (the “Company”) for the quarter ended March 31, 2023 (the “Report”), as filed with the Securities and Exchange Commission on the date hereof, I certify, pursuant to 18 U.S.C. § 1350, as adopted pursuant to § 906 of the Sarbanes-Oxley Act of 2002, that to the best of my knowledge:</w:t>
      </w:r>
    </w:p>
    <w:p>
      <w:pPr>
        <w:pStyle w:val="TextBody"/>
        <w:spacing w:before="0" w:after="0"/>
        <w:rPr/>
      </w:pPr>
      <w:r>
        <w:rPr/>
      </w:r>
    </w:p>
    <w:p>
      <w:pPr>
        <w:pStyle w:val="Normal"/>
        <w:spacing w:before="0" w:after="0"/>
        <w:rPr>
          <w:sz w:val="4"/>
          <w:szCs w:val="4"/>
        </w:rPr>
      </w:pPr>
      <w:r>
        <w:rPr>
          <w:sz w:val="4"/>
          <w:szCs w:val="4"/>
        </w:rPr>
      </w:r>
      <w:bookmarkStart w:id="101" w:name="z24fe0b714a814139b67df3f5db599ae3"/>
      <w:bookmarkStart w:id="102" w:name="z24fe0b714a814139b67df3f5db599ae3"/>
      <w:bookmarkEnd w:id="102"/>
    </w:p>
    <w:tbl>
      <w:tblPr>
        <w:tblW w:w="10205" w:type="dxa"/>
        <w:jc w:val="left"/>
        <w:tblInd w:w="0" w:type="dxa"/>
        <w:tblCellMar>
          <w:top w:w="0" w:type="dxa"/>
          <w:left w:w="0" w:type="dxa"/>
          <w:bottom w:w="0" w:type="dxa"/>
          <w:right w:w="0" w:type="dxa"/>
        </w:tblCellMar>
      </w:tblPr>
      <w:tblGrid>
        <w:gridCol w:w="75"/>
        <w:gridCol w:w="268"/>
        <w:gridCol w:w="9862"/>
      </w:tblGrid>
      <w:tr>
        <w:trPr/>
        <w:tc>
          <w:tcPr>
            <w:tcW w:w="75" w:type="dxa"/>
            <w:tcBorders/>
            <w:shd w:fill="auto" w:val="clear"/>
            <w:vAlign w:val="center"/>
          </w:tcPr>
          <w:p>
            <w:pPr>
              <w:pStyle w:val="TableContents"/>
              <w:spacing w:before="0" w:after="283"/>
              <w:rPr/>
            </w:pPr>
            <w:r>
              <w:rPr/>
              <w:t> </w:t>
            </w:r>
          </w:p>
        </w:tc>
        <w:tc>
          <w:tcPr>
            <w:tcW w:w="268" w:type="dxa"/>
            <w:tcBorders/>
            <w:shd w:fill="auto" w:val="clear"/>
            <w:vAlign w:val="center"/>
          </w:tcPr>
          <w:p>
            <w:pPr>
              <w:pStyle w:val="TableContents"/>
              <w:spacing w:before="0" w:after="283"/>
              <w:rPr/>
            </w:pPr>
            <w:r>
              <w:rPr/>
              <w:t>(1)</w:t>
            </w:r>
          </w:p>
        </w:tc>
        <w:tc>
          <w:tcPr>
            <w:tcW w:w="9862" w:type="dxa"/>
            <w:tcBorders/>
            <w:shd w:fill="auto" w:val="clear"/>
            <w:vAlign w:val="center"/>
          </w:tcPr>
          <w:p>
            <w:pPr>
              <w:pStyle w:val="TableContents"/>
              <w:spacing w:before="0" w:after="0"/>
              <w:jc w:val="both"/>
              <w:rPr/>
            </w:pPr>
            <w:r>
              <w:rPr/>
              <w:t>The Report fully complies with the requirements of Section 13(a) or Section 15(d) of the Securities Exchange Act of 1934, as amended; and</w:t>
            </w:r>
          </w:p>
        </w:tc>
      </w:tr>
    </w:tbl>
    <w:p>
      <w:pPr>
        <w:pStyle w:val="TextBody"/>
        <w:spacing w:before="0" w:after="0"/>
        <w:rPr/>
      </w:pPr>
      <w:r>
        <w:rPr/>
      </w:r>
    </w:p>
    <w:p>
      <w:pPr>
        <w:pStyle w:val="Normal"/>
        <w:spacing w:before="0" w:after="0"/>
        <w:rPr>
          <w:sz w:val="4"/>
          <w:szCs w:val="4"/>
        </w:rPr>
      </w:pPr>
      <w:r>
        <w:rPr>
          <w:sz w:val="4"/>
          <w:szCs w:val="4"/>
        </w:rPr>
      </w:r>
      <w:bookmarkStart w:id="103" w:name="z5b3ea9001fec4386987a28f9e0bcb8e5"/>
      <w:bookmarkStart w:id="104" w:name="z5b3ea9001fec4386987a28f9e0bcb8e5"/>
      <w:bookmarkEnd w:id="104"/>
    </w:p>
    <w:tbl>
      <w:tblPr>
        <w:tblW w:w="10205" w:type="dxa"/>
        <w:jc w:val="left"/>
        <w:tblInd w:w="0" w:type="dxa"/>
        <w:tblCellMar>
          <w:top w:w="0" w:type="dxa"/>
          <w:left w:w="0" w:type="dxa"/>
          <w:bottom w:w="0" w:type="dxa"/>
          <w:right w:w="0" w:type="dxa"/>
        </w:tblCellMar>
      </w:tblPr>
      <w:tblGrid>
        <w:gridCol w:w="75"/>
        <w:gridCol w:w="267"/>
        <w:gridCol w:w="9863"/>
      </w:tblGrid>
      <w:tr>
        <w:trPr/>
        <w:tc>
          <w:tcPr>
            <w:tcW w:w="75" w:type="dxa"/>
            <w:tcBorders/>
            <w:shd w:fill="auto" w:val="clear"/>
            <w:vAlign w:val="center"/>
          </w:tcPr>
          <w:p>
            <w:pPr>
              <w:pStyle w:val="TableContents"/>
              <w:spacing w:before="0" w:after="283"/>
              <w:rPr/>
            </w:pPr>
            <w:r>
              <w:rPr/>
              <w:t> </w:t>
            </w:r>
          </w:p>
        </w:tc>
        <w:tc>
          <w:tcPr>
            <w:tcW w:w="267" w:type="dxa"/>
            <w:tcBorders/>
            <w:shd w:fill="auto" w:val="clear"/>
            <w:vAlign w:val="center"/>
          </w:tcPr>
          <w:p>
            <w:pPr>
              <w:pStyle w:val="TableContents"/>
              <w:spacing w:before="0" w:after="283"/>
              <w:rPr/>
            </w:pPr>
            <w:r>
              <w:rPr/>
              <w:t>(2)</w:t>
            </w:r>
          </w:p>
        </w:tc>
        <w:tc>
          <w:tcPr>
            <w:tcW w:w="9863" w:type="dxa"/>
            <w:tcBorders/>
            <w:shd w:fill="auto" w:val="clear"/>
            <w:vAlign w:val="center"/>
          </w:tcPr>
          <w:p>
            <w:pPr>
              <w:pStyle w:val="TableContents"/>
              <w:spacing w:before="0" w:after="0"/>
              <w:jc w:val="both"/>
              <w:rPr/>
            </w:pPr>
            <w:r>
              <w:rPr/>
              <w:t>The information contained in the Report fairly presents, in all material respects, the financial condition and results of operations of the Company.</w:t>
            </w:r>
          </w:p>
        </w:tc>
      </w:tr>
    </w:tbl>
    <w:p>
      <w:pPr>
        <w:pStyle w:val="TextBody"/>
        <w:spacing w:before="0" w:after="0"/>
        <w:rPr/>
      </w:pPr>
      <w:r>
        <w:rPr/>
      </w:r>
    </w:p>
    <w:p>
      <w:pPr>
        <w:pStyle w:val="Normal"/>
        <w:spacing w:before="0" w:after="0"/>
        <w:rPr>
          <w:sz w:val="4"/>
          <w:szCs w:val="4"/>
        </w:rPr>
      </w:pPr>
      <w:r>
        <w:rPr>
          <w:sz w:val="4"/>
          <w:szCs w:val="4"/>
        </w:rPr>
      </w:r>
      <w:bookmarkStart w:id="105" w:name="zeca764a6866a4d84bd358dc8603c4df7"/>
      <w:bookmarkStart w:id="106" w:name="zeca764a6866a4d84bd358dc8603c4df7"/>
      <w:bookmarkEnd w:id="106"/>
    </w:p>
    <w:tbl>
      <w:tblPr>
        <w:tblW w:w="4380" w:type="dxa"/>
        <w:jc w:val="left"/>
        <w:tblInd w:w="0" w:type="dxa"/>
        <w:tblCellMar>
          <w:top w:w="0" w:type="dxa"/>
          <w:left w:w="0" w:type="dxa"/>
          <w:bottom w:w="0" w:type="dxa"/>
          <w:right w:w="0" w:type="dxa"/>
        </w:tblCellMar>
      </w:tblPr>
      <w:tblGrid>
        <w:gridCol w:w="1805"/>
        <w:gridCol w:w="365"/>
        <w:gridCol w:w="2210"/>
      </w:tblGrid>
      <w:tr>
        <w:trPr/>
        <w:tc>
          <w:tcPr>
            <w:tcW w:w="1805" w:type="dxa"/>
            <w:tcBorders/>
            <w:shd w:fill="auto" w:val="clear"/>
            <w:vAlign w:val="center"/>
          </w:tcPr>
          <w:p>
            <w:pPr>
              <w:pStyle w:val="TableContents"/>
              <w:spacing w:before="0" w:after="0"/>
              <w:rPr/>
            </w:pPr>
            <w:r>
              <w:rPr/>
              <w:t>Date: May 8, 2023</w:t>
            </w:r>
          </w:p>
        </w:tc>
        <w:tc>
          <w:tcPr>
            <w:tcW w:w="365" w:type="dxa"/>
            <w:tcBorders/>
            <w:shd w:fill="auto" w:val="clear"/>
            <w:vAlign w:val="center"/>
          </w:tcPr>
          <w:p>
            <w:pPr>
              <w:pStyle w:val="TableContents"/>
              <w:spacing w:before="0" w:after="0"/>
              <w:rPr/>
            </w:pPr>
            <w:r>
              <w:rPr/>
              <w:t>By:</w:t>
            </w:r>
          </w:p>
        </w:tc>
        <w:tc>
          <w:tcPr>
            <w:tcW w:w="2210" w:type="dxa"/>
            <w:tcBorders>
              <w:bottom w:val="single" w:sz="12" w:space="0" w:color="000000"/>
            </w:tcBorders>
            <w:shd w:fill="auto" w:val="clear"/>
            <w:tcMar>
              <w:bottom w:w="28" w:type="dxa"/>
            </w:tcMar>
            <w:vAlign w:val="center"/>
          </w:tcPr>
          <w:p>
            <w:pPr>
              <w:pStyle w:val="TableContents"/>
              <w:spacing w:before="0" w:after="0"/>
              <w:jc w:val="center"/>
              <w:rPr/>
            </w:pPr>
            <w:r>
              <w:rPr/>
              <w:t>/s/ Steven B. Crockett</w:t>
            </w:r>
          </w:p>
        </w:tc>
      </w:tr>
      <w:tr>
        <w:trPr/>
        <w:tc>
          <w:tcPr>
            <w:tcW w:w="180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2210" w:type="dxa"/>
            <w:tcBorders/>
            <w:shd w:fill="auto" w:val="clear"/>
            <w:vAlign w:val="center"/>
          </w:tcPr>
          <w:p>
            <w:pPr>
              <w:pStyle w:val="TableContents"/>
              <w:spacing w:before="0" w:after="0"/>
              <w:jc w:val="center"/>
              <w:rPr/>
            </w:pPr>
            <w:r>
              <w:rPr/>
              <w:t>Steven B. Crockett</w:t>
            </w:r>
          </w:p>
        </w:tc>
      </w:tr>
      <w:tr>
        <w:trPr/>
        <w:tc>
          <w:tcPr>
            <w:tcW w:w="180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2210" w:type="dxa"/>
            <w:tcBorders/>
            <w:shd w:fill="auto" w:val="clear"/>
            <w:vAlign w:val="center"/>
          </w:tcPr>
          <w:p>
            <w:pPr>
              <w:pStyle w:val="TableContents"/>
              <w:spacing w:before="0" w:after="0"/>
              <w:jc w:val="center"/>
              <w:rPr/>
            </w:pPr>
            <w:r>
              <w:rPr/>
              <w:t>Chief Financial Officer</w:t>
            </w:r>
          </w:p>
        </w:tc>
      </w:tr>
    </w:tbl>
    <w:p>
      <w:pPr>
        <w:pStyle w:val="TextBody"/>
        <w:spacing w:before="0" w:after="0"/>
        <w:rPr/>
      </w:pPr>
      <w:r>
        <w:rPr/>
      </w:r>
    </w:p>
    <w:p>
      <w:pPr>
        <w:pStyle w:val="TextBody"/>
        <w:spacing w:before="0" w:after="0"/>
        <w:rPr/>
      </w:pPr>
      <w:r>
        <w:rPr/>
      </w:r>
    </w:p>
    <w:p>
      <w:pPr>
        <w:pStyle w:val="HorizontalLine"/>
        <w:pBdr>
          <w:bottom w:val="single" w:sz="20" w:space="0" w:color="808080"/>
        </w:pBdr>
        <w:spacing w:before="0" w:after="283"/>
        <w:rPr/>
      </w:pPr>
      <w:r>
        <w:rPr/>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163668/000114036119007042/s002614x4_ex3-1.htm" TargetMode="External"/><Relationship Id="rId3" Type="http://schemas.openxmlformats.org/officeDocument/2006/relationships/hyperlink" Target="https://www.sec.gov/Archives/edgar/data/1163668/000114036121036078/brhc10030259_ex3-1.htm" TargetMode="External"/><Relationship Id="rId4" Type="http://schemas.openxmlformats.org/officeDocument/2006/relationships/image" Target="media/image1.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13</Pages>
  <Words>33124</Words>
  <CharactersWithSpaces>220874</CharactersWithSpaces>
  <Paragraphs>14531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