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ind w:left="696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333-250021</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746125</wp:posOffset>
            </wp:positionV>
            <wp:extent cx="1097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111760</wp:posOffset>
            </wp:positionV>
            <wp:extent cx="292290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2290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14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$50,000,000 aggregate principal amount of</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4.50% Fixed-to-Floating Rate Subordinated Notes due 2030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any and all outstanding unregistered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Fixed-to-Floating Rate Subordinated Notes due 2030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125730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exchange offer will expire at 5:00 p.m., Eastern Standard Time, on January 7, 2021, unless extended.</w:t>
      </w:r>
    </w:p>
    <w:p>
      <w:pPr>
        <w:spacing w:after="0" w:line="104" w:lineRule="exact"/>
        <w:rPr>
          <w:sz w:val="24"/>
          <w:szCs w:val="24"/>
          <w:color w:val="auto"/>
        </w:rPr>
      </w:pPr>
    </w:p>
    <w:p>
      <w:pPr>
        <w:jc w:val="both"/>
        <w:ind w:firstLine="360"/>
        <w:spacing w:after="0" w:line="273" w:lineRule="auto"/>
        <w:rPr>
          <w:sz w:val="20"/>
          <w:szCs w:val="20"/>
          <w:color w:val="auto"/>
        </w:rPr>
      </w:pPr>
      <w:r>
        <w:rPr>
          <w:rFonts w:ascii="Arial" w:cs="Arial" w:eastAsia="Arial" w:hAnsi="Arial"/>
          <w:sz w:val="17"/>
          <w:szCs w:val="17"/>
          <w:color w:val="auto"/>
        </w:rPr>
        <w:t>We are offering to exchange 4.50% Fixed-to-Floating Rate Subordinated Notes due 2030 that have been registered under the Securities Act of 1933, as amended (the “Securities Act”), which we refer to in this prospectus as the “New Notes,” for any and all of our outstanding unregistered 4.50% Fixed-to-Floating Rate Subordinated Notes due 2030 that we issued in a private placement on September 29, 2020, which we refer to in this prospectus as the “Old Notes.” We are making this offer to exchange the New Notes for the Old Notes to satisfy our obligations under certain registration rights agreements that we entered into with the purchasers of the Old Notes in connection with our issuance of the Old Notes to those purchasers.</w:t>
      </w:r>
    </w:p>
    <w:p>
      <w:pPr>
        <w:spacing w:after="0" w:line="43" w:lineRule="exact"/>
        <w:rPr>
          <w:sz w:val="24"/>
          <w:szCs w:val="24"/>
          <w:color w:val="auto"/>
        </w:rPr>
      </w:pPr>
    </w:p>
    <w:p>
      <w:pPr>
        <w:jc w:val="both"/>
        <w:ind w:firstLine="360"/>
        <w:spacing w:after="0" w:line="259" w:lineRule="auto"/>
        <w:rPr>
          <w:sz w:val="20"/>
          <w:szCs w:val="20"/>
          <w:color w:val="auto"/>
        </w:rPr>
      </w:pPr>
      <w:r>
        <w:rPr>
          <w:rFonts w:ascii="Arial" w:cs="Arial" w:eastAsia="Arial" w:hAnsi="Arial"/>
          <w:sz w:val="18"/>
          <w:szCs w:val="18"/>
          <w:color w:val="auto"/>
        </w:rPr>
        <w:t>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w:t>
      </w:r>
    </w:p>
    <w:p>
      <w:pPr>
        <w:spacing w:after="0" w:line="65" w:lineRule="exact"/>
        <w:rPr>
          <w:sz w:val="24"/>
          <w:szCs w:val="24"/>
          <w:color w:val="auto"/>
        </w:rPr>
      </w:pPr>
    </w:p>
    <w:p>
      <w:pPr>
        <w:jc w:val="both"/>
        <w:ind w:firstLine="360"/>
        <w:spacing w:after="0" w:line="272" w:lineRule="auto"/>
        <w:rPr>
          <w:sz w:val="20"/>
          <w:szCs w:val="20"/>
          <w:color w:val="auto"/>
        </w:rPr>
      </w:pPr>
      <w:r>
        <w:rPr>
          <w:rFonts w:ascii="Arial" w:cs="Arial" w:eastAsia="Arial" w:hAnsi="Arial"/>
          <w:sz w:val="17"/>
          <w:szCs w:val="17"/>
          <w:color w:val="auto"/>
        </w:rPr>
        <w:t>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agreements that we entered into with the initial purchasers of the Old Notes and do not have the right to additional interest under the circumstances described in the registration rights agreements relating to our fulfillment of our registration obligations. The New Notes evidence the same debt as the Old Notes and are governed by the same indenture under which the Old Notes were issued.</w:t>
      </w:r>
    </w:p>
    <w:p>
      <w:pPr>
        <w:spacing w:after="0" w:line="56" w:lineRule="exact"/>
        <w:rPr>
          <w:sz w:val="24"/>
          <w:szCs w:val="24"/>
          <w:color w:val="auto"/>
        </w:rPr>
      </w:pPr>
    </w:p>
    <w:p>
      <w:pPr>
        <w:jc w:val="both"/>
        <w:ind w:firstLine="360"/>
        <w:spacing w:after="0" w:line="286" w:lineRule="auto"/>
        <w:rPr>
          <w:sz w:val="20"/>
          <w:szCs w:val="20"/>
          <w:color w:val="auto"/>
        </w:rPr>
      </w:pPr>
      <w:r>
        <w:rPr>
          <w:rFonts w:ascii="Arial" w:cs="Arial" w:eastAsia="Arial" w:hAnsi="Arial"/>
          <w:sz w:val="17"/>
          <w:szCs w:val="17"/>
          <w:color w:val="auto"/>
        </w:rPr>
        <w:t>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w:t>
      </w:r>
    </w:p>
    <w:p>
      <w:pPr>
        <w:spacing w:after="0" w:line="30" w:lineRule="exact"/>
        <w:rPr>
          <w:sz w:val="24"/>
          <w:szCs w:val="24"/>
          <w:color w:val="auto"/>
        </w:rPr>
      </w:pPr>
    </w:p>
    <w:p>
      <w:pPr>
        <w:jc w:val="both"/>
        <w:ind w:right="20" w:firstLine="360"/>
        <w:spacing w:after="0" w:line="263" w:lineRule="auto"/>
        <w:rPr>
          <w:sz w:val="20"/>
          <w:szCs w:val="20"/>
          <w:color w:val="auto"/>
        </w:rPr>
      </w:pPr>
      <w:r>
        <w:rPr>
          <w:rFonts w:ascii="Arial" w:cs="Arial" w:eastAsia="Arial" w:hAnsi="Arial"/>
          <w:sz w:val="18"/>
          <w:szCs w:val="18"/>
          <w:color w:val="auto"/>
        </w:rPr>
        <w:t>You may withdraw your book-entry tender of Old Notes at any time prior to the expiration of the exchange offer. We will exchange all of the outstanding Old Notes that are validly tendered and not validly withdrawn prior to the expiration of the exchange offer for an equal principal amount of New Notes.</w:t>
      </w:r>
    </w:p>
    <w:p>
      <w:pPr>
        <w:spacing w:after="0" w:line="62" w:lineRule="exact"/>
        <w:rPr>
          <w:sz w:val="24"/>
          <w:szCs w:val="24"/>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“Plan of Distribution.”</w:t>
      </w:r>
    </w:p>
    <w:p>
      <w:pPr>
        <w:spacing w:after="0" w:line="62" w:lineRule="exact"/>
        <w:rPr>
          <w:sz w:val="24"/>
          <w:szCs w:val="24"/>
          <w:color w:val="auto"/>
        </w:rPr>
      </w:pPr>
    </w:p>
    <w:p>
      <w:pPr>
        <w:jc w:val="both"/>
        <w:ind w:right="20" w:firstLine="3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certain risks. See “Risk Factors” beginning on page </w:t>
      </w:r>
      <w:hyperlink w:anchor="page15">
        <w:r>
          <w:rPr>
            <w:rFonts w:ascii="Arial" w:cs="Arial" w:eastAsia="Arial" w:hAnsi="Arial"/>
            <w:sz w:val="18"/>
            <w:szCs w:val="18"/>
            <w:b w:val="1"/>
            <w:bCs w:val="1"/>
            <w:u w:val="single" w:color="auto"/>
            <w:color w:val="0000EE"/>
          </w:rPr>
          <w:t>13</w:t>
        </w:r>
      </w:hyperlink>
      <w:r>
        <w:rPr>
          <w:rFonts w:ascii="Arial" w:cs="Arial" w:eastAsia="Arial" w:hAnsi="Arial"/>
          <w:sz w:val="18"/>
          <w:szCs w:val="18"/>
          <w:b w:val="1"/>
          <w:bCs w:val="1"/>
          <w:color w:val="auto"/>
        </w:rPr>
        <w:t>, as well as the risk factors contained in our Annual Report on Form 10-K for the fiscal year ended December 31, 2019, our Quarterly Report on Form 10-Q for the fiscal quarter ended September 30, 2020 and in the other reports filed by us with the Securities and Exchange Commission and incorporated by reference into this prospectus.</w:t>
      </w:r>
    </w:p>
    <w:p>
      <w:pPr>
        <w:spacing w:after="0" w:line="45" w:lineRule="exact"/>
        <w:rPr>
          <w:sz w:val="24"/>
          <w:szCs w:val="24"/>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The securities to be exchanged are not savings accounts, deposits or other obligations of any of our bank or non-bank subsidiaries and are not insured by the Federal Deposit Insurance Corporation or any other governmental agency, nor are they obligations of, or guaranteed by, a bank or savings association.</w:t>
      </w:r>
    </w:p>
    <w:p>
      <w:pPr>
        <w:spacing w:after="0" w:line="54" w:lineRule="exact"/>
        <w:rPr>
          <w:sz w:val="24"/>
          <w:szCs w:val="24"/>
          <w:color w:val="auto"/>
        </w:rPr>
      </w:pPr>
    </w:p>
    <w:p>
      <w:pPr>
        <w:jc w:val="both"/>
        <w:ind w:right="20" w:firstLine="360"/>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the Federal Deposit Insurance Corporation, the Board of Governors of the Federal Reserve System nor any other regulatory body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2463800</wp:posOffset>
            </wp:positionH>
            <wp:positionV relativeFrom="paragraph">
              <wp:posOffset>82550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December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25" w:right="1199" w:bottom="1440"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61"/>
        </w:trPr>
        <w:tc>
          <w:tcPr>
            <w:tcW w:w="8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r>
        <w:trPr>
          <w:trHeight w:val="237"/>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INCORPORATION OF CERTAIN DOCUMENTS BY REFERENCE</w:t>
              </w:r>
            </w:hyperlink>
          </w:p>
        </w:tc>
        <w:tc>
          <w:tcPr>
            <w:tcW w:w="300" w:type="dxa"/>
            <w:vAlign w:val="bottom"/>
            <w:gridSpan w:val="3"/>
          </w:tcPr>
          <w:p>
            <w:pPr>
              <w:jc w:val="right"/>
              <w:ind w:right="8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WHERE YOU CAN FIND MORE INFORMATION</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74"/>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SPECIAL NOTE REGARDING FORWARD-LOOKING STATEMENTS</w:t>
              </w:r>
            </w:hyperlink>
          </w:p>
        </w:tc>
        <w:tc>
          <w:tcPr>
            <w:tcW w:w="300" w:type="dxa"/>
            <w:vAlign w:val="bottom"/>
            <w:gridSpan w:val="3"/>
          </w:tcPr>
          <w:p>
            <w:pPr>
              <w:jc w:val="right"/>
              <w:ind w:right="8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SUMMARY</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USE OF PROCEEDS</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23</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THE EXCHANGE OFFER</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DESCRIPTION OF THE NOTES</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CERTAIN UNITED STATES FEDERAL INCOME TAX CONSIDERATIONS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PLAN OF DISTRIBUTION</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EXPERTS</w:t>
              </w:r>
            </w:hyperlink>
          </w:p>
        </w:tc>
        <w:tc>
          <w:tcPr>
            <w:tcW w:w="300" w:type="dxa"/>
            <w:vAlign w:val="bottom"/>
            <w:gridSpan w:val="3"/>
            <w:shd w:val="clear" w:color="auto" w:fill="CCEEFF"/>
          </w:tcPr>
          <w:p>
            <w:pPr>
              <w:jc w:val="right"/>
              <w:ind w:right="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-2656840</wp:posOffset>
            </wp:positionV>
            <wp:extent cx="111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This prospectus is a part of a registration statement that we have filed with the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w:t>
      </w:r>
    </w:p>
    <w:p>
      <w:pPr>
        <w:spacing w:after="0" w:line="84"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We are providing this prospectus to holders of Old Notes in connection with our offer to exchange Old Notes for New Notes. We are not making this exchange offer in any jurisdiction where the exchange offer is not permitted.</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in the accompanying exchange offer transmittal documents filed by us with the SEC. We have not authorized any other person to provide you with any other information. We take no responsibility for, and provide no assurance as to the reliability of, any other information that others may give you.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You should not consider any information in this prospectus to be investment, legal or tax advice. You should consult your own counsel, accountant and other advisors for legal, tax, business, financial and related advice regarding the exchange offer and ownership of these securities.</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“Plan of Distribution.”</w:t>
      </w:r>
    </w:p>
    <w:p>
      <w:pPr>
        <w:spacing w:after="0" w:line="5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References in this prospectus to “we,” “us,” “our,” the “Company” or “South Plains” refer to South Plains Financial, Inc. and its consolidated subsidiaries, unless the context otherwise requires. References in this prospectus to the “Bank” refer to City Bank, a Texas banking association and a wholly-owned subsidiary of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SEC allows us to incorporate by reference the information that we file with it into this prospectus, which means that we can disclose important information to you by referring you to other documents. This prospectus incorporates by reference the documents listed below that we have previously filed with the SEC (SEC File No. 001-38895):</w:t>
      </w:r>
    </w:p>
    <w:p>
      <w:pPr>
        <w:spacing w:after="0" w:line="79" w:lineRule="exact"/>
        <w:rPr>
          <w:sz w:val="20"/>
          <w:szCs w:val="20"/>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year ended December 31, 2019, filed with the SEC on </w:t>
      </w:r>
      <w:hyperlink r:id="rId16">
        <w:r>
          <w:rPr>
            <w:rFonts w:ascii="Arial" w:cs="Arial" w:eastAsia="Arial" w:hAnsi="Arial"/>
            <w:sz w:val="18"/>
            <w:szCs w:val="18"/>
            <w:u w:val="single" w:color="auto"/>
            <w:color w:val="0000EE"/>
          </w:rPr>
          <w:t>March 25,</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jc w:val="both"/>
        <w:ind w:left="1000" w:right="319" w:hanging="348"/>
        <w:spacing w:after="0" w:line="263" w:lineRule="auto"/>
        <w:tabs>
          <w:tab w:leader="none" w:pos="1000" w:val="left"/>
        </w:tabs>
        <w:numPr>
          <w:ilvl w:val="0"/>
          <w:numId w:val="1"/>
        </w:numPr>
        <w:rPr>
          <w:rFonts w:ascii="Arial" w:cs="Arial" w:eastAsia="Arial" w:hAnsi="Arial"/>
          <w:sz w:val="18"/>
          <w:szCs w:val="18"/>
          <w:color w:val="000000"/>
        </w:rPr>
      </w:pPr>
      <w:r>
        <w:rPr>
          <w:rFonts w:ascii="Arial" w:cs="Arial" w:eastAsia="Arial" w:hAnsi="Arial"/>
          <w:sz w:val="18"/>
          <w:szCs w:val="18"/>
          <w:color w:val="auto"/>
        </w:rPr>
        <w:t xml:space="preserve">our Quarterly Reports on Form 10-Q for the quarter ended March 31, 2020, filed with the SEC on </w:t>
      </w:r>
      <w:hyperlink r:id="rId17">
        <w:r>
          <w:rPr>
            <w:rFonts w:ascii="Arial" w:cs="Arial" w:eastAsia="Arial" w:hAnsi="Arial"/>
            <w:sz w:val="18"/>
            <w:szCs w:val="18"/>
            <w:u w:val="single" w:color="auto"/>
            <w:color w:val="0000EE"/>
          </w:rPr>
          <w:t>May 13,</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for the quarter ended June 30, 2020, filed with the SEC on</w:t>
      </w:r>
      <w:r>
        <w:rPr>
          <w:rFonts w:ascii="Arial" w:cs="Arial" w:eastAsia="Arial" w:hAnsi="Arial"/>
          <w:sz w:val="18"/>
          <w:szCs w:val="18"/>
          <w:color w:val="0000EE"/>
        </w:rPr>
        <w:t xml:space="preserve"> </w:t>
      </w:r>
      <w:hyperlink r:id="rId18">
        <w:r>
          <w:rPr>
            <w:rFonts w:ascii="Arial" w:cs="Arial" w:eastAsia="Arial" w:hAnsi="Arial"/>
            <w:sz w:val="18"/>
            <w:szCs w:val="18"/>
            <w:u w:val="single" w:color="auto"/>
            <w:color w:val="0000EE"/>
          </w:rPr>
          <w:t>August 14,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for the quarter</w:t>
      </w:r>
      <w:r>
        <w:rPr>
          <w:rFonts w:ascii="Arial" w:cs="Arial" w:eastAsia="Arial" w:hAnsi="Arial"/>
          <w:sz w:val="18"/>
          <w:szCs w:val="18"/>
          <w:color w:val="0000EE"/>
        </w:rPr>
        <w:t xml:space="preserve"> </w:t>
      </w:r>
      <w:r>
        <w:rPr>
          <w:rFonts w:ascii="Arial" w:cs="Arial" w:eastAsia="Arial" w:hAnsi="Arial"/>
          <w:sz w:val="18"/>
          <w:szCs w:val="18"/>
          <w:color w:val="000000"/>
        </w:rPr>
        <w:t xml:space="preserve">ended September 30, 2020, filed with the SEC on </w:t>
      </w:r>
      <w:hyperlink r:id="rId19">
        <w:r>
          <w:rPr>
            <w:rFonts w:ascii="Arial" w:cs="Arial" w:eastAsia="Arial" w:hAnsi="Arial"/>
            <w:sz w:val="18"/>
            <w:szCs w:val="18"/>
            <w:u w:val="single" w:color="auto"/>
            <w:color w:val="0000EE"/>
          </w:rPr>
          <w:t>November 6, 2020</w:t>
        </w:r>
      </w:hyperlink>
      <w:r>
        <w:rPr>
          <w:rFonts w:ascii="Arial" w:cs="Arial" w:eastAsia="Arial" w:hAnsi="Arial"/>
          <w:sz w:val="18"/>
          <w:szCs w:val="18"/>
          <w:color w:val="000000"/>
        </w:rPr>
        <w:t>;</w:t>
      </w:r>
    </w:p>
    <w:p>
      <w:pPr>
        <w:spacing w:after="0" w:line="75" w:lineRule="exact"/>
        <w:rPr>
          <w:rFonts w:ascii="Arial" w:cs="Arial" w:eastAsia="Arial" w:hAnsi="Arial"/>
          <w:sz w:val="18"/>
          <w:szCs w:val="18"/>
          <w:color w:val="000000"/>
        </w:rPr>
      </w:pPr>
    </w:p>
    <w:p>
      <w:pPr>
        <w:jc w:val="both"/>
        <w:ind w:left="1000" w:right="319" w:hanging="348"/>
        <w:spacing w:after="0" w:line="263" w:lineRule="auto"/>
        <w:tabs>
          <w:tab w:leader="none" w:pos="1000" w:val="left"/>
        </w:tabs>
        <w:numPr>
          <w:ilvl w:val="0"/>
          <w:numId w:val="1"/>
        </w:numPr>
        <w:rPr>
          <w:rFonts w:ascii="Arial" w:cs="Arial" w:eastAsia="Arial" w:hAnsi="Arial"/>
          <w:sz w:val="18"/>
          <w:szCs w:val="18"/>
          <w:color w:val="000000"/>
        </w:rPr>
      </w:pPr>
      <w:r>
        <w:rPr>
          <w:rFonts w:ascii="Arial" w:cs="Arial" w:eastAsia="Arial" w:hAnsi="Arial"/>
          <w:sz w:val="18"/>
          <w:szCs w:val="18"/>
          <w:color w:val="auto"/>
        </w:rPr>
        <w:t xml:space="preserve">our Current Reports on Form 8-K or Form 8-K/A filed on </w:t>
      </w:r>
      <w:hyperlink r:id="rId20">
        <w:r>
          <w:rPr>
            <w:rFonts w:ascii="Arial" w:cs="Arial" w:eastAsia="Arial" w:hAnsi="Arial"/>
            <w:sz w:val="18"/>
            <w:szCs w:val="18"/>
            <w:u w:val="single" w:color="auto"/>
            <w:color w:val="0000EE"/>
          </w:rPr>
          <w:t xml:space="preserve">January 17, 2020, </w:t>
        </w:r>
      </w:hyperlink>
      <w:hyperlink r:id="rId21">
        <w:r>
          <w:rPr>
            <w:rFonts w:ascii="Arial" w:cs="Arial" w:eastAsia="Arial" w:hAnsi="Arial"/>
            <w:sz w:val="18"/>
            <w:szCs w:val="18"/>
            <w:u w:val="single" w:color="auto"/>
            <w:color w:val="auto"/>
          </w:rPr>
          <w:t xml:space="preserve">January </w:t>
        </w:r>
        <w:r>
          <w:rPr>
            <w:rFonts w:ascii="Arial" w:cs="Arial" w:eastAsia="Arial" w:hAnsi="Arial"/>
            <w:sz w:val="18"/>
            <w:szCs w:val="18"/>
            <w:u w:val="single" w:color="auto"/>
            <w:color w:val="0000EE"/>
          </w:rPr>
          <w:t>28, 2020</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March 16,</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
        <w:r>
          <w:rPr>
            <w:rFonts w:ascii="Arial" w:cs="Arial" w:eastAsia="Arial" w:hAnsi="Arial"/>
            <w:sz w:val="18"/>
            <w:szCs w:val="18"/>
            <w:u w:val="single" w:color="auto"/>
            <w:color w:val="0000EE"/>
          </w:rPr>
          <w:t>April 16,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0000EE"/>
          </w:rPr>
          <w:t>May 21,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5">
        <w:r>
          <w:rPr>
            <w:rFonts w:ascii="Arial" w:cs="Arial" w:eastAsia="Arial" w:hAnsi="Arial"/>
            <w:sz w:val="18"/>
            <w:szCs w:val="18"/>
            <w:u w:val="single" w:color="auto"/>
            <w:color w:val="0000EE"/>
          </w:rPr>
          <w:t>July 16,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 xml:space="preserve">September 30, 2020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with respect to items 1.01,</w:t>
      </w:r>
      <w:r>
        <w:rPr>
          <w:rFonts w:ascii="Arial" w:cs="Arial" w:eastAsia="Arial" w:hAnsi="Arial"/>
          <w:sz w:val="18"/>
          <w:szCs w:val="18"/>
          <w:color w:val="0000EE"/>
        </w:rPr>
        <w:t xml:space="preserve"> </w:t>
      </w:r>
      <w:r>
        <w:rPr>
          <w:rFonts w:ascii="Arial" w:cs="Arial" w:eastAsia="Arial" w:hAnsi="Arial"/>
          <w:sz w:val="18"/>
          <w:szCs w:val="18"/>
          <w:color w:val="000000"/>
        </w:rPr>
        <w:t xml:space="preserve">2.03, 8.01 and 9.01), </w:t>
      </w:r>
      <w:hyperlink r:id="rId27">
        <w:r>
          <w:rPr>
            <w:rFonts w:ascii="Arial" w:cs="Arial" w:eastAsia="Arial" w:hAnsi="Arial"/>
            <w:sz w:val="18"/>
            <w:szCs w:val="18"/>
            <w:u w:val="single" w:color="auto"/>
            <w:color w:val="0000EE"/>
          </w:rPr>
          <w:t>October 22, 2020</w:t>
        </w:r>
      </w:hyperlink>
      <w:r>
        <w:rPr>
          <w:rFonts w:ascii="Arial" w:cs="Arial" w:eastAsia="Arial" w:hAnsi="Arial"/>
          <w:sz w:val="18"/>
          <w:szCs w:val="18"/>
          <w:color w:val="000000"/>
        </w:rPr>
        <w:t xml:space="preserve">, and </w:t>
      </w:r>
      <w:hyperlink r:id="rId28">
        <w:r>
          <w:rPr>
            <w:rFonts w:ascii="Arial" w:cs="Arial" w:eastAsia="Arial" w:hAnsi="Arial"/>
            <w:sz w:val="18"/>
            <w:szCs w:val="18"/>
            <w:u w:val="single" w:color="auto"/>
            <w:color w:val="0000EE"/>
          </w:rPr>
          <w:t>November 2, 2020</w:t>
        </w:r>
      </w:hyperlink>
      <w:r>
        <w:rPr>
          <w:rFonts w:ascii="Arial" w:cs="Arial" w:eastAsia="Arial" w:hAnsi="Arial"/>
          <w:sz w:val="18"/>
          <w:szCs w:val="18"/>
          <w:color w:val="000000"/>
        </w:rPr>
        <w:t>; and</w:t>
      </w:r>
    </w:p>
    <w:p>
      <w:pPr>
        <w:spacing w:after="0" w:line="75" w:lineRule="exact"/>
        <w:rPr>
          <w:rFonts w:ascii="Arial" w:cs="Arial" w:eastAsia="Arial" w:hAnsi="Arial"/>
          <w:sz w:val="18"/>
          <w:szCs w:val="18"/>
          <w:color w:val="000000"/>
        </w:rPr>
      </w:pPr>
    </w:p>
    <w:p>
      <w:pPr>
        <w:jc w:val="both"/>
        <w:ind w:left="1000" w:right="319" w:hanging="348"/>
        <w:spacing w:after="0" w:line="263"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Schedule 14A, filed with the SEC on </w:t>
      </w:r>
      <w:hyperlink r:id="rId29">
        <w:r>
          <w:rPr>
            <w:rFonts w:ascii="Arial" w:cs="Arial" w:eastAsia="Arial" w:hAnsi="Arial"/>
            <w:sz w:val="18"/>
            <w:szCs w:val="18"/>
            <w:u w:val="single" w:color="auto"/>
            <w:color w:val="0000EE"/>
          </w:rPr>
          <w:t>April 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to the extent incorporated by reference into Part III of our Annual Report on Form 10-K for the year ended December 31, 2019).</w:t>
      </w:r>
    </w:p>
    <w:p>
      <w:pPr>
        <w:spacing w:after="0" w:line="76" w:lineRule="exact"/>
        <w:rPr>
          <w:rFonts w:ascii="Arial" w:cs="Arial" w:eastAsia="Arial" w:hAnsi="Arial"/>
          <w:sz w:val="18"/>
          <w:szCs w:val="18"/>
          <w:color w:val="000000"/>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incorporate by reference any additional documents that we may file with the SEC under Sections 13(a), 13(c), 14 or 15(d) of the Exchange Act (other than those furnished pursuant to Item 2.02 or Item 7.01 of Form 8-K or other information “furnished” to the SEC), from the date of the registration statement of which this prospectus is a part until the termination of the offering of the securities. These documents may include annual, quarterly and current reports, as well as proxy statements. Any material that we later file with the SEC will automatically update and supersede, where appropriate, the information previously filed with the SEC. These documents are available to you without charge. See “Where You Can Find More Information.”</w:t>
      </w:r>
    </w:p>
    <w:p>
      <w:pPr>
        <w:spacing w:after="0" w:line="69" w:lineRule="exact"/>
        <w:rPr>
          <w:rFonts w:ascii="Arial" w:cs="Arial" w:eastAsia="Arial" w:hAnsi="Arial"/>
          <w:sz w:val="18"/>
          <w:szCs w:val="18"/>
          <w:color w:val="000000"/>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herein by reference shall be deemed to be modified or superseded to the extent that a statement contained herein or in any other subsequently filed document that also is or is deemed to be incorporated herein by reference modifies or supersedes such statement in such document.</w:t>
      </w:r>
    </w:p>
    <w:p>
      <w:pPr>
        <w:spacing w:after="0" w:line="75" w:lineRule="exact"/>
        <w:rPr>
          <w:rFonts w:ascii="Arial" w:cs="Arial" w:eastAsia="Arial" w:hAnsi="Arial"/>
          <w:sz w:val="18"/>
          <w:szCs w:val="18"/>
          <w:color w:val="000000"/>
        </w:rPr>
      </w:pPr>
    </w:p>
    <w:p>
      <w:pPr>
        <w:jc w:val="both"/>
        <w:ind w:left="300" w:right="319" w:firstLine="360"/>
        <w:spacing w:after="0" w:line="261" w:lineRule="auto"/>
        <w:rPr>
          <w:sz w:val="20"/>
          <w:szCs w:val="20"/>
          <w:color w:val="auto"/>
        </w:rPr>
      </w:pPr>
      <w:r>
        <w:rPr>
          <w:rFonts w:ascii="Arial" w:cs="Arial" w:eastAsia="Arial" w:hAnsi="Arial"/>
          <w:sz w:val="18"/>
          <w:szCs w:val="18"/>
          <w:b w:val="1"/>
          <w:bCs w:val="1"/>
          <w:color w:val="auto"/>
        </w:rPr>
        <w:t>To ensure timely delivery of any requested information, holders of the Old Notes must make any request no later than December 30, 2020, which is five business days before the expiration date of the exchange offer, or, if we decide to extend the expiration date of the exchange offer, no later than five business days before such extended expiration date.</w:t>
      </w:r>
    </w:p>
    <w:p>
      <w:pPr>
        <w:spacing w:after="0" w:line="184" w:lineRule="exact"/>
        <w:rPr>
          <w:rFonts w:ascii="Arial" w:cs="Arial" w:eastAsia="Arial" w:hAnsi="Arial"/>
          <w:sz w:val="18"/>
          <w:szCs w:val="18"/>
          <w:color w:val="000000"/>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000000"/>
        </w:rPr>
      </w:pPr>
      <w:r>
        <w:rPr>
          <w:rFonts w:ascii="Arial" w:cs="Arial" w:eastAsia="Arial" w:hAnsi="Arial"/>
          <w:sz w:val="18"/>
          <w:szCs w:val="18"/>
          <w:color w:val="000000"/>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are subject to the information requirements of the Securities Exchange Act of 1934, as amended (the “Exchange Act”), and therefore we file with the SEC annual, quarterly and current reports, proxy statements, information statements and other information. Our SEC filings are available to the public at the SEC’s web site at www.sec.gov or on our Internet web site, https://www.spfi.bank/investor-relations. The reference to our web site is not intended to be an active link and the information on our web site is not, and you must not consider the information to be, a part of this prospectus and is not incorporated by reference herein.</w:t>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have filed with the SEC a registration statement on Form S-4 relating to the New Notes and the exchange offer. This prospectus is a part of the registration statement and, as permitted by SEC rules, does not contain all of the information in the registration statement. The registration statement, including the exhibits thereto, contains additional relevant information about us, the New Notes and the exchange offer. Whenever a reference is made in this prospectus to a contract or other document, the reference is only a summary and you should refer to the exhibits that form a part of the registration statement for a copy of the contract or other document. You can get a copy of the registration statement and the documents referred to below under “Incorporation of Certain Documents by Reference” from the SEC web site or our web site listed above. You can also obtain these documents from us, without charge (other than exhibits, unless the exhibits are specifically incorporated by reference), upon written or oral request at the following address and telephone number: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5219 City Bank Parkway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Lubbock, Texas 79407</w:t>
      </w:r>
    </w:p>
    <w:p>
      <w:pPr>
        <w:spacing w:after="0" w:line="9" w:lineRule="exact"/>
        <w:rPr>
          <w:sz w:val="20"/>
          <w:szCs w:val="20"/>
          <w:color w:val="auto"/>
        </w:rPr>
      </w:pPr>
    </w:p>
    <w:p>
      <w:pPr>
        <w:ind w:left="4380" w:hanging="438"/>
        <w:spacing w:after="0"/>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792-7101</w:t>
      </w:r>
    </w:p>
    <w:p>
      <w:pPr>
        <w:spacing w:after="0" w:line="9" w:lineRule="exact"/>
        <w:rPr>
          <w:rFonts w:ascii="Arial" w:cs="Arial" w:eastAsia="Arial" w:hAnsi="Arial"/>
          <w:sz w:val="18"/>
          <w:szCs w:val="18"/>
          <w:color w:val="auto"/>
        </w:rPr>
      </w:pPr>
    </w:p>
    <w:p>
      <w:pPr>
        <w:ind w:left="340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This prospectus and the documents incorporated herein by reference contain statements that we believe are “forward-looking statements” within the meaning of Section 27A of the Securities Act and Section 21E of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6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COVID-19 pandemic and its uncertain economic impact on the Company’s customers and communities;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uncertain economic consequences of the ongoing COVID-19 pandemic or any deterioration in value of the general business assets that secure such loans;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our agricultural loan portfolio, including the heightened sensitivity to weather conditions, commodity prices, and other factors generally outside the borrowers and our control;</w:t>
      </w:r>
    </w:p>
    <w:p>
      <w:pPr>
        <w:spacing w:after="0" w:line="3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significant amount of credit that we have extended to a limited number of borrowers and in a limited geographic area;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manage our credit risk and the sufficiency of our allowance for loan losses;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17"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compliance with governmental and regulatory requirements, including the Dodd-Frank Act Wall Street Reform and Consumer Protection Act, Economic Growth, Regulatory Relief, and Consumer Protection Act, and others relating to banking, consumer protection, securities and tax matters; and</w:t>
      </w:r>
    </w:p>
    <w:p>
      <w:pPr>
        <w:spacing w:after="0" w:line="57" w:lineRule="exact"/>
        <w:rPr>
          <w:rFonts w:ascii="Arial" w:cs="Arial" w:eastAsia="Arial" w:hAnsi="Arial"/>
          <w:sz w:val="17"/>
          <w:szCs w:val="17"/>
          <w:color w:val="auto"/>
        </w:rPr>
      </w:pPr>
    </w:p>
    <w:p>
      <w:pPr>
        <w:jc w:val="both"/>
        <w:ind w:left="1000" w:right="299" w:hanging="348"/>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Trump administration.</w:t>
      </w:r>
    </w:p>
    <w:p>
      <w:pPr>
        <w:spacing w:after="0" w:line="4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Other factors not identified above, including those that are incorporated by reference under “Risk Factors” in this prospectus and in the “Risk Factors” and other sections of the documents that we incorporate by reference into this prospectus, including our Annual Reports on Form 10-K and our Quarterly Reports on Form 10-Q and in our other reports filed with the SEC, may also cause actual results to differ materially from those described in our forward-looking statements. Most of these factors are difficult to anticipate, are generally beyond our control and may prove to be inaccurate. You should consider these factors in connection with considering any forward-looking statements.</w:t>
      </w:r>
    </w:p>
    <w:p>
      <w:pPr>
        <w:spacing w:after="0" w:line="8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All forward-looking statements, expressed or implied, included in this prospectus or in a document incorporated by reference herein or therein are expressly qualified in their entirety by these cautionary statements. These cautionary statements should also be considered in connection with any subsequent written or oral forward-looking statements that we or persons acting on our behalf may issue. The Company cautions readers not to place undue reliance on any forward-looking statements, which represent our beliefs, assumptions and estimates only as of the dates on which such forward-looking statements were made.</w:t>
      </w:r>
    </w:p>
    <w:p>
      <w:pPr>
        <w:spacing w:after="0" w:line="66" w:lineRule="exact"/>
        <w:rPr>
          <w:sz w:val="20"/>
          <w:szCs w:val="20"/>
          <w:color w:val="auto"/>
        </w:rPr>
      </w:pPr>
    </w:p>
    <w:p>
      <w:pPr>
        <w:jc w:val="both"/>
        <w:ind w:left="300" w:right="319" w:firstLine="360"/>
        <w:spacing w:after="0" w:line="281" w:lineRule="auto"/>
        <w:rPr>
          <w:sz w:val="20"/>
          <w:szCs w:val="20"/>
          <w:color w:val="auto"/>
        </w:rPr>
      </w:pPr>
      <w:r>
        <w:rPr>
          <w:rFonts w:ascii="Arial" w:cs="Arial" w:eastAsia="Arial" w:hAnsi="Arial"/>
          <w:sz w:val="17"/>
          <w:szCs w:val="17"/>
          <w:b w:val="1"/>
          <w:bCs w:val="1"/>
          <w:color w:val="auto"/>
        </w:rPr>
        <w:t>Any forward-looking statement speaks only as of the date they were made. Except as otherwise required by applicable law, we disclaim any duty to update any forward-looking statements, all of which are expressly qualified by the statements in this section, to reflect new information obtained or events or circumstances that occur after the date any such forward-looking statement is made.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282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5653405" cy="72821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ind w:left="320" w:right="279" w:firstLine="360"/>
        <w:spacing w:after="0" w:line="293" w:lineRule="auto"/>
        <w:rPr>
          <w:sz w:val="20"/>
          <w:szCs w:val="20"/>
          <w:color w:val="auto"/>
        </w:rPr>
      </w:pPr>
      <w:r>
        <w:rPr>
          <w:rFonts w:ascii="Arial" w:cs="Arial" w:eastAsia="Arial" w:hAnsi="Arial"/>
          <w:sz w:val="16"/>
          <w:szCs w:val="16"/>
          <w:i w:val="1"/>
          <w:iCs w:val="1"/>
          <w:color w:val="auto"/>
        </w:rPr>
        <w:t>This summary highlights selected information appearing elsewhere, or incorporated by reference, in this prospectus and is, therefore, qualified in its entirety by the more detailed information appearing elsewhere, or incorporated by reference, in this prospectus. It may not contain all of the information that may be important to you in deciding to exchange your Old Notes for New Notes. We urge you to read carefully this entire prospectus and the other documents to which it refers to understand fully the terms of the New Notes and the exchange offer. You should pay special attention to the “Risk Factors” and the “Cautionary Note Regarding Forward-Looking Statements.”</w:t>
      </w: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South Plains Financial, Inc.</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20" w:right="279" w:firstLine="360"/>
        <w:spacing w:after="0" w:line="311" w:lineRule="auto"/>
        <w:rPr>
          <w:sz w:val="20"/>
          <w:szCs w:val="20"/>
          <w:color w:val="auto"/>
        </w:rPr>
      </w:pPr>
      <w:r>
        <w:rPr>
          <w:rFonts w:ascii="Arial" w:cs="Arial" w:eastAsia="Arial" w:hAnsi="Arial"/>
          <w:sz w:val="16"/>
          <w:szCs w:val="16"/>
          <w:color w:val="auto"/>
        </w:rPr>
        <w:t>South Plains Financial, Inc. (the “Company” or “SPFI”) is a bank holding company headquartered in Lubbock, Texas, and City Bank, SPFI’s wholly-owned banking subsidiary, is one of the largest independent banks in West Texas (“City Bank” or the “Bank”). The Company is hereafter collectively referred to as “we,” “us” or “our.”</w:t>
      </w:r>
    </w:p>
    <w:p>
      <w:pPr>
        <w:spacing w:after="0" w:line="41"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80"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We had total assets of $3.5 billion, gross loans held for investment of $2.3 billion, total deposits of $2.9 billion, and total shareholders’ equity of $352.6 million as of September 30, 2020.</w:t>
      </w:r>
    </w:p>
    <w:p>
      <w:pPr>
        <w:spacing w:after="0" w:line="62"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Our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w:t>
      </w:r>
    </w:p>
    <w:p>
      <w:pPr>
        <w:spacing w:after="0" w:line="74"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We currently operate 25 full-service banking locations across seven geographic markets resulting from seven acquisitions, de novo branches, and the formation of a de novo bank in Ruidoso, New Mexico, which we later merged into the Bank. We also operate 15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69" w:lineRule="exact"/>
        <w:rPr>
          <w:sz w:val="20"/>
          <w:szCs w:val="20"/>
          <w:color w:val="auto"/>
        </w:rPr>
      </w:pPr>
    </w:p>
    <w:p>
      <w:pPr>
        <w:jc w:val="both"/>
        <w:ind w:left="320" w:right="299" w:firstLine="360"/>
        <w:spacing w:after="0" w:line="308" w:lineRule="auto"/>
        <w:rPr>
          <w:sz w:val="20"/>
          <w:szCs w:val="20"/>
          <w:color w:val="auto"/>
        </w:rPr>
      </w:pPr>
      <w:r>
        <w:rPr>
          <w:rFonts w:ascii="Arial" w:cs="Arial" w:eastAsia="Arial" w:hAnsi="Arial"/>
          <w:sz w:val="17"/>
          <w:szCs w:val="17"/>
          <w:color w:val="auto"/>
        </w:rPr>
        <w:t>We operate in two reportable segments of business, community banking, which includes City Bank, our sole banking subsidiary, and insurance, which includes Windmark Insurance Agency, Inc. (“Windmark”).</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headquarters are located at 5219 City Bank Parkway, Lubbock, Texas 79408. Our telephone number is</w:t>
      </w:r>
    </w:p>
    <w:p>
      <w:pPr>
        <w:spacing w:after="0" w:line="46" w:lineRule="exact"/>
        <w:rPr>
          <w:sz w:val="20"/>
          <w:szCs w:val="20"/>
          <w:color w:val="auto"/>
        </w:rPr>
      </w:pPr>
    </w:p>
    <w:p>
      <w:pPr>
        <w:jc w:val="both"/>
        <w:ind w:left="320" w:right="279" w:hanging="10"/>
        <w:spacing w:after="0" w:line="25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792-7101. Our Internet website address is https://www.spfi.bank. The information contained in, or that can be accessed through, our website is not, and shall not be deemed to be, a part of, or incorporated into, this prospectus or any prospectus supplement.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99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5653405" cy="84994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the Exchange Offer</w:t>
      </w:r>
    </w:p>
    <w:p>
      <w:pPr>
        <w:spacing w:after="0" w:line="121"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The following provides a summary of certain terms of the exchange offer. Please refer to the section “The Exchange Offer” appearing elsewhere in this prospectus for a more complete description of the exchange offer and the section “Description of the Notes” for a more complete description of the terms of the Old Notes and New Notes.</w:t>
      </w:r>
    </w:p>
    <w:p>
      <w:pPr>
        <w:spacing w:after="0" w:line="102"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Old Notes</w:t>
      </w:r>
      <w:r>
        <w:rPr>
          <w:sz w:val="20"/>
          <w:szCs w:val="20"/>
          <w:color w:val="auto"/>
        </w:rPr>
        <w:tab/>
      </w:r>
      <w:r>
        <w:rPr>
          <w:rFonts w:ascii="Arial" w:cs="Arial" w:eastAsia="Arial" w:hAnsi="Arial"/>
          <w:sz w:val="17"/>
          <w:szCs w:val="17"/>
          <w:color w:val="auto"/>
        </w:rPr>
        <w:t>$50,000,000 in aggregate principal amount of 4.50%</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Fixed-to-Floating Rate Subordinated Notes due 2030.</w:t>
      </w:r>
    </w:p>
    <w:p>
      <w:pPr>
        <w:spacing w:after="0" w:line="151"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New Notes</w:t>
      </w:r>
      <w:r>
        <w:rPr>
          <w:sz w:val="20"/>
          <w:szCs w:val="20"/>
          <w:color w:val="auto"/>
        </w:rPr>
        <w:tab/>
      </w:r>
      <w:r>
        <w:rPr>
          <w:rFonts w:ascii="Arial" w:cs="Arial" w:eastAsia="Arial" w:hAnsi="Arial"/>
          <w:sz w:val="17"/>
          <w:szCs w:val="17"/>
          <w:color w:val="auto"/>
        </w:rPr>
        <w:t>Up to $50,000,000 in aggregate principal amount of</w:t>
      </w:r>
    </w:p>
    <w:p>
      <w:pPr>
        <w:spacing w:after="0" w:line="27"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4.50% Fixed-to-Floating Rate Subordinated Notes due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2030 which have terms that are identical in all material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respects to the terms of the Old Notes, except that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New Notes are registered under the Securities Act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are generally not subject to transfer restrictions, are not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entitled to registration rights under the registration rights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agreements and do not have the right to additional</w:t>
      </w:r>
    </w:p>
    <w:p>
      <w:pPr>
        <w:spacing w:after="0" w:line="9" w:lineRule="exact"/>
        <w:rPr>
          <w:sz w:val="20"/>
          <w:szCs w:val="20"/>
          <w:color w:val="auto"/>
        </w:rPr>
      </w:pPr>
    </w:p>
    <w:p>
      <w:pPr>
        <w:ind w:left="4640"/>
        <w:spacing w:after="0"/>
        <w:tabs>
          <w:tab w:leader="none" w:pos="5280" w:val="left"/>
          <w:tab w:leader="none" w:pos="5840" w:val="left"/>
          <w:tab w:leader="none" w:pos="6200" w:val="left"/>
          <w:tab w:leader="none" w:pos="7360" w:val="left"/>
          <w:tab w:leader="none" w:pos="8200" w:val="left"/>
          <w:tab w:leader="none" w:pos="8480" w:val="left"/>
        </w:tabs>
        <w:rPr>
          <w:sz w:val="20"/>
          <w:szCs w:val="20"/>
          <w:color w:val="auto"/>
        </w:rPr>
      </w:pPr>
      <w:r>
        <w:rPr>
          <w:rFonts w:ascii="Arial" w:cs="Arial" w:eastAsia="Arial" w:hAnsi="Arial"/>
          <w:sz w:val="18"/>
          <w:szCs w:val="18"/>
          <w:color w:val="auto"/>
        </w:rPr>
        <w:t>interest</w:t>
        <w:tab/>
        <w:t>under</w:t>
        <w:tab/>
        <w:t>the</w:t>
        <w:tab/>
        <w:t>circumstances</w:t>
        <w:tab/>
        <w:t>described</w:t>
        <w:tab/>
        <w:t>in</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registration rights agreements relating to our fulfillment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our registration obligations.</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Exchange Offer</w:t>
      </w:r>
      <w:r>
        <w:rPr>
          <w:sz w:val="20"/>
          <w:szCs w:val="20"/>
          <w:color w:val="auto"/>
        </w:rPr>
        <w:tab/>
      </w:r>
      <w:r>
        <w:rPr>
          <w:rFonts w:ascii="Arial" w:cs="Arial" w:eastAsia="Arial" w:hAnsi="Arial"/>
          <w:sz w:val="17"/>
          <w:szCs w:val="17"/>
          <w:color w:val="auto"/>
        </w:rPr>
        <w:t>We are offering to exchange the New Notes for a like</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principal amount of Old Notes. Subject to the terms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this exchange offer, promptly following the termination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 the exchange offer, we will exchange New Notes for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all Old Notes that have been validly tendered and not</w:t>
      </w:r>
    </w:p>
    <w:p>
      <w:pPr>
        <w:spacing w:after="0" w:line="21" w:lineRule="exact"/>
        <w:rPr>
          <w:sz w:val="20"/>
          <w:szCs w:val="20"/>
          <w:color w:val="auto"/>
        </w:rPr>
      </w:pPr>
    </w:p>
    <w:p>
      <w:pPr>
        <w:ind w:left="4640"/>
        <w:spacing w:after="0"/>
        <w:tabs>
          <w:tab w:leader="none" w:pos="5260" w:val="left"/>
          <w:tab w:leader="none" w:pos="6160" w:val="left"/>
          <w:tab w:leader="none" w:pos="6660" w:val="left"/>
          <w:tab w:leader="none" w:pos="6960" w:val="left"/>
          <w:tab w:leader="none" w:pos="7320" w:val="left"/>
          <w:tab w:leader="none" w:pos="8180" w:val="left"/>
          <w:tab w:leader="none" w:pos="8480" w:val="left"/>
        </w:tabs>
        <w:rPr>
          <w:sz w:val="20"/>
          <w:szCs w:val="20"/>
          <w:color w:val="auto"/>
        </w:rPr>
      </w:pPr>
      <w:r>
        <w:rPr>
          <w:rFonts w:ascii="Arial" w:cs="Arial" w:eastAsia="Arial" w:hAnsi="Arial"/>
          <w:sz w:val="18"/>
          <w:szCs w:val="18"/>
          <w:color w:val="auto"/>
        </w:rPr>
        <w:t>validly</w:t>
        <w:tab/>
        <w:t>withdrawn</w:t>
        <w:tab/>
        <w:t>prior</w:t>
        <w:tab/>
        <w:t>to</w:t>
        <w:tab/>
        <w:t>the</w:t>
        <w:tab/>
        <w:t>expiration</w:t>
        <w:tab/>
        <w:t>of</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exchange offer.</w:t>
      </w:r>
    </w:p>
    <w:p>
      <w:pPr>
        <w:spacing w:after="0" w:line="126" w:lineRule="exact"/>
        <w:rPr>
          <w:sz w:val="20"/>
          <w:szCs w:val="20"/>
          <w:color w:val="auto"/>
        </w:rPr>
      </w:pPr>
    </w:p>
    <w:p>
      <w:pPr>
        <w:ind w:left="320"/>
        <w:spacing w:after="0"/>
        <w:tabs>
          <w:tab w:leader="none" w:pos="4620" w:val="left"/>
          <w:tab w:leader="none" w:pos="5060" w:val="left"/>
          <w:tab w:leader="none" w:pos="5920" w:val="left"/>
          <w:tab w:leader="none" w:pos="6440" w:val="left"/>
          <w:tab w:leader="none" w:pos="6900" w:val="left"/>
          <w:tab w:leader="none" w:pos="7540" w:val="left"/>
          <w:tab w:leader="none" w:pos="7840" w:val="left"/>
          <w:tab w:leader="none" w:pos="8340" w:val="left"/>
        </w:tabs>
        <w:rPr>
          <w:sz w:val="20"/>
          <w:szCs w:val="20"/>
          <w:color w:val="auto"/>
        </w:rPr>
      </w:pPr>
      <w:r>
        <w:rPr>
          <w:rFonts w:ascii="Arial" w:cs="Arial" w:eastAsia="Arial" w:hAnsi="Arial"/>
          <w:sz w:val="18"/>
          <w:szCs w:val="18"/>
          <w:b w:val="1"/>
          <w:bCs w:val="1"/>
          <w:color w:val="auto"/>
        </w:rPr>
        <w:t>Expiration Date</w:t>
      </w:r>
      <w:r>
        <w:rPr>
          <w:sz w:val="20"/>
          <w:szCs w:val="20"/>
          <w:color w:val="auto"/>
        </w:rPr>
        <w:tab/>
      </w:r>
      <w:r>
        <w:rPr>
          <w:rFonts w:ascii="Arial" w:cs="Arial" w:eastAsia="Arial" w:hAnsi="Arial"/>
          <w:sz w:val="18"/>
          <w:szCs w:val="18"/>
          <w:color w:val="auto"/>
        </w:rPr>
        <w:t>The</w:t>
        <w:tab/>
        <w:t>exchange</w:t>
        <w:tab/>
        <w:t>offer</w:t>
        <w:tab/>
        <w:t>will</w:t>
        <w:tab/>
        <w:t>expire</w:t>
        <w:tab/>
        <w:t>at</w:t>
        <w:tab/>
        <w:t>5:00</w:t>
      </w:r>
      <w:r>
        <w:rPr>
          <w:sz w:val="20"/>
          <w:szCs w:val="20"/>
          <w:color w:val="auto"/>
        </w:rPr>
        <w:tab/>
      </w:r>
      <w:r>
        <w:rPr>
          <w:rFonts w:ascii="Arial" w:cs="Arial" w:eastAsia="Arial" w:hAnsi="Arial"/>
          <w:sz w:val="16"/>
          <w:szCs w:val="16"/>
          <w:color w:val="auto"/>
        </w:rPr>
        <w:t>p.m.,</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Eastern Standard Time, on January 7, 2021, unless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extended.</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Withdrawal Rights</w:t>
      </w:r>
      <w:r>
        <w:rPr>
          <w:sz w:val="20"/>
          <w:szCs w:val="20"/>
          <w:color w:val="auto"/>
        </w:rPr>
        <w:tab/>
      </w:r>
      <w:r>
        <w:rPr>
          <w:rFonts w:ascii="Arial" w:cs="Arial" w:eastAsia="Arial" w:hAnsi="Arial"/>
          <w:sz w:val="17"/>
          <w:szCs w:val="17"/>
          <w:color w:val="auto"/>
        </w:rPr>
        <w:t>You may withdraw the book-entry tender of your Old</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 at any time before the expiration date. For a</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withdrawal of tendered Old Notes issued in book-entry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form to be effective, the exchange agent must receive,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on or prior to 5:00 p.m., Eastern Standard Time on the</w:t>
      </w:r>
    </w:p>
    <w:p>
      <w:pPr>
        <w:spacing w:after="0" w:line="21" w:lineRule="exact"/>
        <w:rPr>
          <w:sz w:val="20"/>
          <w:szCs w:val="20"/>
          <w:color w:val="auto"/>
        </w:rPr>
      </w:pPr>
    </w:p>
    <w:p>
      <w:pPr>
        <w:ind w:left="4640"/>
        <w:spacing w:after="0"/>
        <w:tabs>
          <w:tab w:leader="none" w:pos="5520" w:val="left"/>
          <w:tab w:leader="none" w:pos="6040" w:val="left"/>
          <w:tab w:leader="none" w:pos="6320" w:val="left"/>
          <w:tab w:leader="none" w:pos="7920" w:val="left"/>
          <w:tab w:leader="none" w:pos="8560" w:val="left"/>
        </w:tabs>
        <w:rPr>
          <w:sz w:val="20"/>
          <w:szCs w:val="20"/>
          <w:color w:val="auto"/>
        </w:rPr>
      </w:pPr>
      <w:r>
        <w:rPr>
          <w:rFonts w:ascii="Arial" w:cs="Arial" w:eastAsia="Arial" w:hAnsi="Arial"/>
          <w:sz w:val="18"/>
          <w:szCs w:val="18"/>
          <w:color w:val="auto"/>
        </w:rPr>
        <w:t>expiration</w:t>
        <w:tab/>
        <w:t>date,</w:t>
        <w:tab/>
        <w:t>a</w:t>
        <w:tab/>
        <w:t>computer-generated</w:t>
        <w:tab/>
        <w:t>notice</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withdrawal, transmitted by Depository Trust Company,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or  DTC,  on  your  behalf  in  accordance  with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appropriate procedures of DTC’s “Automated Tender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Offer Program,” or ATOP. See “The Exchange Offer—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Withdrawal of Tenders.”</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Conditions to Exchange Offer</w:t>
      </w:r>
      <w:r>
        <w:rPr>
          <w:sz w:val="20"/>
          <w:szCs w:val="20"/>
          <w:color w:val="auto"/>
        </w:rPr>
        <w:tab/>
      </w:r>
      <w:r>
        <w:rPr>
          <w:rFonts w:ascii="Arial" w:cs="Arial" w:eastAsia="Arial" w:hAnsi="Arial"/>
          <w:sz w:val="16"/>
          <w:szCs w:val="16"/>
          <w:color w:val="auto"/>
        </w:rPr>
        <w:t>This exchange offer is subject to customary conditions,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which  we  may  waive.  See  “The  Exchange  Offer-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Conditions.”</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Procedures for Tendering Old Notes</w:t>
      </w:r>
      <w:r>
        <w:rPr>
          <w:sz w:val="20"/>
          <w:szCs w:val="20"/>
          <w:color w:val="auto"/>
        </w:rPr>
        <w:tab/>
      </w:r>
      <w:r>
        <w:rPr>
          <w:rFonts w:ascii="Arial" w:cs="Arial" w:eastAsia="Arial" w:hAnsi="Arial"/>
          <w:sz w:val="16"/>
          <w:szCs w:val="16"/>
          <w:color w:val="auto"/>
        </w:rPr>
        <w:t>The Old Notes were issued in book-entry form, and are</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currently represented by global certificates held for the</w:t>
      </w:r>
    </w:p>
    <w:p>
      <w:pPr>
        <w:spacing w:after="0" w:line="21" w:lineRule="exact"/>
        <w:rPr>
          <w:sz w:val="20"/>
          <w:szCs w:val="20"/>
          <w:color w:val="auto"/>
        </w:rPr>
      </w:pPr>
    </w:p>
    <w:p>
      <w:pPr>
        <w:ind w:left="4640"/>
        <w:spacing w:after="0"/>
        <w:tabs>
          <w:tab w:leader="none" w:pos="5320" w:val="left"/>
          <w:tab w:leader="none" w:pos="5620" w:val="left"/>
          <w:tab w:leader="none" w:pos="6180" w:val="left"/>
          <w:tab w:leader="none" w:pos="6480" w:val="left"/>
          <w:tab w:leader="none" w:pos="7420" w:val="left"/>
          <w:tab w:leader="none" w:pos="7720" w:val="left"/>
          <w:tab w:leader="none" w:pos="8040" w:val="left"/>
        </w:tabs>
        <w:rPr>
          <w:sz w:val="20"/>
          <w:szCs w:val="20"/>
          <w:color w:val="auto"/>
        </w:rPr>
      </w:pPr>
      <w:r>
        <w:rPr>
          <w:rFonts w:ascii="Arial" w:cs="Arial" w:eastAsia="Arial" w:hAnsi="Arial"/>
          <w:sz w:val="18"/>
          <w:szCs w:val="18"/>
          <w:color w:val="auto"/>
        </w:rPr>
        <w:t>account</w:t>
        <w:tab/>
        <w:t>of</w:t>
        <w:tab/>
        <w:t>DTC,</w:t>
        <w:tab/>
        <w:t>as</w:t>
        <w:tab/>
        <w:t>depositary,</w:t>
        <w:tab/>
        <w:t>or</w:t>
        <w:tab/>
        <w:t>its</w:t>
      </w:r>
      <w:r>
        <w:rPr>
          <w:sz w:val="20"/>
          <w:szCs w:val="20"/>
          <w:color w:val="auto"/>
        </w:rPr>
        <w:tab/>
      </w:r>
      <w:r>
        <w:rPr>
          <w:rFonts w:ascii="Arial" w:cs="Arial" w:eastAsia="Arial" w:hAnsi="Arial"/>
          <w:sz w:val="16"/>
          <w:szCs w:val="16"/>
          <w:color w:val="auto"/>
        </w:rPr>
        <w:t>nominee.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Accordingly, DTC is treated as the registered holder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your Old Notes and will be the only entity that can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tender your Old Notes for New Notes. In order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participate in the exchange offer, you must follow the</w:t>
      </w:r>
    </w:p>
    <w:p>
      <w:pPr>
        <w:spacing w:after="0" w:line="21"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procedures established by DTC for tendering Old Notes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held  in  book-entry  form.  These  ATOP  procedures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require that, prior to the expiration date of the exchange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offer, (i) DTC receive (a) your instructions to exchange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your Old Notes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(b) your agreement to be bound by the terms of the</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accompanying letter of transmittal, and (ii) the exchange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agent receive a computer generated message known as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 “agent’s message” that is transmitted through ATOP.</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Please note that by using the ATOP procedures to tender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exchange Old Notes, you will be bound by the terms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of the accompanying letter of transmittal, and you will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be deemed to have made the acknowledgments and</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representations it contains.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See “The Exchange Offer-Eligibility; Transferability”</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“The Exchange Offer—Representations.”</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Certain United States Federal Income Tax</w:t>
            </w:r>
          </w:p>
        </w:tc>
        <w:tc>
          <w:tcPr>
            <w:tcW w:w="1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0"/>
        </w:trPr>
        <w:tc>
          <w:tcPr>
            <w:tcW w:w="3760" w:type="dxa"/>
            <w:vAlign w:val="bottom"/>
          </w:tcPr>
          <w:p>
            <w:pPr>
              <w:ind w:left="160"/>
              <w:spacing w:after="0"/>
              <w:rPr>
                <w:sz w:val="20"/>
                <w:szCs w:val="20"/>
                <w:color w:val="auto"/>
              </w:rPr>
            </w:pPr>
            <w:r>
              <w:rPr>
                <w:rFonts w:ascii="Arial" w:cs="Arial" w:eastAsia="Arial" w:hAnsi="Arial"/>
                <w:sz w:val="18"/>
                <w:szCs w:val="18"/>
                <w:b w:val="1"/>
                <w:bCs w:val="1"/>
                <w:color w:val="auto"/>
              </w:rPr>
              <w:t>Considerations</w:t>
            </w:r>
          </w:p>
        </w:tc>
        <w:tc>
          <w:tcPr>
            <w:tcW w:w="4100" w:type="dxa"/>
            <w:vAlign w:val="bottom"/>
            <w:gridSpan w:val="2"/>
          </w:tcPr>
          <w:p>
            <w:pPr>
              <w:ind w:left="560"/>
              <w:spacing w:after="0"/>
              <w:rPr>
                <w:sz w:val="20"/>
                <w:szCs w:val="20"/>
                <w:color w:val="auto"/>
              </w:rPr>
            </w:pPr>
            <w:r>
              <w:rPr>
                <w:rFonts w:ascii="Arial" w:cs="Arial" w:eastAsia="Arial" w:hAnsi="Arial"/>
                <w:sz w:val="18"/>
                <w:szCs w:val="18"/>
                <w:color w:val="auto"/>
              </w:rPr>
              <w:t>The exchange of Old Notes for New Notes</w:t>
            </w:r>
          </w:p>
        </w:tc>
        <w:tc>
          <w:tcPr>
            <w:tcW w:w="280" w:type="dxa"/>
            <w:vAlign w:val="bottom"/>
          </w:tcPr>
          <w:p>
            <w:pPr>
              <w:ind w:left="80"/>
              <w:spacing w:after="0"/>
              <w:rPr>
                <w:sz w:val="20"/>
                <w:szCs w:val="20"/>
                <w:color w:val="auto"/>
              </w:rPr>
            </w:pPr>
            <w:r>
              <w:rPr>
                <w:rFonts w:ascii="Arial" w:cs="Arial" w:eastAsia="Arial" w:hAnsi="Arial"/>
                <w:sz w:val="18"/>
                <w:szCs w:val="18"/>
                <w:color w:val="auto"/>
              </w:rPr>
              <w:t>in</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the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1"/>
              </w:rPr>
              <w:t>exchange offer generally should not constitute a taxable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7"/>
              </w:rPr>
              <w:t>event  for  U.S.  federal  income  tax  purposes.  See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rPr>
              <w:t>“Certain   United   States   Federal   Income   Tax</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5"/>
              </w:rPr>
              <w:t>Considerations.”  You  should  consult  your  own  tax</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2"/>
              </w:rPr>
              <w:t>advisor as to the tax consequences of exchanging your</w:t>
            </w:r>
          </w:p>
        </w:tc>
      </w:tr>
      <w:tr>
        <w:trPr>
          <w:trHeight w:val="230"/>
        </w:trPr>
        <w:tc>
          <w:tcPr>
            <w:tcW w:w="3760" w:type="dxa"/>
            <w:vAlign w:val="bottom"/>
          </w:tcPr>
          <w:p>
            <w:pPr>
              <w:spacing w:after="0"/>
              <w:rPr>
                <w:sz w:val="20"/>
                <w:szCs w:val="20"/>
                <w:color w:val="auto"/>
              </w:rPr>
            </w:pPr>
          </w:p>
        </w:tc>
        <w:tc>
          <w:tcPr>
            <w:tcW w:w="4100" w:type="dxa"/>
            <w:vAlign w:val="bottom"/>
            <w:gridSpan w:val="2"/>
          </w:tcPr>
          <w:p>
            <w:pPr>
              <w:ind w:left="560"/>
              <w:spacing w:after="0"/>
              <w:rPr>
                <w:sz w:val="20"/>
                <w:szCs w:val="20"/>
                <w:color w:val="auto"/>
              </w:rPr>
            </w:pPr>
            <w:r>
              <w:rPr>
                <w:rFonts w:ascii="Arial" w:cs="Arial" w:eastAsia="Arial" w:hAnsi="Arial"/>
                <w:sz w:val="18"/>
                <w:szCs w:val="18"/>
                <w:color w:val="auto"/>
              </w:rPr>
              <w:t>Old Notes for New Notes.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37"/>
        </w:trPr>
        <w:tc>
          <w:tcPr>
            <w:tcW w:w="3760" w:type="dxa"/>
            <w:vAlign w:val="bottom"/>
          </w:tcPr>
          <w:p>
            <w:pPr>
              <w:spacing w:after="0"/>
              <w:rPr>
                <w:sz w:val="20"/>
                <w:szCs w:val="20"/>
                <w:color w:val="auto"/>
              </w:rPr>
            </w:pPr>
            <w:r>
              <w:rPr>
                <w:rFonts w:ascii="Arial" w:cs="Arial" w:eastAsia="Arial" w:hAnsi="Arial"/>
                <w:sz w:val="18"/>
                <w:szCs w:val="18"/>
                <w:b w:val="1"/>
                <w:bCs w:val="1"/>
                <w:color w:val="auto"/>
              </w:rPr>
              <w:t>Registration Rights</w:t>
            </w:r>
          </w:p>
        </w:tc>
        <w:tc>
          <w:tcPr>
            <w:tcW w:w="1040" w:type="dxa"/>
            <w:vAlign w:val="bottom"/>
          </w:tcPr>
          <w:p>
            <w:pPr>
              <w:ind w:left="560"/>
              <w:spacing w:after="0"/>
              <w:rPr>
                <w:sz w:val="20"/>
                <w:szCs w:val="20"/>
                <w:color w:val="auto"/>
              </w:rPr>
            </w:pPr>
            <w:r>
              <w:rPr>
                <w:rFonts w:ascii="Arial" w:cs="Arial" w:eastAsia="Arial" w:hAnsi="Arial"/>
                <w:sz w:val="18"/>
                <w:szCs w:val="18"/>
                <w:color w:val="auto"/>
                <w:w w:val="93"/>
              </w:rPr>
              <w:t>Under</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w w:val="97"/>
              </w:rPr>
              <w:t>the terms of the registration rights agreements</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8"/>
              </w:rPr>
              <w:t>that we entered into with the initial purchasers of the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rPr>
              <w:t>Old Notes at the time we issued the Old Notes, we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7"/>
              </w:rPr>
              <w:t>agreed to register the New Notes and undertake this</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rPr>
              <w:t>exchange offer. This exchange offer is intended to</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8"/>
              </w:rPr>
              <w:t>satisfy the rights of holders of Old Notes under such</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2"/>
              </w:rPr>
              <w:t>registration rights agreements. After the exchange offer</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1"/>
              </w:rPr>
              <w:t>is completed, we will have no further obligations, except</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4"/>
              </w:rPr>
              <w:t>under certain limited circumstances, to provide for any</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rPr>
              <w:t>exchange or undertake any further registration with</w:t>
            </w:r>
          </w:p>
        </w:tc>
      </w:tr>
      <w:tr>
        <w:trPr>
          <w:trHeight w:val="230"/>
        </w:trPr>
        <w:tc>
          <w:tcPr>
            <w:tcW w:w="3760" w:type="dxa"/>
            <w:vAlign w:val="bottom"/>
          </w:tcPr>
          <w:p>
            <w:pPr>
              <w:spacing w:after="0"/>
              <w:rPr>
                <w:sz w:val="20"/>
                <w:szCs w:val="20"/>
                <w:color w:val="auto"/>
              </w:rPr>
            </w:pPr>
          </w:p>
        </w:tc>
        <w:tc>
          <w:tcPr>
            <w:tcW w:w="4100" w:type="dxa"/>
            <w:vAlign w:val="bottom"/>
            <w:gridSpan w:val="2"/>
          </w:tcPr>
          <w:p>
            <w:pPr>
              <w:ind w:left="560"/>
              <w:spacing w:after="0"/>
              <w:rPr>
                <w:sz w:val="20"/>
                <w:szCs w:val="20"/>
                <w:color w:val="auto"/>
              </w:rPr>
            </w:pPr>
            <w:r>
              <w:rPr>
                <w:rFonts w:ascii="Arial" w:cs="Arial" w:eastAsia="Arial" w:hAnsi="Arial"/>
                <w:sz w:val="18"/>
                <w:szCs w:val="18"/>
                <w:color w:val="auto"/>
              </w:rPr>
              <w:t>respect to the Old Notes.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50"/>
        </w:trPr>
        <w:tc>
          <w:tcPr>
            <w:tcW w:w="3760" w:type="dxa"/>
            <w:vAlign w:val="bottom"/>
          </w:tcPr>
          <w:p>
            <w:pPr>
              <w:spacing w:after="0"/>
              <w:rPr>
                <w:sz w:val="20"/>
                <w:szCs w:val="20"/>
                <w:color w:val="auto"/>
              </w:rPr>
            </w:pPr>
            <w:r>
              <w:rPr>
                <w:rFonts w:ascii="Arial" w:cs="Arial" w:eastAsia="Arial" w:hAnsi="Arial"/>
                <w:sz w:val="18"/>
                <w:szCs w:val="18"/>
                <w:b w:val="1"/>
                <w:bCs w:val="1"/>
                <w:color w:val="auto"/>
              </w:rPr>
              <w:t>Transferability</w:t>
            </w: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1"/>
              </w:rPr>
              <w:t>Based upon existing interpretations of the Securities Act</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6"/>
              </w:rPr>
              <w:t>by the staff of the SEC contained in several no-action</w:t>
            </w:r>
          </w:p>
        </w:tc>
      </w:tr>
      <w:tr>
        <w:trPr>
          <w:trHeight w:val="216"/>
        </w:trPr>
        <w:tc>
          <w:tcPr>
            <w:tcW w:w="376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w w:val="93"/>
              </w:rPr>
              <w:t>letters</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w w:val="97"/>
              </w:rPr>
              <w:t>issued  to  third  parties,  we  believe  that</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the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8"/>
              </w:rPr>
              <w:t>New  Notes  may  be  offered  for  resale,  resold  or</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6"/>
              </w:rPr>
              <w:t>otherwise transferred by you without compliance with</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1"/>
              </w:rPr>
              <w:t>the registration and prospectus delivery requirements of</w:t>
            </w:r>
          </w:p>
        </w:tc>
      </w:tr>
      <w:tr>
        <w:trPr>
          <w:trHeight w:val="230"/>
        </w:trPr>
        <w:tc>
          <w:tcPr>
            <w:tcW w:w="3760" w:type="dxa"/>
            <w:vAlign w:val="bottom"/>
          </w:tcPr>
          <w:p>
            <w:pPr>
              <w:spacing w:after="0"/>
              <w:rPr>
                <w:sz w:val="20"/>
                <w:szCs w:val="20"/>
                <w:color w:val="auto"/>
              </w:rPr>
            </w:pPr>
          </w:p>
        </w:tc>
        <w:tc>
          <w:tcPr>
            <w:tcW w:w="4100" w:type="dxa"/>
            <w:vAlign w:val="bottom"/>
            <w:gridSpan w:val="2"/>
          </w:tcPr>
          <w:p>
            <w:pPr>
              <w:ind w:left="560"/>
              <w:spacing w:after="0"/>
              <w:rPr>
                <w:sz w:val="20"/>
                <w:szCs w:val="20"/>
                <w:color w:val="auto"/>
              </w:rPr>
            </w:pPr>
            <w:r>
              <w:rPr>
                <w:rFonts w:ascii="Arial" w:cs="Arial" w:eastAsia="Arial" w:hAnsi="Arial"/>
                <w:sz w:val="18"/>
                <w:szCs w:val="18"/>
                <w:color w:val="auto"/>
              </w:rPr>
              <w:t>the Securities Act, provided that: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10"/>
        </w:trPr>
        <w:tc>
          <w:tcPr>
            <w:tcW w:w="3760" w:type="dxa"/>
            <w:vAlign w:val="bottom"/>
          </w:tcPr>
          <w:p>
            <w:pPr>
              <w:spacing w:after="0"/>
              <w:rPr>
                <w:sz w:val="24"/>
                <w:szCs w:val="24"/>
                <w:color w:val="auto"/>
              </w:rPr>
            </w:pPr>
          </w:p>
        </w:tc>
        <w:tc>
          <w:tcPr>
            <w:tcW w:w="1040" w:type="dxa"/>
            <w:vAlign w:val="bottom"/>
          </w:tcPr>
          <w:p>
            <w:pPr>
              <w:ind w:left="900"/>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7"/>
              </w:rPr>
              <w:t>you  are  acquiring  the  New  Notes  in  the</w:t>
            </w:r>
          </w:p>
        </w:tc>
      </w:tr>
      <w:tr>
        <w:trPr>
          <w:trHeight w:val="230"/>
        </w:trPr>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ordinary course of your business;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10"/>
        </w:trPr>
        <w:tc>
          <w:tcPr>
            <w:tcW w:w="3760" w:type="dxa"/>
            <w:vAlign w:val="bottom"/>
          </w:tcPr>
          <w:p>
            <w:pPr>
              <w:spacing w:after="0"/>
              <w:rPr>
                <w:sz w:val="24"/>
                <w:szCs w:val="24"/>
                <w:color w:val="auto"/>
              </w:rPr>
            </w:pPr>
          </w:p>
        </w:tc>
        <w:tc>
          <w:tcPr>
            <w:tcW w:w="1040" w:type="dxa"/>
            <w:vAlign w:val="bottom"/>
          </w:tcPr>
          <w:p>
            <w:pPr>
              <w:ind w:left="900"/>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2"/>
              </w:rPr>
              <w:t>you are not participating or engaged in, do not</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1"/>
              </w:rPr>
              <w:t>intend to participate or engage in, and have no</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0"/>
              </w:rPr>
              <w:t>arrangement or understanding with any person</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to  participate  in,  the  distribution</w:t>
            </w:r>
          </w:p>
        </w:tc>
        <w:tc>
          <w:tcPr>
            <w:tcW w:w="280" w:type="dxa"/>
            <w:vAlign w:val="bottom"/>
          </w:tcPr>
          <w:p>
            <w:pPr>
              <w:ind w:left="20"/>
              <w:spacing w:after="0"/>
              <w:rPr>
                <w:sz w:val="20"/>
                <w:szCs w:val="20"/>
                <w:color w:val="auto"/>
              </w:rPr>
            </w:pPr>
            <w:r>
              <w:rPr>
                <w:rFonts w:ascii="Arial" w:cs="Arial" w:eastAsia="Arial" w:hAnsi="Arial"/>
                <w:sz w:val="18"/>
                <w:szCs w:val="18"/>
                <w:color w:val="auto"/>
              </w:rPr>
              <w:t>of</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the</w:t>
            </w:r>
          </w:p>
        </w:tc>
      </w:tr>
      <w:tr>
        <w:trPr>
          <w:trHeight w:val="230"/>
        </w:trPr>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New Notes issued to you;</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10"/>
        </w:trPr>
        <w:tc>
          <w:tcPr>
            <w:tcW w:w="3760" w:type="dxa"/>
            <w:vAlign w:val="bottom"/>
          </w:tcPr>
          <w:p>
            <w:pPr>
              <w:spacing w:after="0"/>
              <w:rPr>
                <w:sz w:val="24"/>
                <w:szCs w:val="24"/>
                <w:color w:val="auto"/>
              </w:rPr>
            </w:pPr>
          </w:p>
        </w:tc>
        <w:tc>
          <w:tcPr>
            <w:tcW w:w="1040" w:type="dxa"/>
            <w:vAlign w:val="bottom"/>
          </w:tcPr>
          <w:p>
            <w:pPr>
              <w:ind w:left="900"/>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you are not an “affiliate” of ours within the</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2"/>
              </w:rPr>
              <w:t>meaning of Rule 405 under the Securities Act;</w:t>
            </w:r>
          </w:p>
        </w:tc>
      </w:tr>
      <w:tr>
        <w:trPr>
          <w:trHeight w:val="230"/>
        </w:trPr>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and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10"/>
        </w:trPr>
        <w:tc>
          <w:tcPr>
            <w:tcW w:w="3760" w:type="dxa"/>
            <w:vAlign w:val="bottom"/>
          </w:tcPr>
          <w:p>
            <w:pPr>
              <w:spacing w:after="0"/>
              <w:rPr>
                <w:sz w:val="24"/>
                <w:szCs w:val="24"/>
                <w:color w:val="auto"/>
              </w:rPr>
            </w:pPr>
          </w:p>
        </w:tc>
        <w:tc>
          <w:tcPr>
            <w:tcW w:w="1040" w:type="dxa"/>
            <w:vAlign w:val="bottom"/>
          </w:tcPr>
          <w:p>
            <w:pPr>
              <w:ind w:left="900"/>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you are not acting on behalf of any person</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who  could  not  truthfully  make  these</w:t>
            </w:r>
          </w:p>
        </w:tc>
      </w:tr>
      <w:tr>
        <w:trPr>
          <w:trHeight w:val="230"/>
        </w:trPr>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statements.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94"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Our  belief  that  transfers  of  New  Notes  would  be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permitted without registration or prospectus delivery</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8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under  the  conditions  described  above  is  based  on</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interpretations by the staff of the SEC given to other,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unrelated issuers in similar exchange offers. The staff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SEC has not considered this exchange offer in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context of a no-action letter, and we cannot assure you</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that  the  staff  of  the  SEC  would  make  a  similar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interpretation with respect to our exchange offer.</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If our belief is not accurate and you transfer a New Note</w:t>
      </w:r>
    </w:p>
    <w:p>
      <w:pPr>
        <w:spacing w:after="0" w:line="46" w:lineRule="exact"/>
        <w:rPr>
          <w:sz w:val="20"/>
          <w:szCs w:val="20"/>
          <w:color w:val="auto"/>
        </w:rPr>
      </w:pPr>
    </w:p>
    <w:p>
      <w:pPr>
        <w:ind w:left="4640"/>
        <w:spacing w:after="0"/>
        <w:tabs>
          <w:tab w:leader="none" w:pos="5400" w:val="left"/>
          <w:tab w:leader="none" w:pos="6360" w:val="left"/>
          <w:tab w:leader="none" w:pos="6680" w:val="left"/>
          <w:tab w:leader="none" w:pos="7680" w:val="left"/>
          <w:tab w:leader="none" w:pos="8480" w:val="left"/>
        </w:tabs>
        <w:rPr>
          <w:sz w:val="20"/>
          <w:szCs w:val="20"/>
          <w:color w:val="auto"/>
        </w:rPr>
      </w:pPr>
      <w:r>
        <w:rPr>
          <w:rFonts w:ascii="Arial" w:cs="Arial" w:eastAsia="Arial" w:hAnsi="Arial"/>
          <w:sz w:val="18"/>
          <w:szCs w:val="18"/>
          <w:color w:val="auto"/>
        </w:rPr>
        <w:t>without</w:t>
        <w:tab/>
        <w:t>delivering</w:t>
        <w:tab/>
        <w:t>a</w:t>
        <w:tab/>
        <w:t>prospectus</w:t>
        <w:tab/>
        <w:t>meeting</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requirements  of  the  Securities  Act  or  without  an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exemption  from  such  requirements,  you  may  incur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liability under the Securities Act. We do not assume, 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indemnify you against, such liability.</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Each broker-dealer that receives New Notes for its own</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account  under  the  exchange  offer  in  exchange  for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Old Notes that were acquired by the broker-dealer as a</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result of market-making or other trading activity must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acknowledge that it will deliver a prospectus meeting</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requirements of the Securities Act in connection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with any resale of the New Notes.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See “The Exchange Offer-Eligibility; Transferability”</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“Plan of Distribution.”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Consequences of Failing to Exchange Old</w:t>
      </w:r>
    </w:p>
    <w:p>
      <w:pPr>
        <w:spacing w:after="0" w:line="27" w:lineRule="exact"/>
        <w:rPr>
          <w:sz w:val="20"/>
          <w:szCs w:val="20"/>
          <w:color w:val="auto"/>
        </w:rPr>
      </w:pPr>
    </w:p>
    <w:p>
      <w:pPr>
        <w:ind w:left="480"/>
        <w:spacing w:after="0"/>
        <w:tabs>
          <w:tab w:leader="none" w:pos="4620" w:val="left"/>
        </w:tabs>
        <w:rPr>
          <w:sz w:val="20"/>
          <w:szCs w:val="20"/>
          <w:color w:val="auto"/>
        </w:rPr>
      </w:pPr>
      <w:r>
        <w:rPr>
          <w:rFonts w:ascii="Arial" w:cs="Arial" w:eastAsia="Arial" w:hAnsi="Arial"/>
          <w:sz w:val="16"/>
          <w:szCs w:val="16"/>
          <w:b w:val="1"/>
          <w:bCs w:val="1"/>
          <w:color w:val="auto"/>
        </w:rPr>
        <w:t>Notes</w:t>
      </w:r>
      <w:r>
        <w:rPr>
          <w:sz w:val="20"/>
          <w:szCs w:val="20"/>
          <w:color w:val="auto"/>
        </w:rPr>
        <w:tab/>
      </w:r>
      <w:r>
        <w:rPr>
          <w:rFonts w:ascii="Arial" w:cs="Arial" w:eastAsia="Arial" w:hAnsi="Arial"/>
          <w:sz w:val="16"/>
          <w:szCs w:val="16"/>
          <w:color w:val="auto"/>
        </w:rPr>
        <w:t>Any Old Notes that are not exchanged in the exchange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offer will continue to be governed by the indenture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relating to the Old Notes and the terms of the Old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Old Notes that are not exchanged will remain subject to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restrictions on transfer described in the Old Notes,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and you will not be able to offer or sell the Old Notes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except under an exemption from the requirements of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Securities Act or unless the Old Notes are registered</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under the Securities Act. Upon the completion of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exchange offer, we will have no further obligations,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except  under  limited  circumstances,  to  provide  for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registration of the Old Notes under the U.S. federal</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securities laws. If you do not participate in the exchange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offer, the liquidity of your Old Notes could be adversely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affected. See “The Exchange Offer-Consequences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Failure to Exchange.”</w:t>
      </w:r>
    </w:p>
    <w:p>
      <w:pPr>
        <w:spacing w:after="0" w:line="139"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7"/>
              </w:rPr>
              <w:t>We  will  not  receive  any  cash  proceeds  from  the</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2"/>
              </w:rPr>
              <w:t>exchange of Old Notes for New Notes as a result of the</w:t>
            </w:r>
          </w:p>
        </w:tc>
      </w:tr>
      <w:tr>
        <w:trPr>
          <w:trHeight w:val="230"/>
        </w:trPr>
        <w:tc>
          <w:tcPr>
            <w:tcW w:w="3580" w:type="dxa"/>
            <w:vAlign w:val="bottom"/>
          </w:tcPr>
          <w:p>
            <w:pPr>
              <w:spacing w:after="0"/>
              <w:rPr>
                <w:sz w:val="20"/>
                <w:szCs w:val="20"/>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color w:val="auto"/>
              </w:rPr>
              <w:t>exchange offer.</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50"/>
        </w:trPr>
        <w:tc>
          <w:tcPr>
            <w:tcW w:w="3580" w:type="dxa"/>
            <w:vAlign w:val="bottom"/>
          </w:tcPr>
          <w:p>
            <w:pPr>
              <w:spacing w:after="0"/>
              <w:rPr>
                <w:sz w:val="20"/>
                <w:szCs w:val="20"/>
                <w:color w:val="auto"/>
              </w:rPr>
            </w:pPr>
            <w:r>
              <w:rPr>
                <w:rFonts w:ascii="Arial" w:cs="Arial" w:eastAsia="Arial" w:hAnsi="Arial"/>
                <w:sz w:val="18"/>
                <w:szCs w:val="18"/>
                <w:b w:val="1"/>
                <w:bCs w:val="1"/>
                <w:color w:val="auto"/>
              </w:rPr>
              <w:t>Cancellation of Exchanged Old Notes</w:t>
            </w:r>
          </w:p>
        </w:tc>
        <w:tc>
          <w:tcPr>
            <w:tcW w:w="3400" w:type="dxa"/>
            <w:vAlign w:val="bottom"/>
            <w:gridSpan w:val="4"/>
          </w:tcPr>
          <w:p>
            <w:pPr>
              <w:ind w:left="740"/>
              <w:spacing w:after="0"/>
              <w:rPr>
                <w:sz w:val="20"/>
                <w:szCs w:val="20"/>
                <w:color w:val="auto"/>
              </w:rPr>
            </w:pPr>
            <w:r>
              <w:rPr>
                <w:rFonts w:ascii="Arial" w:cs="Arial" w:eastAsia="Arial" w:hAnsi="Arial"/>
                <w:sz w:val="18"/>
                <w:szCs w:val="18"/>
                <w:color w:val="auto"/>
                <w:w w:val="98"/>
              </w:rPr>
              <w:t>Old  Notes  that  are  surrendered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9"/>
              </w:rPr>
              <w:t>in  exchange  for</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9"/>
              </w:rPr>
              <w:t>New Notes will be retired and cancelled by us upon</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7"/>
              </w:rPr>
              <w:t>receipt  and  will  not  be  reissued.  Accordingly,  the</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6"/>
              </w:rPr>
              <w:t>issuance of the New Notes under this exchange offer</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7"/>
              </w:rPr>
              <w:t>will  not  result  in  any  increase  in  our  outstanding</w:t>
            </w:r>
          </w:p>
        </w:tc>
      </w:tr>
      <w:tr>
        <w:trPr>
          <w:trHeight w:val="230"/>
        </w:trPr>
        <w:tc>
          <w:tcPr>
            <w:tcW w:w="3580" w:type="dxa"/>
            <w:vAlign w:val="bottom"/>
          </w:tcPr>
          <w:p>
            <w:pPr>
              <w:spacing w:after="0"/>
              <w:rPr>
                <w:sz w:val="20"/>
                <w:szCs w:val="20"/>
                <w:color w:val="auto"/>
              </w:rPr>
            </w:pPr>
          </w:p>
        </w:tc>
        <w:tc>
          <w:tcPr>
            <w:tcW w:w="1700" w:type="dxa"/>
            <w:vAlign w:val="bottom"/>
          </w:tcPr>
          <w:p>
            <w:pPr>
              <w:ind w:left="740"/>
              <w:spacing w:after="0"/>
              <w:rPr>
                <w:sz w:val="20"/>
                <w:szCs w:val="20"/>
                <w:color w:val="auto"/>
              </w:rPr>
            </w:pPr>
            <w:r>
              <w:rPr>
                <w:rFonts w:ascii="Arial" w:cs="Arial" w:eastAsia="Arial" w:hAnsi="Arial"/>
                <w:sz w:val="18"/>
                <w:szCs w:val="18"/>
                <w:color w:val="auto"/>
                <w:w w:val="83"/>
              </w:rPr>
              <w:t>indebtedness.</w:t>
            </w: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7"/>
        </w:trPr>
        <w:tc>
          <w:tcPr>
            <w:tcW w:w="3580" w:type="dxa"/>
            <w:vAlign w:val="bottom"/>
          </w:tcPr>
          <w:p>
            <w:pPr>
              <w:spacing w:after="0"/>
              <w:rPr>
                <w:sz w:val="20"/>
                <w:szCs w:val="20"/>
                <w:color w:val="auto"/>
              </w:rPr>
            </w:pPr>
            <w:r>
              <w:rPr>
                <w:rFonts w:ascii="Arial" w:cs="Arial" w:eastAsia="Arial" w:hAnsi="Arial"/>
                <w:sz w:val="18"/>
                <w:szCs w:val="18"/>
                <w:b w:val="1"/>
                <w:bCs w:val="1"/>
                <w:color w:val="auto"/>
              </w:rPr>
              <w:t>Exchange Agent</w:t>
            </w: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rPr>
              <w:t>UMB Bank, National Association is serving as the</w:t>
            </w:r>
          </w:p>
        </w:tc>
      </w:tr>
      <w:tr>
        <w:trPr>
          <w:trHeight w:val="216"/>
        </w:trPr>
        <w:tc>
          <w:tcPr>
            <w:tcW w:w="3580" w:type="dxa"/>
            <w:vAlign w:val="bottom"/>
          </w:tcPr>
          <w:p>
            <w:pPr>
              <w:spacing w:after="0"/>
              <w:rPr>
                <w:sz w:val="18"/>
                <w:szCs w:val="18"/>
                <w:color w:val="auto"/>
              </w:rPr>
            </w:pPr>
          </w:p>
        </w:tc>
        <w:tc>
          <w:tcPr>
            <w:tcW w:w="1700" w:type="dxa"/>
            <w:vAlign w:val="bottom"/>
          </w:tcPr>
          <w:p>
            <w:pPr>
              <w:ind w:left="740"/>
              <w:spacing w:after="0"/>
              <w:rPr>
                <w:sz w:val="20"/>
                <w:szCs w:val="20"/>
                <w:color w:val="auto"/>
              </w:rPr>
            </w:pPr>
            <w:r>
              <w:rPr>
                <w:rFonts w:ascii="Arial" w:cs="Arial" w:eastAsia="Arial" w:hAnsi="Arial"/>
                <w:sz w:val="18"/>
                <w:szCs w:val="18"/>
                <w:color w:val="auto"/>
              </w:rPr>
              <w:t>exchange</w:t>
            </w:r>
          </w:p>
        </w:tc>
        <w:tc>
          <w:tcPr>
            <w:tcW w:w="540" w:type="dxa"/>
            <w:vAlign w:val="bottom"/>
          </w:tcPr>
          <w:p>
            <w:pPr>
              <w:spacing w:after="0"/>
              <w:rPr>
                <w:sz w:val="20"/>
                <w:szCs w:val="20"/>
                <w:color w:val="auto"/>
              </w:rPr>
            </w:pPr>
            <w:r>
              <w:rPr>
                <w:rFonts w:ascii="Arial" w:cs="Arial" w:eastAsia="Arial" w:hAnsi="Arial"/>
                <w:sz w:val="18"/>
                <w:szCs w:val="18"/>
                <w:color w:val="auto"/>
              </w:rPr>
              <w:t>agent</w:t>
            </w:r>
          </w:p>
        </w:tc>
        <w:tc>
          <w:tcPr>
            <w:tcW w:w="520" w:type="dxa"/>
            <w:vAlign w:val="bottom"/>
          </w:tcPr>
          <w:p>
            <w:pPr>
              <w:ind w:left="160"/>
              <w:spacing w:after="0"/>
              <w:rPr>
                <w:sz w:val="20"/>
                <w:szCs w:val="20"/>
                <w:color w:val="auto"/>
              </w:rPr>
            </w:pPr>
            <w:r>
              <w:rPr>
                <w:rFonts w:ascii="Arial" w:cs="Arial" w:eastAsia="Arial" w:hAnsi="Arial"/>
                <w:sz w:val="18"/>
                <w:szCs w:val="18"/>
                <w:color w:val="auto"/>
              </w:rPr>
              <w:t>for</w:t>
            </w:r>
          </w:p>
        </w:tc>
        <w:tc>
          <w:tcPr>
            <w:tcW w:w="640" w:type="dxa"/>
            <w:vAlign w:val="bottom"/>
          </w:tcPr>
          <w:p>
            <w:pPr>
              <w:ind w:left="140"/>
              <w:spacing w:after="0"/>
              <w:rPr>
                <w:sz w:val="20"/>
                <w:szCs w:val="20"/>
                <w:color w:val="auto"/>
              </w:rPr>
            </w:pPr>
            <w:r>
              <w:rPr>
                <w:rFonts w:ascii="Arial" w:cs="Arial" w:eastAsia="Arial" w:hAnsi="Arial"/>
                <w:sz w:val="18"/>
                <w:szCs w:val="18"/>
                <w:color w:val="auto"/>
              </w:rPr>
              <w:t>this</w:t>
            </w:r>
          </w:p>
        </w:tc>
        <w:tc>
          <w:tcPr>
            <w:tcW w:w="900" w:type="dxa"/>
            <w:vAlign w:val="bottom"/>
          </w:tcPr>
          <w:p>
            <w:pPr>
              <w:ind w:left="60"/>
              <w:spacing w:after="0"/>
              <w:rPr>
                <w:sz w:val="20"/>
                <w:szCs w:val="20"/>
                <w:color w:val="auto"/>
              </w:rPr>
            </w:pPr>
            <w:r>
              <w:rPr>
                <w:rFonts w:ascii="Arial" w:cs="Arial" w:eastAsia="Arial" w:hAnsi="Arial"/>
                <w:sz w:val="18"/>
                <w:szCs w:val="18"/>
                <w:color w:val="auto"/>
              </w:rPr>
              <w:t>exchange</w:t>
            </w:r>
          </w:p>
        </w:tc>
        <w:tc>
          <w:tcPr>
            <w:tcW w:w="540" w:type="dxa"/>
            <w:vAlign w:val="bottom"/>
          </w:tcPr>
          <w:p>
            <w:pPr>
              <w:ind w:left="140"/>
              <w:spacing w:after="0"/>
              <w:rPr>
                <w:sz w:val="20"/>
                <w:szCs w:val="20"/>
                <w:color w:val="auto"/>
              </w:rPr>
            </w:pPr>
            <w:r>
              <w:rPr>
                <w:rFonts w:ascii="Arial" w:cs="Arial" w:eastAsia="Arial" w:hAnsi="Arial"/>
                <w:sz w:val="18"/>
                <w:szCs w:val="18"/>
                <w:color w:val="auto"/>
                <w:w w:val="92"/>
              </w:rPr>
              <w:t>offer.</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rPr>
              <w:t>See “The Exchange Offer-Exchange Agent” for the</w:t>
            </w:r>
          </w:p>
        </w:tc>
      </w:tr>
      <w:tr>
        <w:trPr>
          <w:trHeight w:val="230"/>
        </w:trPr>
        <w:tc>
          <w:tcPr>
            <w:tcW w:w="3580" w:type="dxa"/>
            <w:vAlign w:val="bottom"/>
          </w:tcPr>
          <w:p>
            <w:pPr>
              <w:spacing w:after="0"/>
              <w:rPr>
                <w:sz w:val="20"/>
                <w:szCs w:val="20"/>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3"/>
              </w:rPr>
              <w:t>address and telephone number of the exchange agent.</w:t>
            </w: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67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New Notes</w:t>
      </w:r>
    </w:p>
    <w:p>
      <w:pPr>
        <w:spacing w:after="0" w:line="121" w:lineRule="exact"/>
        <w:rPr>
          <w:sz w:val="20"/>
          <w:szCs w:val="20"/>
          <w:color w:val="auto"/>
        </w:rPr>
      </w:pPr>
    </w:p>
    <w:p>
      <w:pPr>
        <w:jc w:val="both"/>
        <w:ind w:left="320" w:right="279" w:firstLine="360"/>
        <w:spacing w:after="0" w:line="270" w:lineRule="auto"/>
        <w:rPr>
          <w:sz w:val="20"/>
          <w:szCs w:val="20"/>
          <w:color w:val="auto"/>
        </w:rPr>
      </w:pPr>
      <w:r>
        <w:rPr>
          <w:rFonts w:ascii="Arial" w:cs="Arial" w:eastAsia="Arial" w:hAnsi="Arial"/>
          <w:sz w:val="17"/>
          <w:szCs w:val="17"/>
          <w:color w:val="auto"/>
        </w:rPr>
        <w:t>The following provides a summary of certain terms of the New Notes. The New Notes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agreements and do not have the right to additional interest under the circumstances described in the registration rights agreements relating to our fulfillment of our registration obligations. The New Notes will evidence the same debt as the Old Notes and will be governed by the same indenture under which the Old Notes were issued. Please refer to the section “Description of the Notes” for a more complete description of the terms of the New Notes. References in this prospectus to the “notes” include both the Old Notes and the New Notes unless otherwise specified or the context otherwise requires.</w:t>
      </w:r>
    </w:p>
    <w:p>
      <w:pPr>
        <w:ind w:left="320"/>
        <w:spacing w:after="0" w:line="189" w:lineRule="auto"/>
        <w:tabs>
          <w:tab w:leader="none" w:pos="4620" w:val="left"/>
        </w:tabs>
        <w:rPr>
          <w:sz w:val="20"/>
          <w:szCs w:val="20"/>
          <w:color w:val="auto"/>
        </w:rPr>
      </w:pPr>
      <w:r>
        <w:rPr>
          <w:rFonts w:ascii="Arial" w:cs="Arial" w:eastAsia="Arial" w:hAnsi="Arial"/>
          <w:sz w:val="36"/>
          <w:szCs w:val="36"/>
          <w:b w:val="1"/>
          <w:bCs w:val="1"/>
          <w:color w:val="auto"/>
          <w:vertAlign w:val="superscript"/>
        </w:rPr>
        <w:t>Issuer</w:t>
      </w:r>
      <w:r>
        <w:rPr>
          <w:sz w:val="20"/>
          <w:szCs w:val="20"/>
          <w:color w:val="auto"/>
        </w:rPr>
        <w:tab/>
      </w:r>
      <w:r>
        <w:rPr>
          <w:rFonts w:ascii="Arial" w:cs="Arial" w:eastAsia="Arial" w:hAnsi="Arial"/>
          <w:sz w:val="18"/>
          <w:szCs w:val="18"/>
          <w:color w:val="auto"/>
        </w:rPr>
        <w:t>South Plains Financial, Inc.</w:t>
      </w:r>
    </w:p>
    <w:p>
      <w:pPr>
        <w:spacing w:after="0" w:line="195"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4.50% Fixed-to-Floating Rate Subordinated Notes due</w:t>
      </w:r>
    </w:p>
    <w:p>
      <w:pPr>
        <w:spacing w:after="0" w:line="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2030.</w:t>
      </w:r>
    </w:p>
    <w:p>
      <w:pPr>
        <w:sectPr>
          <w:pgSz w:w="11900" w:h="16838" w:orient="portrait"/>
          <w:cols w:equalWidth="0" w:num="1">
            <w:col w:w="9019"/>
          </w:cols>
          <w:pgMar w:left="1440" w:top="265" w:right="1440" w:bottom="1440" w:gutter="0" w:footer="0" w:header="0"/>
          <w:type w:val="continuous"/>
        </w:sectPr>
      </w:pP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Aggregate Principal Amount</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Maturity Date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Form and Denomination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Up to $50,000,000.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2030, unless previously redeemed.</w:t>
      </w:r>
    </w:p>
    <w:p>
      <w:pPr>
        <w:spacing w:after="0" w:line="158" w:lineRule="exact"/>
        <w:rPr>
          <w:sz w:val="20"/>
          <w:szCs w:val="20"/>
          <w:color w:val="auto"/>
        </w:rPr>
      </w:pPr>
    </w:p>
    <w:p>
      <w:pPr>
        <w:jc w:val="both"/>
        <w:ind w:right="279"/>
        <w:spacing w:after="0" w:line="269" w:lineRule="auto"/>
        <w:rPr>
          <w:sz w:val="20"/>
          <w:szCs w:val="20"/>
          <w:color w:val="auto"/>
        </w:rPr>
      </w:pPr>
      <w:r>
        <w:rPr>
          <w:rFonts w:ascii="Arial" w:cs="Arial" w:eastAsia="Arial" w:hAnsi="Arial"/>
          <w:sz w:val="17"/>
          <w:szCs w:val="17"/>
          <w:color w:val="auto"/>
        </w:rPr>
        <w:t>The New Notes will be issued only in fully registered form without interest coupons, in minimum denominations of $100,000 and any integral multiple of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114"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Interest Rate</w:t>
      </w:r>
      <w:r>
        <w:rPr>
          <w:sz w:val="20"/>
          <w:szCs w:val="20"/>
          <w:color w:val="auto"/>
        </w:rPr>
        <w:tab/>
      </w:r>
      <w:r>
        <w:rPr>
          <w:rFonts w:ascii="Arial" w:cs="Arial" w:eastAsia="Arial" w:hAnsi="Arial"/>
          <w:sz w:val="17"/>
          <w:szCs w:val="17"/>
          <w:color w:val="auto"/>
        </w:rPr>
        <w:t>4.50% per annum, from and including the closing date</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to, but excluding, September 30, 2025 (the “fixed rate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period”), payable semi-annually in arrears. From and</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including September 30, 2025, to, but excluding,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maturity date or early redemption date (the “floating rate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period”), the interest rate shall reset quarterly to an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interest rate per annum equal to a benchmark rate that is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expected to be the then current Three-Month Term</w:t>
      </w:r>
    </w:p>
    <w:p>
      <w:pPr>
        <w:spacing w:after="0" w:line="9" w:lineRule="exact"/>
        <w:rPr>
          <w:sz w:val="20"/>
          <w:szCs w:val="20"/>
          <w:color w:val="auto"/>
        </w:rPr>
      </w:pPr>
    </w:p>
    <w:p>
      <w:pPr>
        <w:ind w:left="4640"/>
        <w:spacing w:after="0"/>
        <w:tabs>
          <w:tab w:leader="none" w:pos="5360" w:val="left"/>
          <w:tab w:leader="none" w:pos="6240" w:val="left"/>
          <w:tab w:leader="none" w:pos="7140" w:val="left"/>
          <w:tab w:leader="none" w:pos="7620" w:val="left"/>
          <w:tab w:leader="none" w:pos="8560" w:val="left"/>
        </w:tabs>
        <w:rPr>
          <w:sz w:val="20"/>
          <w:szCs w:val="20"/>
          <w:color w:val="auto"/>
        </w:rPr>
      </w:pPr>
      <w:r>
        <w:rPr>
          <w:rFonts w:ascii="Arial" w:cs="Arial" w:eastAsia="Arial" w:hAnsi="Arial"/>
          <w:sz w:val="18"/>
          <w:szCs w:val="18"/>
          <w:color w:val="auto"/>
        </w:rPr>
        <w:t>Secured</w:t>
        <w:tab/>
        <w:t>Overnight</w:t>
        <w:tab/>
        <w:t>Financing</w:t>
        <w:tab/>
        <w:t>Rate</w:t>
        <w:tab/>
        <w:t>(“SOFR”),</w:t>
      </w:r>
      <w:r>
        <w:rPr>
          <w:sz w:val="20"/>
          <w:szCs w:val="20"/>
          <w:color w:val="auto"/>
        </w:rPr>
        <w:tab/>
      </w:r>
      <w:r>
        <w:rPr>
          <w:rFonts w:ascii="Arial" w:cs="Arial" w:eastAsia="Arial" w:hAnsi="Arial"/>
          <w:sz w:val="15"/>
          <w:szCs w:val="15"/>
          <w:color w:val="auto"/>
        </w:rPr>
        <w:t>as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published by the Federal Reserve Bank of New York</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(provided, however, that in the event Three-Month Term</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SOFR is less than zero, Three-Month Term SOFR shall</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be deemed to be zero), plus 438 basis points, payable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quarterly in arrears. If Three-Month Term SOFR cannot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be determined on a given date, a different index shall be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determined and used in accordance with the terms of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New Notes.</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Day Count Convention</w:t>
      </w:r>
      <w:r>
        <w:rPr>
          <w:sz w:val="20"/>
          <w:szCs w:val="20"/>
          <w:color w:val="auto"/>
        </w:rPr>
        <w:tab/>
      </w:r>
      <w:r>
        <w:rPr>
          <w:rFonts w:ascii="Arial" w:cs="Arial" w:eastAsia="Arial" w:hAnsi="Arial"/>
          <w:sz w:val="17"/>
          <w:szCs w:val="17"/>
          <w:color w:val="auto"/>
        </w:rPr>
        <w:t>30/360 to, but excluding, September 30, 2025, and,</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thereafter, a 360-day year and the number of days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actually elapsed.</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Record Dates</w:t>
      </w:r>
      <w:r>
        <w:rPr>
          <w:sz w:val="20"/>
          <w:szCs w:val="20"/>
          <w:color w:val="auto"/>
        </w:rPr>
        <w:tab/>
      </w:r>
      <w:r>
        <w:rPr>
          <w:rFonts w:ascii="Arial" w:cs="Arial" w:eastAsia="Arial" w:hAnsi="Arial"/>
          <w:sz w:val="17"/>
          <w:szCs w:val="17"/>
          <w:color w:val="auto"/>
        </w:rPr>
        <w:t>Each interest payment will be made to the holders of</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record who held the New Notes at the close of business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on the fifteenth calendar day prior to the applicable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interest payment date.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Subordination; Ranking</w:t>
            </w:r>
          </w:p>
        </w:tc>
        <w:tc>
          <w:tcPr>
            <w:tcW w:w="1580" w:type="dxa"/>
            <w:vAlign w:val="bottom"/>
          </w:tcPr>
          <w:p>
            <w:pPr>
              <w:ind w:left="1160"/>
              <w:spacing w:after="0"/>
              <w:rPr>
                <w:sz w:val="20"/>
                <w:szCs w:val="20"/>
                <w:color w:val="auto"/>
              </w:rPr>
            </w:pPr>
            <w:r>
              <w:rPr>
                <w:rFonts w:ascii="Arial" w:cs="Arial" w:eastAsia="Arial" w:hAnsi="Arial"/>
                <w:sz w:val="18"/>
                <w:szCs w:val="18"/>
                <w:color w:val="auto"/>
              </w:rPr>
              <w:t>The</w:t>
            </w:r>
          </w:p>
        </w:tc>
        <w:tc>
          <w:tcPr>
            <w:tcW w:w="3680" w:type="dxa"/>
            <w:vAlign w:val="bottom"/>
            <w:gridSpan w:val="6"/>
          </w:tcPr>
          <w:p>
            <w:pPr>
              <w:spacing w:after="0"/>
              <w:rPr>
                <w:sz w:val="20"/>
                <w:szCs w:val="20"/>
                <w:color w:val="auto"/>
              </w:rPr>
            </w:pPr>
            <w:r>
              <w:rPr>
                <w:rFonts w:ascii="Arial" w:cs="Arial" w:eastAsia="Arial" w:hAnsi="Arial"/>
                <w:sz w:val="18"/>
                <w:szCs w:val="18"/>
                <w:color w:val="auto"/>
              </w:rPr>
              <w:t>New  Notes  will  be  our  general  unsecured,</w:t>
            </w:r>
          </w:p>
        </w:tc>
      </w:tr>
      <w:tr>
        <w:trPr>
          <w:trHeight w:val="230"/>
        </w:trPr>
        <w:tc>
          <w:tcPr>
            <w:tcW w:w="3160" w:type="dxa"/>
            <w:vAlign w:val="bottom"/>
          </w:tcPr>
          <w:p>
            <w:pPr>
              <w:spacing w:after="0"/>
              <w:rPr>
                <w:sz w:val="20"/>
                <w:szCs w:val="20"/>
                <w:color w:val="auto"/>
              </w:rPr>
            </w:pPr>
          </w:p>
        </w:tc>
        <w:tc>
          <w:tcPr>
            <w:tcW w:w="3280" w:type="dxa"/>
            <w:vAlign w:val="bottom"/>
            <w:gridSpan w:val="4"/>
          </w:tcPr>
          <w:p>
            <w:pPr>
              <w:ind w:left="1160"/>
              <w:spacing w:after="0"/>
              <w:rPr>
                <w:sz w:val="20"/>
                <w:szCs w:val="20"/>
                <w:color w:val="auto"/>
              </w:rPr>
            </w:pPr>
            <w:r>
              <w:rPr>
                <w:rFonts w:ascii="Arial" w:cs="Arial" w:eastAsia="Arial" w:hAnsi="Arial"/>
                <w:sz w:val="18"/>
                <w:szCs w:val="18"/>
                <w:color w:val="auto"/>
                <w:w w:val="89"/>
              </w:rPr>
              <w:t>subordinated obligations and:</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0"/>
        </w:trPr>
        <w:tc>
          <w:tcPr>
            <w:tcW w:w="3160" w:type="dxa"/>
            <w:vAlign w:val="bottom"/>
          </w:tcPr>
          <w:p>
            <w:pPr>
              <w:spacing w:after="0"/>
              <w:rPr>
                <w:sz w:val="24"/>
                <w:szCs w:val="24"/>
                <w:color w:val="auto"/>
              </w:rPr>
            </w:pPr>
          </w:p>
        </w:tc>
        <w:tc>
          <w:tcPr>
            <w:tcW w:w="1580" w:type="dxa"/>
            <w:vAlign w:val="bottom"/>
          </w:tcPr>
          <w:p>
            <w:pPr>
              <w:ind w:left="1500"/>
              <w:spacing w:after="0"/>
              <w:rPr>
                <w:sz w:val="20"/>
                <w:szCs w:val="20"/>
                <w:color w:val="auto"/>
              </w:rPr>
            </w:pPr>
            <w:r>
              <w:rPr>
                <w:rFonts w:ascii="Arial" w:cs="Arial" w:eastAsia="Arial" w:hAnsi="Arial"/>
                <w:sz w:val="18"/>
                <w:szCs w:val="18"/>
                <w:color w:val="auto"/>
                <w:w w:val="94"/>
              </w:rPr>
              <w:t>•</w:t>
            </w: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will rank junior in right of payment to all of</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8"/>
              </w:rPr>
              <w:t>our existing and future senior indebtedness</w:t>
            </w:r>
          </w:p>
        </w:tc>
      </w:tr>
      <w:tr>
        <w:trPr>
          <w:trHeight w:val="230"/>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w w:val="90"/>
              </w:rPr>
              <w:t>(as defined herein);</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0"/>
        </w:trPr>
        <w:tc>
          <w:tcPr>
            <w:tcW w:w="3160" w:type="dxa"/>
            <w:vAlign w:val="bottom"/>
          </w:tcPr>
          <w:p>
            <w:pPr>
              <w:spacing w:after="0"/>
              <w:rPr>
                <w:sz w:val="24"/>
                <w:szCs w:val="24"/>
                <w:color w:val="auto"/>
              </w:rPr>
            </w:pPr>
          </w:p>
        </w:tc>
        <w:tc>
          <w:tcPr>
            <w:tcW w:w="1580" w:type="dxa"/>
            <w:vAlign w:val="bottom"/>
          </w:tcPr>
          <w:p>
            <w:pPr>
              <w:ind w:left="1500"/>
              <w:spacing w:after="0"/>
              <w:rPr>
                <w:sz w:val="20"/>
                <w:szCs w:val="20"/>
                <w:color w:val="auto"/>
              </w:rPr>
            </w:pPr>
            <w:r>
              <w:rPr>
                <w:rFonts w:ascii="Arial" w:cs="Arial" w:eastAsia="Arial" w:hAnsi="Arial"/>
                <w:sz w:val="18"/>
                <w:szCs w:val="18"/>
                <w:color w:val="auto"/>
                <w:w w:val="94"/>
              </w:rPr>
              <w:t>•</w:t>
            </w: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9"/>
              </w:rPr>
              <w:t>will rank equally in right of payment with all</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of  our  existing  and  future  unsecured</w:t>
            </w:r>
          </w:p>
        </w:tc>
      </w:tr>
      <w:tr>
        <w:trPr>
          <w:trHeight w:val="230"/>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subordinated indebtedness;</w:t>
            </w:r>
          </w:p>
        </w:tc>
      </w:tr>
      <w:tr>
        <w:trPr>
          <w:trHeight w:val="310"/>
        </w:trPr>
        <w:tc>
          <w:tcPr>
            <w:tcW w:w="3160" w:type="dxa"/>
            <w:vAlign w:val="bottom"/>
          </w:tcPr>
          <w:p>
            <w:pPr>
              <w:spacing w:after="0"/>
              <w:rPr>
                <w:sz w:val="24"/>
                <w:szCs w:val="24"/>
                <w:color w:val="auto"/>
              </w:rPr>
            </w:pPr>
          </w:p>
        </w:tc>
        <w:tc>
          <w:tcPr>
            <w:tcW w:w="1580" w:type="dxa"/>
            <w:vAlign w:val="bottom"/>
          </w:tcPr>
          <w:p>
            <w:pPr>
              <w:ind w:left="1500"/>
              <w:spacing w:after="0"/>
              <w:rPr>
                <w:sz w:val="20"/>
                <w:szCs w:val="20"/>
                <w:color w:val="auto"/>
              </w:rPr>
            </w:pPr>
            <w:r>
              <w:rPr>
                <w:rFonts w:ascii="Arial" w:cs="Arial" w:eastAsia="Arial" w:hAnsi="Arial"/>
                <w:sz w:val="18"/>
                <w:szCs w:val="18"/>
                <w:color w:val="auto"/>
                <w:w w:val="94"/>
              </w:rPr>
              <w:t>•</w:t>
            </w: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5"/>
              </w:rPr>
              <w:t>will rank senior in right of payment and upon</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0"/>
              </w:rPr>
              <w:t>the Company’s liquidation to any indebtedness</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the  terms  of  which  provide  that  such</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0"/>
              </w:rPr>
              <w:t>indebtedness ranks junior to promissory notes,</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3"/>
              </w:rPr>
              <w:t>bonds,  debentures  and  other  evidences  of</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indebtedness  of  types  that  include  the</w:t>
            </w:r>
          </w:p>
        </w:tc>
      </w:tr>
      <w:tr>
        <w:trPr>
          <w:trHeight w:val="230"/>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ind w:left="280"/>
              <w:spacing w:after="0"/>
              <w:rPr>
                <w:sz w:val="20"/>
                <w:szCs w:val="20"/>
                <w:color w:val="auto"/>
              </w:rPr>
            </w:pPr>
            <w:r>
              <w:rPr>
                <w:rFonts w:ascii="Arial" w:cs="Arial" w:eastAsia="Arial" w:hAnsi="Arial"/>
                <w:sz w:val="18"/>
                <w:szCs w:val="18"/>
                <w:color w:val="auto"/>
                <w:w w:val="88"/>
              </w:rPr>
              <w:t>Subordinated Notes; and</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0"/>
        </w:trPr>
        <w:tc>
          <w:tcPr>
            <w:tcW w:w="3160" w:type="dxa"/>
            <w:vAlign w:val="bottom"/>
          </w:tcPr>
          <w:p>
            <w:pPr>
              <w:spacing w:after="0"/>
              <w:rPr>
                <w:sz w:val="24"/>
                <w:szCs w:val="24"/>
                <w:color w:val="auto"/>
              </w:rPr>
            </w:pPr>
          </w:p>
        </w:tc>
        <w:tc>
          <w:tcPr>
            <w:tcW w:w="1580" w:type="dxa"/>
            <w:vAlign w:val="bottom"/>
          </w:tcPr>
          <w:p>
            <w:pPr>
              <w:ind w:left="1500"/>
              <w:spacing w:after="0"/>
              <w:rPr>
                <w:sz w:val="20"/>
                <w:szCs w:val="20"/>
                <w:color w:val="auto"/>
              </w:rPr>
            </w:pPr>
            <w:r>
              <w:rPr>
                <w:rFonts w:ascii="Arial" w:cs="Arial" w:eastAsia="Arial" w:hAnsi="Arial"/>
                <w:sz w:val="18"/>
                <w:szCs w:val="18"/>
                <w:color w:val="auto"/>
                <w:w w:val="94"/>
              </w:rPr>
              <w:t>•</w:t>
            </w: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will be effectively subordinated to all of the</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0"/>
              </w:rPr>
              <w:t>existing and future indebtedness, liabilities and</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9"/>
              </w:rPr>
              <w:t>other obligations of the Bank and our other</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8"/>
              </w:rPr>
              <w:t>current  and  future  subsidiaries,  including</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4"/>
              </w:rPr>
              <w:t>without limitation the Bank’s deposit liabilities</w:t>
            </w:r>
          </w:p>
        </w:tc>
      </w:tr>
      <w:tr>
        <w:trPr>
          <w:trHeight w:val="230"/>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and claims of other creditors of the Bank.</w:t>
            </w:r>
          </w:p>
        </w:tc>
      </w:tr>
      <w:tr>
        <w:trPr>
          <w:trHeight w:val="310"/>
        </w:trPr>
        <w:tc>
          <w:tcPr>
            <w:tcW w:w="3160" w:type="dxa"/>
            <w:vAlign w:val="bottom"/>
          </w:tcPr>
          <w:p>
            <w:pPr>
              <w:spacing w:after="0"/>
              <w:rPr>
                <w:sz w:val="24"/>
                <w:szCs w:val="24"/>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2"/>
              </w:rPr>
              <w:t>As of September 30, 2020, the Company’s subsidiaries</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2"/>
              </w:rPr>
              <w:t>had, in the aggregate, outstanding debt and deposits of</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$3.1  billion,  which  would  rank  senior  to  the</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6"/>
              </w:rPr>
              <w:t>Subordinated Notes. In addition, as of September 30,</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2"/>
              </w:rPr>
              <w:t>2020, South Plains Financial, Inc. had no indebtedness</w:t>
            </w:r>
          </w:p>
        </w:tc>
      </w:tr>
      <w:tr>
        <w:trPr>
          <w:trHeight w:val="216"/>
        </w:trPr>
        <w:tc>
          <w:tcPr>
            <w:tcW w:w="3160" w:type="dxa"/>
            <w:vAlign w:val="bottom"/>
          </w:tcPr>
          <w:p>
            <w:pPr>
              <w:spacing w:after="0"/>
              <w:rPr>
                <w:sz w:val="18"/>
                <w:szCs w:val="18"/>
                <w:color w:val="auto"/>
              </w:rPr>
            </w:pPr>
          </w:p>
        </w:tc>
        <w:tc>
          <w:tcPr>
            <w:tcW w:w="2040" w:type="dxa"/>
            <w:vAlign w:val="bottom"/>
            <w:gridSpan w:val="2"/>
          </w:tcPr>
          <w:p>
            <w:pPr>
              <w:ind w:left="1160"/>
              <w:spacing w:after="0"/>
              <w:rPr>
                <w:sz w:val="20"/>
                <w:szCs w:val="20"/>
                <w:color w:val="auto"/>
              </w:rPr>
            </w:pPr>
            <w:r>
              <w:rPr>
                <w:rFonts w:ascii="Arial" w:cs="Arial" w:eastAsia="Arial" w:hAnsi="Arial"/>
                <w:sz w:val="18"/>
                <w:szCs w:val="18"/>
                <w:color w:val="auto"/>
              </w:rPr>
              <w:t>that would</w:t>
            </w:r>
          </w:p>
        </w:tc>
        <w:tc>
          <w:tcPr>
            <w:tcW w:w="440" w:type="dxa"/>
            <w:vAlign w:val="bottom"/>
          </w:tcPr>
          <w:p>
            <w:pPr>
              <w:jc w:val="right"/>
              <w:spacing w:after="0"/>
              <w:rPr>
                <w:sz w:val="20"/>
                <w:szCs w:val="20"/>
                <w:color w:val="auto"/>
              </w:rPr>
            </w:pPr>
            <w:r>
              <w:rPr>
                <w:rFonts w:ascii="Arial" w:cs="Arial" w:eastAsia="Arial" w:hAnsi="Arial"/>
                <w:sz w:val="18"/>
                <w:szCs w:val="18"/>
                <w:color w:val="auto"/>
              </w:rPr>
              <w:t>rank</w:t>
            </w:r>
          </w:p>
        </w:tc>
        <w:tc>
          <w:tcPr>
            <w:tcW w:w="800" w:type="dxa"/>
            <w:vAlign w:val="bottom"/>
          </w:tcPr>
          <w:p>
            <w:pPr>
              <w:ind w:left="60"/>
              <w:spacing w:after="0"/>
              <w:rPr>
                <w:sz w:val="20"/>
                <w:szCs w:val="20"/>
                <w:color w:val="auto"/>
              </w:rPr>
            </w:pPr>
            <w:r>
              <w:rPr>
                <w:rFonts w:ascii="Arial" w:cs="Arial" w:eastAsia="Arial" w:hAnsi="Arial"/>
                <w:sz w:val="18"/>
                <w:szCs w:val="18"/>
                <w:color w:val="auto"/>
              </w:rPr>
              <w:t>senior to</w:t>
            </w:r>
          </w:p>
        </w:tc>
        <w:tc>
          <w:tcPr>
            <w:tcW w:w="360" w:type="dxa"/>
            <w:vAlign w:val="bottom"/>
          </w:tcPr>
          <w:p>
            <w:pPr>
              <w:ind w:left="80"/>
              <w:spacing w:after="0"/>
              <w:rPr>
                <w:sz w:val="20"/>
                <w:szCs w:val="20"/>
                <w:color w:val="auto"/>
              </w:rPr>
            </w:pPr>
            <w:r>
              <w:rPr>
                <w:rFonts w:ascii="Arial" w:cs="Arial" w:eastAsia="Arial" w:hAnsi="Arial"/>
                <w:sz w:val="18"/>
                <w:szCs w:val="18"/>
                <w:color w:val="auto"/>
              </w:rPr>
              <w:t>the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w w:val="96"/>
              </w:rPr>
              <w:t>Subordinated Notes,</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 xml:space="preserve">$76.5 million that would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4"/>
              </w:rPr>
              <w:t>Subordinated Notes, and $46.4 million that would rank</w:t>
            </w:r>
          </w:p>
        </w:tc>
      </w:tr>
      <w:tr>
        <w:trPr>
          <w:trHeight w:val="230"/>
        </w:trPr>
        <w:tc>
          <w:tcPr>
            <w:tcW w:w="3160" w:type="dxa"/>
            <w:vAlign w:val="bottom"/>
          </w:tcPr>
          <w:p>
            <w:pPr>
              <w:spacing w:after="0"/>
              <w:rPr>
                <w:sz w:val="20"/>
                <w:szCs w:val="20"/>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subordinate to the Subordinated Notes.</w:t>
            </w:r>
          </w:p>
        </w:tc>
      </w:tr>
      <w:tr>
        <w:trPr>
          <w:trHeight w:val="337"/>
        </w:trPr>
        <w:tc>
          <w:tcPr>
            <w:tcW w:w="316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3800" w:type="dxa"/>
            <w:vAlign w:val="bottom"/>
            <w:gridSpan w:val="6"/>
          </w:tcPr>
          <w:p>
            <w:pPr>
              <w:ind w:left="1160"/>
              <w:spacing w:after="0"/>
              <w:rPr>
                <w:sz w:val="20"/>
                <w:szCs w:val="20"/>
                <w:color w:val="auto"/>
              </w:rPr>
            </w:pPr>
            <w:r>
              <w:rPr>
                <w:rFonts w:ascii="Arial" w:cs="Arial" w:eastAsia="Arial" w:hAnsi="Arial"/>
                <w:sz w:val="18"/>
                <w:szCs w:val="18"/>
                <w:color w:val="auto"/>
              </w:rPr>
              <w:t>The Company may, at its option,</w:t>
            </w:r>
          </w:p>
        </w:tc>
        <w:tc>
          <w:tcPr>
            <w:tcW w:w="1460" w:type="dxa"/>
            <w:vAlign w:val="bottom"/>
          </w:tcPr>
          <w:p>
            <w:pPr>
              <w:jc w:val="right"/>
              <w:spacing w:after="0"/>
              <w:rPr>
                <w:sz w:val="20"/>
                <w:szCs w:val="20"/>
                <w:color w:val="auto"/>
              </w:rPr>
            </w:pPr>
            <w:r>
              <w:rPr>
                <w:rFonts w:ascii="Arial" w:cs="Arial" w:eastAsia="Arial" w:hAnsi="Arial"/>
                <w:sz w:val="18"/>
                <w:szCs w:val="18"/>
                <w:color w:val="auto"/>
                <w:w w:val="97"/>
              </w:rPr>
              <w:t>beginning with the</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6"/>
              </w:rPr>
              <w:t>interest payment date of September 30, 2025 but not</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9"/>
              </w:rPr>
              <w:t>prior thereto (except upon the occurrence of certain</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4"/>
              </w:rPr>
              <w:t>events specified below) and on any scheduled interest</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9"/>
              </w:rPr>
              <w:t>payment date thereafter, redeem the New Notes, in</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4"/>
              </w:rPr>
              <w:t>whole or in part, subject to obtaining the prior approval</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1"/>
              </w:rPr>
              <w:t>of the Federal Reserve to the extent such prior approval</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2"/>
              </w:rPr>
              <w:t>is then required under the capital adequacy rules of the</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0"/>
              </w:rPr>
              <w:t>Federal Reserve, at a redemption price equal to 100% of</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3"/>
              </w:rPr>
              <w:t>the principal amount of the New Notes to be redeemed</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3"/>
              </w:rPr>
              <w:t>plus any accrued and unpaid interest to, but excluding,</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5"/>
              </w:rPr>
              <w:t>the date of redemption. Any partial redemption will be</w:t>
            </w:r>
          </w:p>
        </w:tc>
      </w:tr>
      <w:tr>
        <w:trPr>
          <w:trHeight w:val="216"/>
        </w:trPr>
        <w:tc>
          <w:tcPr>
            <w:tcW w:w="3160" w:type="dxa"/>
            <w:vAlign w:val="bottom"/>
          </w:tcPr>
          <w:p>
            <w:pPr>
              <w:spacing w:after="0"/>
              <w:rPr>
                <w:sz w:val="18"/>
                <w:szCs w:val="18"/>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w w:val="88"/>
              </w:rPr>
              <w:t>made</w:t>
            </w:r>
          </w:p>
        </w:tc>
        <w:tc>
          <w:tcPr>
            <w:tcW w:w="460" w:type="dxa"/>
            <w:vAlign w:val="bottom"/>
          </w:tcPr>
          <w:p>
            <w:pPr>
              <w:ind w:left="140"/>
              <w:spacing w:after="0"/>
              <w:rPr>
                <w:sz w:val="20"/>
                <w:szCs w:val="20"/>
                <w:color w:val="auto"/>
              </w:rPr>
            </w:pPr>
            <w:r>
              <w:rPr>
                <w:rFonts w:ascii="Arial" w:cs="Arial" w:eastAsia="Arial" w:hAnsi="Arial"/>
                <w:sz w:val="18"/>
                <w:szCs w:val="18"/>
                <w:color w:val="auto"/>
              </w:rPr>
              <w:t>pro</w:t>
            </w:r>
          </w:p>
        </w:tc>
        <w:tc>
          <w:tcPr>
            <w:tcW w:w="440" w:type="dxa"/>
            <w:vAlign w:val="bottom"/>
          </w:tcPr>
          <w:p>
            <w:pPr>
              <w:jc w:val="right"/>
              <w:spacing w:after="0"/>
              <w:rPr>
                <w:sz w:val="20"/>
                <w:szCs w:val="20"/>
                <w:color w:val="auto"/>
              </w:rPr>
            </w:pPr>
            <w:r>
              <w:rPr>
                <w:rFonts w:ascii="Arial" w:cs="Arial" w:eastAsia="Arial" w:hAnsi="Arial"/>
                <w:sz w:val="18"/>
                <w:szCs w:val="18"/>
                <w:color w:val="auto"/>
              </w:rPr>
              <w:t>rata</w:t>
            </w:r>
          </w:p>
        </w:tc>
        <w:tc>
          <w:tcPr>
            <w:tcW w:w="800" w:type="dxa"/>
            <w:vAlign w:val="bottom"/>
          </w:tcPr>
          <w:p>
            <w:pPr>
              <w:ind w:left="140"/>
              <w:spacing w:after="0"/>
              <w:rPr>
                <w:sz w:val="20"/>
                <w:szCs w:val="20"/>
                <w:color w:val="auto"/>
              </w:rPr>
            </w:pPr>
            <w:r>
              <w:rPr>
                <w:rFonts w:ascii="Arial" w:cs="Arial" w:eastAsia="Arial" w:hAnsi="Arial"/>
                <w:sz w:val="18"/>
                <w:szCs w:val="18"/>
                <w:color w:val="auto"/>
              </w:rPr>
              <w:t>among</w:t>
            </w:r>
          </w:p>
        </w:tc>
        <w:tc>
          <w:tcPr>
            <w:tcW w:w="360" w:type="dxa"/>
            <w:vAlign w:val="bottom"/>
          </w:tcPr>
          <w:p>
            <w:pPr>
              <w:spacing w:after="0"/>
              <w:rPr>
                <w:sz w:val="20"/>
                <w:szCs w:val="20"/>
                <w:color w:val="auto"/>
              </w:rPr>
            </w:pPr>
            <w:r>
              <w:rPr>
                <w:rFonts w:ascii="Arial" w:cs="Arial" w:eastAsia="Arial" w:hAnsi="Arial"/>
                <w:sz w:val="18"/>
                <w:szCs w:val="18"/>
                <w:color w:val="auto"/>
              </w:rPr>
              <w:t>all</w:t>
            </w:r>
          </w:p>
        </w:tc>
        <w:tc>
          <w:tcPr>
            <w:tcW w:w="160" w:type="dxa"/>
            <w:vAlign w:val="bottom"/>
          </w:tcPr>
          <w:p>
            <w:pPr>
              <w:ind w:left="20"/>
              <w:spacing w:after="0"/>
              <w:rPr>
                <w:sz w:val="20"/>
                <w:szCs w:val="20"/>
                <w:color w:val="auto"/>
              </w:rPr>
            </w:pPr>
            <w:r>
              <w:rPr>
                <w:rFonts w:ascii="Arial" w:cs="Arial" w:eastAsia="Arial" w:hAnsi="Arial"/>
                <w:sz w:val="18"/>
                <w:szCs w:val="18"/>
                <w:color w:val="auto"/>
                <w:w w:val="79"/>
              </w:rPr>
              <w:t>of</w:t>
            </w:r>
          </w:p>
        </w:tc>
        <w:tc>
          <w:tcPr>
            <w:tcW w:w="1460" w:type="dxa"/>
            <w:vAlign w:val="bottom"/>
          </w:tcPr>
          <w:p>
            <w:pPr>
              <w:jc w:val="right"/>
              <w:spacing w:after="0"/>
              <w:rPr>
                <w:sz w:val="20"/>
                <w:szCs w:val="20"/>
                <w:color w:val="auto"/>
              </w:rPr>
            </w:pPr>
            <w:r>
              <w:rPr>
                <w:rFonts w:ascii="Arial" w:cs="Arial" w:eastAsia="Arial" w:hAnsi="Arial"/>
                <w:sz w:val="18"/>
                <w:szCs w:val="18"/>
                <w:color w:val="auto"/>
              </w:rPr>
              <w:t>the  noteholders</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5"/>
              </w:rPr>
              <w:t>(such redemption to be considered a “Pro Rata Pass-</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Through of Principal” for purpose of a redemption</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89"/>
              </w:rPr>
              <w:t>processed through DTC). The New Notes are not subject</w:t>
            </w:r>
          </w:p>
        </w:tc>
      </w:tr>
      <w:tr>
        <w:trPr>
          <w:trHeight w:val="230"/>
        </w:trPr>
        <w:tc>
          <w:tcPr>
            <w:tcW w:w="3160" w:type="dxa"/>
            <w:vAlign w:val="bottom"/>
          </w:tcPr>
          <w:p>
            <w:pPr>
              <w:spacing w:after="0"/>
              <w:rPr>
                <w:sz w:val="20"/>
                <w:szCs w:val="20"/>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5"/>
              </w:rPr>
              <w:t>to redemption at the option of the noteholders thereof.</w:t>
            </w:r>
          </w:p>
        </w:tc>
      </w:tr>
      <w:tr>
        <w:trPr>
          <w:trHeight w:val="350"/>
        </w:trPr>
        <w:tc>
          <w:tcPr>
            <w:tcW w:w="3160" w:type="dxa"/>
            <w:vAlign w:val="bottom"/>
          </w:tcPr>
          <w:p>
            <w:pPr>
              <w:spacing w:after="0"/>
              <w:rPr>
                <w:sz w:val="20"/>
                <w:szCs w:val="20"/>
                <w:color w:val="auto"/>
              </w:rPr>
            </w:pPr>
            <w:r>
              <w:rPr>
                <w:rFonts w:ascii="Arial" w:cs="Arial" w:eastAsia="Arial" w:hAnsi="Arial"/>
                <w:sz w:val="18"/>
                <w:szCs w:val="18"/>
                <w:b w:val="1"/>
                <w:bCs w:val="1"/>
                <w:color w:val="auto"/>
              </w:rPr>
              <w:t>Special Event Redemption</w:t>
            </w:r>
          </w:p>
        </w:tc>
        <w:tc>
          <w:tcPr>
            <w:tcW w:w="1580" w:type="dxa"/>
            <w:vAlign w:val="bottom"/>
          </w:tcPr>
          <w:p>
            <w:pPr>
              <w:ind w:left="1160"/>
              <w:spacing w:after="0"/>
              <w:rPr>
                <w:sz w:val="20"/>
                <w:szCs w:val="20"/>
                <w:color w:val="auto"/>
              </w:rPr>
            </w:pPr>
            <w:r>
              <w:rPr>
                <w:rFonts w:ascii="Arial" w:cs="Arial" w:eastAsia="Arial" w:hAnsi="Arial"/>
                <w:sz w:val="18"/>
                <w:szCs w:val="18"/>
                <w:color w:val="auto"/>
              </w:rPr>
              <w:t>The</w:t>
            </w:r>
          </w:p>
        </w:tc>
        <w:tc>
          <w:tcPr>
            <w:tcW w:w="3680" w:type="dxa"/>
            <w:vAlign w:val="bottom"/>
            <w:gridSpan w:val="6"/>
          </w:tcPr>
          <w:p>
            <w:pPr>
              <w:jc w:val="right"/>
              <w:spacing w:after="0"/>
              <w:rPr>
                <w:sz w:val="20"/>
                <w:szCs w:val="20"/>
                <w:color w:val="auto"/>
              </w:rPr>
            </w:pPr>
            <w:r>
              <w:rPr>
                <w:rFonts w:ascii="Arial" w:cs="Arial" w:eastAsia="Arial" w:hAnsi="Arial"/>
                <w:sz w:val="18"/>
                <w:szCs w:val="18"/>
                <w:color w:val="auto"/>
                <w:w w:val="99"/>
              </w:rPr>
              <w:t>New  Notes  may  not  be  redeemed  prior  to</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8"/>
              </w:rPr>
              <w:t>September 30, 2025, except that the Company may</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redeem the New Notes at any time, at its option, in</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whole but not in part, subject to obtaining the prior</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1"/>
              </w:rPr>
              <w:t>approval of the Federal Reserve to the extent such prior</w:t>
            </w:r>
          </w:p>
        </w:tc>
      </w:tr>
      <w:tr>
        <w:trPr>
          <w:trHeight w:val="230"/>
        </w:trPr>
        <w:tc>
          <w:tcPr>
            <w:tcW w:w="3160" w:type="dxa"/>
            <w:vAlign w:val="bottom"/>
          </w:tcPr>
          <w:p>
            <w:pPr>
              <w:spacing w:after="0"/>
              <w:rPr>
                <w:sz w:val="20"/>
                <w:szCs w:val="20"/>
                <w:color w:val="auto"/>
              </w:rPr>
            </w:pPr>
          </w:p>
        </w:tc>
        <w:tc>
          <w:tcPr>
            <w:tcW w:w="2040" w:type="dxa"/>
            <w:vAlign w:val="bottom"/>
            <w:gridSpan w:val="2"/>
          </w:tcPr>
          <w:p>
            <w:pPr>
              <w:ind w:left="1160"/>
              <w:spacing w:after="0"/>
              <w:rPr>
                <w:sz w:val="20"/>
                <w:szCs w:val="20"/>
                <w:color w:val="auto"/>
              </w:rPr>
            </w:pPr>
            <w:r>
              <w:rPr>
                <w:rFonts w:ascii="Arial" w:cs="Arial" w:eastAsia="Arial" w:hAnsi="Arial"/>
                <w:sz w:val="18"/>
                <w:szCs w:val="18"/>
                <w:color w:val="auto"/>
                <w:w w:val="98"/>
              </w:rPr>
              <w:t>approval is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67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then required under the capital adequacy rules of the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Federal Reserve, if (i) a change or prospective change in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law  occurs  that  could  prevent  the  Company  from</w:t>
      </w:r>
    </w:p>
    <w:p>
      <w:pPr>
        <w:spacing w:after="0" w:line="21"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deducting  interest  payable  on  the  New  Notes  for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U.S. federal income tax purposes, (ii) a subsequent event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occurs  that  precludes  the  New  Notes  from  being</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recognized  as  Tier  2  capital  for  regulatory  capital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purposes, or (iii) the Company is required to register as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 investment company under the Investment Company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Act of 1940, as amended, in each case, at a redemption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price equal to 100% of the principal amount of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New Notes plus any accrued and unpaid interest to, but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excluding, the redemption date.</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No Limitations on Indebtedness</w:t>
      </w:r>
      <w:r>
        <w:rPr>
          <w:sz w:val="20"/>
          <w:szCs w:val="20"/>
          <w:color w:val="auto"/>
        </w:rPr>
        <w:tab/>
      </w:r>
      <w:r>
        <w:rPr>
          <w:rFonts w:ascii="Arial" w:cs="Arial" w:eastAsia="Arial" w:hAnsi="Arial"/>
          <w:sz w:val="17"/>
          <w:szCs w:val="17"/>
          <w:color w:val="auto"/>
        </w:rPr>
        <w:t>The terms of the New Notes do not limit the amount of</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additional indebtedness the Company, the Bank or 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of our respective subsidiaries may incur or the amount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other obligations ranking senior or equal to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New Notes that we may incur.</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Limited Indenture Covenants</w:t>
      </w:r>
      <w:r>
        <w:rPr>
          <w:sz w:val="20"/>
          <w:szCs w:val="20"/>
          <w:color w:val="auto"/>
        </w:rPr>
        <w:tab/>
      </w:r>
      <w:r>
        <w:rPr>
          <w:rFonts w:ascii="Arial" w:cs="Arial" w:eastAsia="Arial" w:hAnsi="Arial"/>
          <w:sz w:val="17"/>
          <w:szCs w:val="17"/>
          <w:color w:val="auto"/>
        </w:rPr>
        <w:t>The indenture governing the New Notes contains no</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financial covenants requiring us to achieve or maintain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any minimum financial results relating to our financial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position or results of operations or meet or exceed 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financial ratios as a general matter or in order to incur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additional indebtedness or obligations or to maintain 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reserves.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Moreover, neither the indenture nor the New Notes</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contain any covenants prohibiting us from, or limiting</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our right to, grant liens on our assets to secure our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indebtedness or other obligations that are senior in right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 payment to the New Notes, to repurchase our stock 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other securities, including any of the New Notes, or to</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pay  dividends  or  make  other  distributions  to  our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shareholders (except, in the case of dividends or other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distributions on junior securities, upon our failure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timely pay the principal of or interest on the New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when the same becomes due and payable).</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Listing; No Public Market</w:t>
      </w:r>
      <w:r>
        <w:rPr>
          <w:sz w:val="20"/>
          <w:szCs w:val="20"/>
          <w:color w:val="auto"/>
        </w:rPr>
        <w:tab/>
      </w:r>
      <w:r>
        <w:rPr>
          <w:rFonts w:ascii="Arial" w:cs="Arial" w:eastAsia="Arial" w:hAnsi="Arial"/>
          <w:sz w:val="17"/>
          <w:szCs w:val="17"/>
          <w:color w:val="auto"/>
        </w:rPr>
        <w:t>The New Notes are a new issue of securities with no</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established trading market and we do not expect any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public market to develop in the future for the New</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Notes. We do not intend to list the New Notes on any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national securities exchange or quotation system.</w:t>
      </w:r>
    </w:p>
    <w:p>
      <w:pPr>
        <w:spacing w:after="0" w:line="126" w:lineRule="exact"/>
        <w:rPr>
          <w:sz w:val="20"/>
          <w:szCs w:val="20"/>
          <w:color w:val="auto"/>
        </w:rPr>
      </w:pPr>
    </w:p>
    <w:p>
      <w:pPr>
        <w:ind w:left="320"/>
        <w:spacing w:after="0"/>
        <w:tabs>
          <w:tab w:leader="none" w:pos="4620" w:val="left"/>
        </w:tabs>
        <w:rPr>
          <w:rFonts w:ascii="Arial" w:cs="Arial" w:eastAsia="Arial" w:hAnsi="Arial"/>
          <w:sz w:val="17"/>
          <w:szCs w:val="17"/>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 xml:space="preserve">See  “Risk  Factors”  beginning  on  page  </w:t>
      </w:r>
      <w:hyperlink w:anchor="page15">
        <w:r>
          <w:rPr>
            <w:rFonts w:ascii="Arial" w:cs="Arial" w:eastAsia="Arial" w:hAnsi="Arial"/>
            <w:sz w:val="17"/>
            <w:szCs w:val="17"/>
            <w:u w:val="single" w:color="auto"/>
            <w:color w:val="0000EE"/>
          </w:rPr>
          <w:t>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prospectus, as well as in our reports filed with the SEC,</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and  other  information  included  or  incorporated  by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reference in this prospectus for a discussion of factors</w:t>
      </w:r>
    </w:p>
    <w:p>
      <w:pPr>
        <w:spacing w:after="0" w:line="21" w:lineRule="exact"/>
        <w:rPr>
          <w:sz w:val="20"/>
          <w:szCs w:val="20"/>
          <w:color w:val="auto"/>
        </w:rPr>
      </w:pPr>
    </w:p>
    <w:p>
      <w:pPr>
        <w:ind w:left="4640"/>
        <w:spacing w:after="0"/>
        <w:tabs>
          <w:tab w:leader="none" w:pos="5020" w:val="left"/>
          <w:tab w:leader="none" w:pos="5660" w:val="left"/>
          <w:tab w:leader="none" w:pos="6400" w:val="left"/>
          <w:tab w:leader="none" w:pos="7200" w:val="left"/>
          <w:tab w:leader="none" w:pos="7800" w:val="left"/>
          <w:tab w:leader="none" w:pos="8560" w:val="left"/>
        </w:tabs>
        <w:rPr>
          <w:sz w:val="20"/>
          <w:szCs w:val="20"/>
          <w:color w:val="auto"/>
        </w:rPr>
      </w:pPr>
      <w:r>
        <w:rPr>
          <w:rFonts w:ascii="Arial" w:cs="Arial" w:eastAsia="Arial" w:hAnsi="Arial"/>
          <w:sz w:val="18"/>
          <w:szCs w:val="18"/>
          <w:color w:val="auto"/>
        </w:rPr>
        <w:t>you</w:t>
        <w:tab/>
        <w:t>should</w:t>
        <w:tab/>
        <w:t>consider</w:t>
        <w:tab/>
        <w:t>carefully</w:t>
        <w:tab/>
        <w:t>before</w:t>
        <w:tab/>
        <w:t>deciding</w:t>
      </w:r>
      <w:r>
        <w:rPr>
          <w:sz w:val="20"/>
          <w:szCs w:val="20"/>
          <w:color w:val="auto"/>
        </w:rPr>
        <w:tab/>
      </w:r>
      <w:r>
        <w:rPr>
          <w:rFonts w:ascii="Arial" w:cs="Arial" w:eastAsia="Arial" w:hAnsi="Arial"/>
          <w:sz w:val="16"/>
          <w:szCs w:val="16"/>
          <w:color w:val="auto"/>
        </w:rPr>
        <w:t>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participate in the exchange offer.</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7"/>
          <w:szCs w:val="17"/>
          <w:b w:val="1"/>
          <w:bCs w:val="1"/>
          <w:color w:val="auto"/>
        </w:rPr>
        <w:t>Trustee</w:t>
      </w:r>
      <w:r>
        <w:rPr>
          <w:sz w:val="20"/>
          <w:szCs w:val="20"/>
          <w:color w:val="auto"/>
        </w:rPr>
        <w:tab/>
      </w:r>
      <w:r>
        <w:rPr>
          <w:rFonts w:ascii="Arial" w:cs="Arial" w:eastAsia="Arial" w:hAnsi="Arial"/>
          <w:sz w:val="17"/>
          <w:szCs w:val="17"/>
          <w:color w:val="auto"/>
        </w:rPr>
        <w:t>UMB  Bank,  National  Association,  or  successor  if</w:t>
      </w:r>
    </w:p>
    <w:p>
      <w:pPr>
        <w:spacing w:after="0" w:line="3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replaced in accordance with the applicable provisions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indenture.</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Governing Law</w:t>
      </w:r>
      <w:r>
        <w:rPr>
          <w:sz w:val="20"/>
          <w:szCs w:val="20"/>
          <w:color w:val="auto"/>
        </w:rPr>
        <w:tab/>
      </w:r>
      <w:r>
        <w:rPr>
          <w:rFonts w:ascii="Arial" w:cs="Arial" w:eastAsia="Arial" w:hAnsi="Arial"/>
          <w:sz w:val="17"/>
          <w:szCs w:val="17"/>
          <w:color w:val="auto"/>
        </w:rPr>
        <w:t>The indenture and the New Notes will be governed by</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construed in accordance with the laws of the State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New York.</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among other things, the factors described under the caption “Risk Factors” in our Annual Report on Form 10-K for the fiscal year ended December 31, 2019, which is incorporated herein by reference, as updated by our subsequently filed Quarterly Reports on Form 10-Q and Current Reports on Form 8-K. If any of the risks contained in or incorporated by reference into this prospectus develop 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“Special Note Regarding Forward-Looking Statements” section in this prospectus.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a discussion of certain risks applicable to our business and operations, please refer to the section entitled “Risk Factors” in Part I, Item 1A of our Annual Report on Form 10-K for the fiscal year ended December 31, 2019, and the section entitled “Risk Factors” in Part II, Item 1A of our Quarterly Report on Form 10-Q for the quarter ended September 30, 2020.</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you do not properly tender your Old Notes, you will continue to hold unregistered Old Notes and your ability to transfer Old Notes will be adversely affected.</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will only issue New Notes in exchange for Old Notes that you timely and properly tender. Therefore, you should allow sufficient time to ensure timely delivery of the Old Notes and you should carefully follow the instructions on how to tender your Old Notes. Neither we nor the exchange agent are required to tell you of any defects or irregularities with respect to your tender of Old Notes. See “The Exchange Offer-Procedures for Tendering Old Notes.”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you do not exchange your Old Notes for New Notes in the exchange offer, you will continue to be subject to the restrictions on transfer of your Old Notes described in the legend on the certificates for your Old Notes.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tender of Old Notes under the exchange offer will reduce the principal amount of the Old Notes outstanding, which may have an adverse effect upon, and increase the volatility of, the market price of the Old Notes due to reduction in liquidity.</w:t>
      </w:r>
    </w:p>
    <w:p>
      <w:pPr>
        <w:spacing w:after="0" w:line="23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You may not receive New Notes in the exchange offer if you do not properly follow the exchange offer procedures.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 Notes in the exchange offer, you should promptly contact the person through whom your Old Notes are held and instruct that person to tender on your behalf in accordance with the procedures described in this prospectus and the accompanying transmittal letter.</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interpretations of the Securities Act by the staff of the SEC contained in certain no-action letters issued to other parties, we believe that you, or any other person receiving New Notes, may offer for resale, resell or otherwise transfer the New Notes without complying with the registration and prospectus delivery requirements of the Securities Act. Our belief that transfers of New Notes would be permitted without registration or prospectus delivery under the conditions described above is based on interpretations by the staff of the SEC given to other, unrelated issuers in similar exchange offers. The staff of the SEC has not considered the exchange offer in the context</w:t>
      </w:r>
    </w:p>
    <w:p>
      <w:pPr>
        <w:sectPr>
          <w:pgSz w:w="11900" w:h="16838" w:orient="portrait"/>
          <w:cols w:equalWidth="0" w:num="1">
            <w:col w:w="9019"/>
          </w:cols>
          <w:pgMar w:left="1440" w:top="265"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of a no-action letter, and we cannot assure you that the staff of the SEC would make a similar interpretation with respect to the exchange offer. Additionally, in some instances described in this prospectus under “Plan of Distribution,” certain holders of New Notes will remain obligated to comply with the registration and prospectus delivery requirements of the Securities Act to transfer the New Notes. If any such holder transfers any New Notes without delivering a prospectus meeting the requirements of the Securities Act or without an applicable exemption from registration under the Securities Act, such holder may incur liability under the Securities Act. We do not and will not assume, or indemnify any such holder or other person against, such liability.</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Notes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notes are unsecured and subordinated to our existing and future senior indebtedness.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Although the New Notes will rank on par with the Old Notes, the notes will be unsecured, subordinated obligations of South Plains and, consequently, will rank junior in right of payment to all of our secured and unsecured “senior indebtedness” now existing or that we incur in the future, as described under “Description of the Notes–Subordination.” As a result, upon any payment or distribution of assets to creditors in the case of liquidation, dissolution, winding up, reorganization, assignment for the benefit of creditors or any bankruptcy, insolvency or similar proceeding, the holders of the senior indebtedness will be entitled to have the senior indebtedness paid in full prior to the holders of the notes receiving any payment of principal of, or interest on, the notes.</w:t>
      </w:r>
    </w:p>
    <w:p>
      <w:pPr>
        <w:spacing w:after="0" w:line="5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As of September 30, 2020, the Company’s subsidiaries had, in the aggregate, outstanding debt and deposits of $3.1 billion, which would rank senior to the notes. In addition, as of September 30, 2020, South Plains Financial, Inc. had no indebtedness that would rank senior to the notes, $76.5 million that would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and $46.4 million that would rank subordinate to the notes. The notes do not limit the amount of additional indebtedness or senior indebtedness that we or any of our subsidiaries, including the Bank, may incur. Accordingly, in the future, we and our subsidiaries may incur other indebtedness, which may be substantial in amount, including senior indebtedness, indebtedness ranking equally with the notes and indebtedness ranking effectively senior to the notes, as applicable. Any additional indebtedness and liabilities that we and our subsidiaries incur may adversely affect our ability to pay our obligations on the notes.</w:t>
      </w:r>
    </w:p>
    <w:p>
      <w:pPr>
        <w:spacing w:after="0" w:line="7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As a consequence of the subordination of the notes to our existing and future senior indebtedness, an investor in the notes may lose all or some of its investment upon our liquidation, dissolution, winding up, reorganization, assignment for the benefit of creditors or any bankruptcy, insolvency or similar proceeding. In such an event, our assets would be available to pay the principal of, and any accrued and unpaid interest on, the notes only after all of our senior indebtedness had been paid in full. In such an event, any of our other general, unsecured obligations that do not constitute senior indebtedness, depending upon their respective preferences, will share pro rata in our remaining assets after we have paid all of our senior indebtedness in full.</w:t>
      </w:r>
    </w:p>
    <w:p>
      <w:pPr>
        <w:spacing w:after="0" w:line="32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notes are obligations only of South Plains and not obligations of the Bank or any of our other subsidiaries and will be effectively subordinated to the existing and future indebtedness, deposits of the Bank, and other liabilities of the Bank and our other subsidiaries.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notes are obligations solely of South Plains Financial, Inc. and are not obligations of the Bank or any of our other subsidiaries, and are not insured by any government or private agency. The Bank and our other subsidiaries are separate and distinct legal entities from South Plains Financial, Inc. Because we are a holding company, the rights of South Plains Financial, Inc. and the rights of its creditors, including the holders of the notes, to participate in any distribution of the assets of the Bank or any other subsidiary (either as a shareholder or as a creditor) upon an insolvency, bankruptcy, liquidation, dissolution, winding up or similar proceeding of the Bank or such other subsidiary (and the consequent right of the holders of the notes to participate in those assets after repayment of our existing or future senior indebtedness), will be subject to the claims of the creditors of the Bank, including depositors of the Bank, or such other subsidiary. Accordingly, the notes are effectively subordinated to all of the existing and future indebtedness, deposits and other liabilities of the Bank and our other subsidiaries, to the extent that those liabilities, including deposit liabilities, equal or exceed their respective assets.</w:t>
      </w:r>
    </w:p>
    <w:p>
      <w:pPr>
        <w:spacing w:after="0" w:line="6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notes do not limit the amount of indebtedness or other liabilities that the Bank or any of our other subsidiaries may incur, all of which would rank structurally senior to the notes. Any additional indebtedness and liabilities that our subsidiaries incur may adversely affect our ability to pay our obligations on the notes.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notes include limited covenants and do not restrict our ability to incur additional debt.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the notes do not contain any covenants prohibiting us or our subsidiaries from, or limiting our or our subsidiaries’ right to, grant liens on assets to secure indebtedness or other obligations, to repurchase our stock or other securities, including any of the notes, or to pay dividends or make other distributions to our shareholders. The notes do not contain any provision that would provide protection to the holders of the notes against a material decline in our credit quality.</w:t>
      </w:r>
    </w:p>
    <w:p>
      <w:pPr>
        <w:spacing w:after="0" w:line="8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addition, the notes do not limit the amount of additional indebtedness the Company, the Bank or any of our other subsidiaries may incur or the amount of other obligations that the Company or the Bank may incur ranking senior or equal to the indebtedness evidenced by the notes. The issuance or guarantee of any such securities or the incurrence of any such other liabilities may reduce the amount, if any, recoverable by holders of the notes in the event of our insolvency, bankruptcy, liquidation, dissolution, winding up or similar proceeding, and may limit our ability to meet our obligations under the notes.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To service our debt, we will require a significant amount of cash. Our ability to generate cash depends on many factors.</w:t>
      </w:r>
    </w:p>
    <w:p>
      <w:pPr>
        <w:spacing w:after="0" w:line="6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Our ability to make payments on or to refinance our indebtedness, including our ability to meet our obligations under the notes, and to fund our operations depends on our ability to generate cash and our access to the capital markets in the future. These will depend on our financial and operating performance, which, to a certain extent, are subject to general economic, financial, competitive, legislative, regulatory, capital market conditions and other factors that are beyond our control. If our cash flows and capital resources are insufficient to fund our debt service obligations, we may be unable to obtain new financing or to fund our obligations to our customers and business partners, implement our business plans, sell assets, seek additional capital or restructure or refinance our indebtedness, including the notes. As a result, we may be unable to meet our obligations under the notes. In the absence of sufficient capital resources, we could face substantial liquidity problems and might be required to dispose of material assets or operations to meet debt service and other obligations. We may not be able to consummate those dispositions of assets or to obtain the proceeds that they could realize from them and these proceeds may not be adequate to meet any debt service obligations then due, including obligations under the notes. Additionally, as a holding company, our ability to service our debt is dependent, in part, on the receipt of dividends, fees, and interest paid to us by the Bank. The Bank is a separate legal entity that is legally distinct from us and has no obligation to make funds available to us for payments of principal of or interest on the notes. While we expect these payments to continue in the future, there are regulatory limits under federal law on the amount of dividends and distributions that the Bank can pay to us without regulatory approval. Accordingly, we can provide no assurance that we will receive dividends or other distributions from the Bank in an amount sufficient to pay the principal of or interest on the notes. For additional information, see “Business–Supervision and Regulation” in Part I, Item 1 of our Annual Report on Form 10-K for the fiscal year ended December 31, 2019.</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notes are subject to limited rights of acceleration.</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Payment of principal of the notes may be accelerated only in the case of certain bankruptcy-related events with respect to us. As a result, you have no right to accelerate the payment of principal of the notes if we fail to pay principal of or interest on the notes or if we fail in the performance of any of our other obligations under the notes or in the indenture.</w:t>
      </w:r>
    </w:p>
    <w:p>
      <w:pPr>
        <w:spacing w:after="0" w:line="187"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The amount of interest payable on the notes will vary beginning September 30, 2025, and interest after that date may be less than the initial fixed annual rate of 4.50% in effect until September 30, 2025.</w:t>
      </w:r>
    </w:p>
    <w:p>
      <w:pPr>
        <w:spacing w:after="0" w:line="3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From and including September 30, 2025 to but excluding the maturity date or early redemption date, the interest rate on the notes shall reset quarterly to an interest rate per annum equal to a benchmark rate (which is expected to be Three-Month Term SOFR) plus 438 basis points, payable quarterly in arrears. Because the expected benchmark rate, Three-Month Term SOFR, is a floating rate, the interest rate on the notes will vary beginning September 30, 2025. The floating rate may be volatile over time and could be substantially less than the fixed rate. This could result in holders of the notes experiencing a decline in their receipt of interest. We have no control over a number of factors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that may affect market interest rates, including geopolitical conditions and economic, financial, political, regulatory, judicial or other events that affect the markets generally and that are important in determining the existence, magnitude and longevity of market rate risk.</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Investors should not rely on indicative or historical data concerning the Secured Overnight Financing Rate, otherwise referred to as SOFR.</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SOFR is intended to be a broad measure of the cost of borrowing cash overnight collateralized by U.S. Treasury securities. The Federal Reserve Bank of New York (“FRBNY”) reports that SOFR includes all trades in the Broad General Collateral Rate, plus bilateral U.S. Treasury repurchase agreement (“repo”) transactions cleared through the delivery-versus-payment service offered by the Fixed Income Clearing Corporation (the “FICC”), a subsidiary of The Depository Trust &amp; Clearing Corporation (“DTCC”).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FRBNY reports that SOFR is calculated as a volume-weighted median of transaction-level tri-party repo data collected from The Bank of New York Mellon, which currently acts as the clearing bank for the tri-party repo market, as well as General Collateral Finance Repo transaction data and data on bilateral U.S. Treasury repo transactions cleared through the FICC’s delivery-versus-payment service. FRBNY states that it obtains information from DTCC Solutions LLC, an affiliate of DTCC.</w:t>
      </w:r>
    </w:p>
    <w:p>
      <w:pPr>
        <w:spacing w:after="0" w:line="8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FRBNY currently publishes SOFR daily on its website at https://apps.newyorkfed.org/markets/autorates/sofr. FRBNY states on its publication page for SOFR that use of SOFR is subject to important disclaimers, limitations and indemnification obligations, including that FRBNY may alter the methods of calculation, publication schedule, rate revision practices or availability of SOFR at any time without notice.</w:t>
      </w:r>
    </w:p>
    <w:p>
      <w:pPr>
        <w:spacing w:after="0" w:line="4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FRBNY started publishing SOFR in April 2018. FRBNY has also started publishing historical indicative SOFR dating back to 2014, although such historical indicative data inherently involves assumptions, estimates and approximations. Investors should not rely on such historical indicative data or on any historical changes or trends in SOFR as an indicator of the future performance of SOFR. Since the initial publication of SOFR, daily changes in the rate have, on occasion, been more volatile than daily changes in comparable benchmark or market rates, and SOFR over time may bear little or no relation to the historical actual or historical indicative data. In addition, the return on and value of the notes may fluctuate more than floating rate securities that are linked to less volatile rates.</w:t>
      </w:r>
    </w:p>
    <w:p>
      <w:pPr>
        <w:spacing w:after="0" w:line="16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Changes in the calculation of SOFR could adversely affect the amount of interest that accrues on the notes and the trading prices for the notes.</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Because SOFR is published by FRBNY based on data received from other sources, we have no control over its determination, calculation or publication. There can be no assurance that SOFR will not be discontinued or fundamentally altered in a manner that is materially adverse to the interests of investors in the notes. If the manner in which SOFR is calculated is changed, it could adversely affect the return on, value of and market for the notes. In addition, the interest rate on the notes for any day will not be adjusted for any modification or amendment to SOFR for that day that FRBNY may publish if the interest rate for that day has already been determined prior to such publication. Further, if the Benchmark rate on the notes for any interest period declines to zero or becomes negative, then the Benchmark rate for such interest period will be deemed to be zero. There is no assurance that changes in SOFR could not have a material adverse effect on the yield on, value of, and market for the notes.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SOFR differs fundamentally from, and may not be a comparable substitute for, U.S. dollar LIBOR.</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June 2017, the Alternative Reference Rates Committee (the “ARRC”) convened by the Federal Reserve and FRBNY announced SOFR as its recommended alternative to the London interbank offered rate for U.S. dollar obligations (“U.S. dollar LIBOR”). However, because SOFR is a broad U.S. Treasury repo financing rate that represents overnight secured funding transactions, it differs fundamentally from U.S. dollar LIBOR. For example, SOFR is a secured overnight rate, while U.S. dollar LIBOR is an unsecured rate that represents interbank funding over different maturities. In addition, because SOFR is a transaction-based rate, it is backward-looking, whereas U.S. dollar LIBOR is forward-looking. Because of these and other differences, there can be no assurance that SOFR will perform in the same way as U.S. dollar LIBOR would have done at any time, and there is no guarantee that it is a comparable substitute for U.S. dollar LIBOR.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SOFR may be modified or discontinued.</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SOFR is a relatively new rate, and the FRBNY or any successor, as administrator of SOFR, may make methodological or other changes that could change the value of SOFR, including changes related to the methodology by which SOFR is calculated, eligibility criteria applicable to the transactions used to calculate SOFR or timing related to the publication of SOFR. If the manner in which SOFR is calculated is changed, that change may result in a reduction of the amount of interest payable on the notes, which may adversely affect the market price of the notes. The administrator of SOFR may withdraw, modify, amend, suspend or discontinue the calculation or dissemination of SOFR in its sole discretion and without notice and has no obligation to consider the interests of holders of the notes in calculating, withdrawing, modifying, amending, suspending or discontinuing SOFR.</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Any failure of SOFR to gain market acceptance could adversely affect holders of the notes.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SOFR may fail to gain market acceptance. SOFR was developed for use in certain U.S. dollar derivatives and other financial contracts as an alternative to U.S. dollar LIBOR in part because it is considered to be a good representation of general funding conditions in the overnight U.S. Treasury repo market. However, as a rate based on transactions secured by U.S. Treasury securities, it does not measure bank-specific credit risk and, as a result, is less likely to correlate with the unsecured short-term funding costs of banks. This may mean that market participants would not consider SOFR to be a suitable substitute or successor for all of the purposes for which U.S. dollar LIBOR historically has been used (including, without limitation, as a representation of the unsecured short-term funding costs of banks), which may, in turn, lessen its market acceptance. Any failure of SOFR to gain market acceptance could adversely affect the return on, value of and market for the notes.</w:t>
      </w:r>
    </w:p>
    <w:p>
      <w:pPr>
        <w:spacing w:after="0" w:line="18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interest on the notes during the floating-rate interest period may be determined based on a rate other than Three-Month Term SOFR.</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Under the terms of the notes, the interest on the notes during the floating-rate interest period is expected to be Three-Month Term SOFR, a forward-looking term rate for a tenor of three months that will be based on SOFR. Three-Month Term SOFR does not currently exist and is currently being developed under the sponsorship of the ARRC. There is no assurance that the development of Three-Month Term SOFR, or any other forward-looking term rate based on SOFR, will be completed. Uncertainty surrounding the development of forward-looking term rates based on SOFR could have a material adverse effect on the return on, value of and market for the notes. If, at the commencement of the floating rate period for the notes, we determine that the use of a forward-looking rate for a tenor of three months based on SOFR is not administratively feasible, then the next-available Benchmark Replacement under the benchmark transition provisions will be used to determine the interest on the notes during the floating-rate interest period (unless a Benchmark Transition Event and its related Benchmark Replacement Date occur with respect to that next-available Benchmark Replacement).</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Under the terms of the notes, we are expressly authorized to make determinations, decisions or elections with respect to technical, administrative or operational matters that we decide are appropriate to reflect the use of Three-Month Term SOFR as the interest on notes during the floating-rate interest period, which are defined in the terms of the notes as “Three-Month Term SOFR Conventions.” Our determination and implementation of any Three-Month Term SOFR Conventions could result in adverse consequences to the interest on notes during the floating-rate interest period.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Any Benchmark Replacement may not be the economic equivalent of Three-Month Term SOFR.</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Under the benchmark transition provisions of the notes, if the calculation agent determines that a Benchmark Transition Event and its related Benchmark Replacement Date have occurred with respect to Three-Month Term SOFR, then the interest on notes during the floating-rate interest period will be determined using the next-available Benchmark Replacement (which may include a related Benchmark Replacement Adjustment). However, the Benchmark Replacement may not be the economic equivalent of Three-Month Term SOFR. For example, Compounded SOFR, the first-available Benchmark Replacement, is the compounded average of the daily Secured Overnight Financing Rates calculated in arrears, while Three-Month Term SOFR is intended to be a forward-looking rate with a tenor of three months. In addition, very limited market precedent exists for securities that use Compounded SOFR as the rate basis, and the method for calculating Compounded SOFR in those precedents varies. Further, the ISDA Fallback Rate, which is another Benchmark Replacement, has not yet been established and may change over time.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 modification of the notes could occur for tax purposes in the event that a Benchmark Replacement is not a “qualified rate” under applicable Treasury Regulations.</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Recent proposed Treasury Regulations provide guidance on the tax consequences on the use of a reference rate other than SOFR (or another interbank offered rate) in debt instruments. The proposed Treasury Regulations explain a significant modification of a debt instrument would not result in the event that a “qualified rate” is used (rather than Three-Month Term SOFR). A “qualified rate” is a rate that includes, among other things, a rate selected, endorsed or recommended by a central bank (or similar authority) as a replacement for SOFR (or another interbank offered rate) in that jurisdiction. If the proposed Treasury Regulations are finalized in their current form, we expect that the notes would include a “qualified rate” in lieu of Three-Month Term SOFR such that a significant modification of the notes would not result from the new rate, but cannot guarantee that a “qualified rate” could be used for the notes or that a significant modification would not occur.</w:t>
      </w:r>
    </w:p>
    <w:p>
      <w:pPr>
        <w:spacing w:after="0" w:line="2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implementation of Benchmark Replacement Conforming Changes could adversely affect holders of the notes.</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Under the benchmark transition provisions of the notes, if a particular Benchmark Replacement or Benchmark Replacement Adjustment cannot be determined, then the next-available Benchmark Replacement or Benchmark Replacement Adjustment will apply. These replacement rates and adjustments may be selected or formulated by</w:t>
      </w:r>
    </w:p>
    <w:p>
      <w:pPr>
        <w:spacing w:after="0" w:line="2" w:lineRule="exact"/>
        <w:rPr>
          <w:sz w:val="20"/>
          <w:szCs w:val="20"/>
          <w:color w:val="auto"/>
        </w:rPr>
      </w:pPr>
    </w:p>
    <w:p>
      <w:pPr>
        <w:jc w:val="both"/>
        <w:ind w:left="300" w:right="299" w:hanging="8"/>
        <w:spacing w:after="0" w:line="251" w:lineRule="auto"/>
        <w:tabs>
          <w:tab w:leader="none" w:pos="52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Relevant Governmental Body (such as the ARRC), (ii) the International Swaps and Derivatives Association, Inc., otherwise referred to herein as ISDA, or (iii) in certain circumstances, us. In addition, the benchmark transition provisions expressly authorize us to make certain changes, which are defined in the terms of the notes as “Benchmark Replacement Conforming Changes,” with respect to the determination of interest on notes during the floating-rate interest period. The application of a Benchmark Replacement and Benchmark Replacement Adjustment, and any implementation of Benchmark Replacement Conforming Changes, could result in adverse consequences to interest on notes during the floating-rate interest period. Further, there is no assurance that the characteristics of any Benchmark Replacement will be similar to the then-current Benchmark that it is replacing, or that any Benchmark Replacement will produce the economic equivalent of the then-current Benchmark that it is replacing.</w:t>
      </w:r>
    </w:p>
    <w:p>
      <w:pPr>
        <w:spacing w:after="0" w:line="19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notes may be redeemed at our option under certain circumstances, which limits the ability of holders of the notes to accrue interest over the full stated term of the notes.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may, at our option, redeem the notes (i) in whole or in part, on any interest payment date on or after September 30, 2025 and (ii) in whole but not in part, at any time upon the occurrence of a Tier 2 Capital Event, a Tax Event or an Investment Company Event (each of such terms as defined below in “Description of the Note— Redemption”), in each case, at a redemption price equal to 100% of the principal amount of the notes to be redeemed, plus accrued and unpaid interest to, but excluding, the date of redemption. Any redemption of the notes will be subject to any required regulatory approvals, including from the Federal Reserve, to the extent such approval is then required. There can be no assurance that the Federal Reserve, or any other regulatory agency, if applicable, will approve any redemption of the notes that we may propose. Furthermore, we are under no obligation to redeem any notes when they first become redeemable or on any date thereafter. If we redeem the notes for any reason, you will not have the opportunity to continue to accrue and be paid interest to the stated maturity date, and you may not be able to reinvest the redemption proceeds you receive in a similar security or in securities bearing similar interest rates or yields.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may be no active trading market for the notes.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notes are a new issue of securities with no established trading market. We are not obligated to and do not intend to apply for listing of the notes on any national securities exchange or quotation system. A liquid or active trading market for the notes may not develop. If an active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performance and other factors. Accordingly, we cannot assure you that you will be able to sell any notes or the prices, if any, at which holders may be able to sell their notes.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Any market for the notes may be illiquid or unpredictable.</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Since SOFR is a relatively new market index, SOFR-linked debt securities likely will have no established trading market when issued, and an established trading market for the notes may never develop or may not be very liquid. Market terms for securities that are linked to SOFR, such as the spread over the base rate reflected in the</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interest rate provisions, may evolve over time, and as a result, trading prices of the notes may be lower than those of later-issued securities that are linked to SOFR. Similarly, if SOFR does not prove to be widely used in securities that are similar or comparable to the notes, the trading price of the notes may be lower than those of securities that are linked to rates that are more widely used. You may not be able to sell the notes at all or may not be able to sell the notes at prices that will provide you with a yield comparable to similar investments that have a developed secondary market, and may consequently suffer from increased pricing volatility and market risk. The manner of adoption or application of reference rates based on SOFR in the bond and equity markets may differ materially compared with the application and adoption of SOFR in other markets, such as the derivatives and loan markets. You should carefully consider how any potential inconsistencies between the adoption of reference rates based on SOFR across these markets may impact any hedging or other financial arrangements which you may put in place in connection with any acquisition, holding or disposal of the notes.</w:t>
      </w:r>
    </w:p>
    <w:p>
      <w:pPr>
        <w:spacing w:after="0" w:line="3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calculation agent (which may be us or another entity we appoint) will make determinations with respect to the notes.</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calculation agent will make certain determinations with respect to the notes during the Floating Interest Period, including with respect to the determination of the interest rate during this period. Any of these determinations may adversely affect the payout to investors. Moreover, certain determinations may require the exercise of discretion and the making of subjective judgments. These potentially subjective determinations may adversely affect the payout to you on the notes. We have determined that we will be the initial calculation agent for the notes.</w:t>
      </w:r>
    </w:p>
    <w:p>
      <w:pPr>
        <w:spacing w:after="0" w:line="32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results and prevent us from fulfilling our obligations under the notes.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addition to our currently outstanding indebtedness, we may be able to borrow substantial additional indebtedness in the future. If new indebtedness is incurred in addition to our current debt levels, the related risks that we now face could increase. Our indebtedness, including the indebtedness we may incur in the future, could have important consequences for the holders of the notes, including:</w:t>
      </w:r>
    </w:p>
    <w:p>
      <w:pPr>
        <w:spacing w:after="0" w:line="79"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satisfy our obligations with respect to the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industry conditions;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and other general corporate requirements;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for the payment of principal of and interest on our indebtedness and thereby reducing our ability to use our cash flow to fund working capital, capital expenditures and general corporate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putting us at a disadvantage compared to competitors with less indebtedness.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Changes in our credit ratings may adversely affect your investment in the notes.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credit ratings on the notes are an assessment by rating agencies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ratings are based on current information furnished to the ratings agencies by us and information obtained by the ratings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Any ratings of our long-term debt are based on a number of factors, including our financial strength as well as factors not entirely within our control, including conditions affecting the financial services industry generally. There can be no assurance that we will not receive adverse changes in our ratings in the future, which could adversely affect the cost and other terms upon which we are able to obtain funding and the way in which we are perceived in the</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capital markets. Actual or anticipated changes or downgrades in our credit ratings, including any announcement that our ratings are under review for a downgrade, could affect the market value and liquidity of the notes and increase our borrowing costs.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 a holder of the notes, you are not be entitled to any rights with respect to our capital stock.</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hold a note, you are not be entitled to any rights with respect to our capital stock (including, without limitation, voting rights and rights to receive any dividends or other distributions on our capital stock) by virtue of holding a note.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Holders of the notes have no say over our management and affairs.</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Our officers and directors will make all decisions with respect to our management. Holders of the notes have no right or power to take part in our management. Holders of the notes are entirely reliant on our officers and directors to effectively manage our business so that we may meet our debt obligations when they fall due.</w:t>
      </w:r>
    </w:p>
    <w:p>
      <w:pPr>
        <w:spacing w:after="0" w:line="16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Your right to receive payments on the notes is effectively subordinated to those lenders who have a security interest in our assets.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obligations under the notes are unsecured and we may be able to obtain indebtedness from time to time that is secured by all or substantially all of our assets. If we are declared bankrupt or insolvent, or if we default under such secured indebtedness, the lenders could declare all of the funds borrowed thereunder, together with accrued interest, immediately due and payable. If we were unable to repay such indebtedness, the lenders could foreclose on the pledged assets to the exclusion of holders of the notes, even if an event of default exists under the notes. In any such event, because the notes are not secured by any of our assets, it is possible that there would be no assets remaining from which your claims could be satisfied or, if any assets remained, they might be insufficient to satisfy your claims fully.</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have increased debt service obligations as a result of the issuance of the notes.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Upon issuance of the notes, we have incurred additional debt service in addition to normal operating expenses and planned capital expenditures. Our increased level of indebtedness may have several important effects on our future operations including, without limitation, a portion of our cash flow must be dedicated to the payment of interest and principal on the notes, reducing funds available for distribution to shareholders and our ability to obtain additional financing for working capital, capital expenditures, acquisitions and general corporate and other purposes may be limited. Our ability to meet our debt service obligations and to reduce our total indebtedness will be dependent upon the future performance of the Bank and its ability to pay dividends to us, which will be subject to regulatory restrictions, general economic, industry and competitive conditions and to financial, business and other factors affecting us and the Bank, many of which are beyond our control. We cannot assure you that the Bank will be able to continue to generate cash flow at or above its current level and that we will be able to pay principal and interest on the notes as it becomes due.</w:t>
      </w:r>
    </w:p>
    <w:p>
      <w:pPr>
        <w:spacing w:after="0" w:line="1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Regulatory guidelines may restrict our ability to pay the principal of, and accrued and unpaid interest on, the notes.</w:t>
      </w:r>
    </w:p>
    <w:p>
      <w:pPr>
        <w:spacing w:after="0" w:line="62"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Company is a bank holding company with no material activities other than the provision of funds to our subsidiaries, including the Bank, in the ordinary course of business. Our principal source of funds to pay dividends on our capital stock and to service any of our debt obligations, including the notes, other than further issuances of securities, would be dividends received from the Bank. The Bank is not obligated to make payments to us, and any payments to us would depend on the earnings or financial condition of the Bank and various business considerations, and may also require prior regulatory approval.</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Moreover, pursuant to federal law and regulations promulgated by the Federal Reserve, a bank holding company is required to act as a source of financial and managerial strength to each of its banking subsidiaries and commit resources to their support, including the guarantee of capital plans of an undercapitalized bank subsidiary. Such support may be required at times when a holding company may not otherwise be inclined to provide it. As a result of the foregoing, we may be unable to pay the principal of, and accrued but unpaid interest on, the notes at the maturity of the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Government regulation may affect the priority of the notes in the case of a bankruptcy or liquidation.</w:t>
      </w:r>
    </w:p>
    <w:p>
      <w:pPr>
        <w:spacing w:after="0" w:line="12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Dodd-Frank Wall Street Reform Act (the “Dodd-Frank Act”) created a new resolution regime known as the “orderly liquidation authority,” which may apply to us as a bank holding company. Under the orderly liquidation authority, the Federal Deposit Insurance Corporation (the “FDIC”) may be appointed as receiver for an entity for purposes of liquidating the entity if the Secretary of the Treasury determines that the entity is in severe financial distress and that the entity’s failure would have serious adverse effects on the U.S. financial system.</w:t>
      </w:r>
    </w:p>
    <w:p>
      <w:pPr>
        <w:spacing w:after="0" w:line="5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If the FDIC is appointed as receiver under the orderly liquidation authority, then the Dodd-Frank Act, rather than applicable insolvency laws, would determine the powers of the receiver, and the rights and obligations of creditors and other parties who have dealt with the institution. There are substantial differences in the rights of creditors under the orderly liquidation authority compared to those under the U.S. Bankruptcy Code,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 As a consequence of the rights of the FDIC under the orderly liquidation authority, the holders of the notes may be fully subordinated to interests held by the U.S. government in the event that we enter into a receivership, insolvency, liquidation or similar proceeding. While the FDIC has issued regulations to implement the orderly liquidation authority, not all aspects of how the FDIC might exercise this authority are known and additional rulemakings are likely. Further, it is uncertain how the FDIC might exercise its discretion under the orderly liquidation authority in a particular case.</w:t>
      </w:r>
    </w:p>
    <w:p>
      <w:pPr>
        <w:spacing w:after="0" w:line="33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Holders of the notes are not protected in the event of a material adverse change in our financial condition or results of operations and there is limited covenant protection in the notes.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covenants in the notes are limited and do not protect holders of the notes in the event of a material adverse change in our financial condition or results of operations. Additionally, payments of principal of the notes can be accelerated only upon bankruptcy of the Company. There is no right of acceleration of payment of the notes in the case of default in the performance of any covenant by the Company, including payment of principal or interest. The notes do not contain any provisions which restrict us from incurring, assuming or becoming liable with respect to any indebtedness or other obligations, whether secured or unsecured, including indebtedness which will rank senior to the notes.</w:t>
      </w:r>
    </w:p>
    <w:p>
      <w:pPr>
        <w:spacing w:after="0" w:line="8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notes do not contain any financial ratios or specified levels of liquidity to which we must adhere. In addition, the notes do not contain any provisions which require us to repurchase, redeem, or modify the terms of the notes upon any events involving the Company which may adversely affect our creditworthiness. Therefore, neither the covenants nor the other provisions of the notes should be a significant factor in evaluating whether we will be able to comply or will comply with our obligations under the notes.</w:t>
      </w:r>
    </w:p>
    <w:p>
      <w:pPr>
        <w:spacing w:after="0" w:line="32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will be able to incur additional debt, which could result in a further increase of our leverage and thereby have an adverse effect on our ability to pay our obligations under the notes.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terms of the notes do not and will not prohibit us from incurring additional debt. We may seek to raise additional capital in the form of senior debt in the future. If we do incur more debt, the related risks that we would face with an increase in leverage could result in an adverse effect on our ability to pay our obligations under the notes.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 investment in the notes is not an FDIC insured deposit.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notes are not savings accounts, deposits or other obligations of any of our bank or non-bank subsidiaries and are not insured or guaranteed by the FDIC or any other governmental agency or instrumentality. Your investment will be subject to investment risk and you may experience loss with respect to your investment.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notes will qualify for the tax treatment for which the Company intends the notes to qualify.</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Although the Company intends for the notes to qualify for tax treatment that is favorable to the Company, the Company has not sought advice from its accountants, nor has it sought a ruling from the U.S. Internal Revenue Service (“IRS”), as to the federal income tax consequences of issuing the notes. There can be no assurance that upon future review, the Company’s accounts will determine that the notes do not qualify for the intended tax treatment. Similarly, there can be no assurance that the IRS will not successfully challenge the intended tax treatment of the notes. If at any time within the first five years after the issue date, the interest payable by the Company on the notes is not, or will not be, deductible by the Company, in whole or in part, for federal income tax purposes, we may redeem the notes in whole, but not in part, and without premium or penalty.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In connection with the issuance of the Old Notes on September 29, 2020, we entered into certain registration rights agreements with the initial purchasers of the Old Notes, which provide for the exchange offer we are making pursuant to this prospectus. The exchange offer will permit eligible holders of Old Notes to exchange their Old Notes for New Notes that are identical in all material respects with the Old Notes, except that:</w:t>
      </w:r>
    </w:p>
    <w:p>
      <w:pPr>
        <w:spacing w:after="0" w:line="49" w:lineRule="exact"/>
        <w:rPr>
          <w:sz w:val="20"/>
          <w:szCs w:val="20"/>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New Notes have been registered with the SEC under the Securities Act and, as a result, will not bear any legend restricting their transfer;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New Notes bear different CUSIP numbers from the Old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New Notes are generally not subject to transfer restrictions;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under the registration rights agreements or otherwise;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the New Notes will not be entitled to registration rights, holders of the New Notes will not have the right to additional interest under the circumstances described in the registration rights agreements relating to our fulfillment of our registration obligations.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New Notes will evidence the same debt as the Old Notes. Holders of the New Notes will be entitled to the benefits of the indenture. Accordingly, the New Notes and the Old Notes will be treated as a single series of subordinated debt securities under the indenture. Old Notes that are not tendered for exchange in the exchange offer will remain outstanding and interest on those Old Notes will continue to accrue at the applicable interest rate and be subject to the terms of the indenture.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exchange offer does not depend on any minimum aggregate principal amount of Old Notes being tendered for exchange.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intend to conduct the exchange offer in accordance with the provisions of the registration rights agreements and the applicable requirements of the Exchange Act, and the related rules and regulations of the SEC applicable to transactions of this type.</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If a holder of Old Notes validly tenders Old Notes in the exchange offer, the tendering holder will not be required to pay us brokerage commissions or fees. In addition, subject to the instructions in the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“-Fees and Expenses.”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Holders of outstanding Old Notes do not have any appraisal, dissenters’ or similar rights in connection with the exchange offer. Outstanding Old Notes which are not tendered, or are tendered but not accepted, in connection with the exchange offer will remain outstanding. See “Risk Factors-Risks Related to the Exchange Offer-If you do not properly tender your Old Notes, you will continue to hold unregistered Old Notes and your ability to transfer Old Notes will be adversely affected.”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color w:val="auto"/>
        </w:rPr>
        <w:t>NEITHER WE NOR THE EXCHANGE AGENT ARE MAKING ANY RECOMMENDATION TO THE HOLDERS OF THE OUTSTANDING OLD NOTES AS TO WHETHER TO TENDER OR REFRAIN FROM TENDERING ALL OR ANY PORTION OF THEIR OUTSTANDING OLD NOTES IN THE EXCHANGE OFFER. IN ADDITION, NEITHER WE NOR THE EXCHANGE AGENT HAVE AUTHORIZED ANYONE TO MAKE ANY SUCH RECOMMENDATION. HOLDERS OF THE OUTSTANDING OLD NOTES MUST MAKE THEIR OWN DECISION WHETHER TO TENDER PURSUANT TO THE EXCHANGE OFFER,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AND, IF SO, THE AGGREGATE PRINCIPAL AMOUNT OF OUTSTANDING OLD NOTES TO TENDER AFTER READING THIS PROSPECTUS AND THE LETTER OF TRANSMITTAL AND CONSULTING WITH THEIR ADVISERS, IF ANY, BASED ON THEIR FINANCIAL POSITION AND INDIVIDUAL REQUIREMENTS.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The following provides a summary of certain terms of the registration rights agreements. This summary is qualified in its entirety by reference to the complete version of the form of registration rights agreement, which is incorporated by reference as an exhibit to the registration statement of which this prospectus is a part.</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Under the terms of the registration rights agreements that we entered into with the purchasers of the Old Notes at the time we issued the Old Notes, we agreed to register the New Notes and undertake this exchange offer. This exchange offer is intended to satisfy the rights of holders of Old Notes under such registration rights agreements. After the exchange offer is completed, we will have no further obligations, except under the limited circumstances described below, to provide for any exchange or undertake any further registration with respect to the Old Notes.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terms of the registration rights agreements, we agreed, among other things, to:</w:t>
      </w:r>
    </w:p>
    <w:p>
      <w:pPr>
        <w:spacing w:after="0" w:line="63" w:lineRule="exact"/>
        <w:rPr>
          <w:sz w:val="20"/>
          <w:szCs w:val="20"/>
          <w:color w:val="auto"/>
        </w:rPr>
      </w:pPr>
    </w:p>
    <w:p>
      <w:pPr>
        <w:jc w:val="both"/>
        <w:ind w:left="1000" w:right="29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a registration statement with the SEC under the Securities Act with respect to a registered offer to exchange the Old Notes for substantially identical notes that do not contain transfer restrictions and will be registered under the Securities Act; and</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our commercially reasonable efforts to cause that registration statement to become effective no later than January 27, 2021, which is the date that is 120 days after September 28, 2020.</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registration rights agreements also require us to commence the exchange offer promptly after the effectiveness of the registration statement and to keep the exchange offer open for not less than 20 business days, or longer if required by applicable law, after the date on which notice of the exchange offer is mailed to the holders of the Old Notes.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also agreed to issue and exchange New Notes for all Old Notes validly tendered and not validly withdrawn before the expiration of the exchange offer. We are sending this prospectus, together with a letter of transmittal,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Eligibility; Transferability</w:t>
      </w:r>
    </w:p>
    <w:p>
      <w:pPr>
        <w:spacing w:after="0" w:line="121" w:lineRule="exact"/>
        <w:rPr>
          <w:sz w:val="20"/>
          <w:szCs w:val="20"/>
          <w:color w:val="auto"/>
        </w:rPr>
      </w:pPr>
    </w:p>
    <w:p>
      <w:pPr>
        <w:jc w:val="both"/>
        <w:ind w:left="300" w:right="319" w:firstLine="360"/>
        <w:spacing w:after="0" w:line="295" w:lineRule="auto"/>
        <w:rPr>
          <w:sz w:val="20"/>
          <w:szCs w:val="20"/>
          <w:color w:val="auto"/>
        </w:rPr>
      </w:pPr>
      <w:r>
        <w:rPr>
          <w:rFonts w:ascii="Arial" w:cs="Arial" w:eastAsia="Arial" w:hAnsi="Arial"/>
          <w:sz w:val="16"/>
          <w:szCs w:val="16"/>
          <w:color w:val="auto"/>
        </w:rPr>
        <w:t>We are making this exchange offer in reliance on interpretations of the staff of the SEC set forth in several no-action letters provided to other parties. We have not sought our own no-action letter from the staff of the SEC with respect to this particular exchange offer.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if:</w:t>
      </w:r>
    </w:p>
    <w:p>
      <w:pPr>
        <w:spacing w:after="0" w:line="3" w:lineRule="exact"/>
        <w:rPr>
          <w:sz w:val="20"/>
          <w:szCs w:val="20"/>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or the person receiving the New Notes is, acquiring the New Notes in the ordinary course of business;</w:t>
      </w:r>
    </w:p>
    <w:p>
      <w:pPr>
        <w:spacing w:after="0" w:line="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do not, nor does any such person, have an arrangement or understanding with any person to participate in any distribution (within the meaning of the Securities Act) of the New Notes;</w:t>
      </w:r>
    </w:p>
    <w:p>
      <w:pPr>
        <w:spacing w:after="0" w:line="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not, nor is any such person, our affiliate as such term is defined under Rule 405 under the Securities Act;</w:t>
      </w:r>
    </w:p>
    <w:p>
      <w:pPr>
        <w:spacing w:after="0" w:line="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not, or any such person is not, a broker-dealer registered under the Exchange Act, and you are not engaged in or such person is not engaged in, and do not intend to engage in, any distribution (within the meaning of the Securities Act) of the New Notes; and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not acting on behalf of any person who could not truthfully make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participate in the exchange offer, you must represent as a holder of Old Notes that each of these statements is true.</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in order for broker-dealers registered under the Exchange Act to participate in the exchange offer, each such broker-dealer must also (i) 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180 days following the expiration date, we will amend or supplement this prospectus to expedite or facilitate the disposition of any New Notes by such broker-dealers.</w:t>
      </w:r>
    </w:p>
    <w:p>
      <w:pPr>
        <w:spacing w:after="0" w:line="7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Any holder of Old Notes (i) who is our affiliate, (ii) who does not acquire the New Notes in the ordinary course of business, (iii) who intends to participate in the exchange offer for the purpose of distributing the New Notes, or</w:t>
      </w:r>
    </w:p>
    <w:p>
      <w:pPr>
        <w:ind w:left="600" w:hanging="30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who is a broker-dealer who purchased the Old Notes directly from us:</w:t>
      </w:r>
    </w:p>
    <w:p>
      <w:pPr>
        <w:spacing w:after="0" w:line="10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staff of the SEC set forth in the no-action letters described above;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will not be able to tender Old Notes in the exchange offer;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the sale or transfer is made pursuant to an exemption from those requirements.</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Expiration of the Exchange Offer; Extensions; Amendments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exchange offer will expire at 5:00 p.m., Eastern Standard Time, on January 7, 2021,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Eastern Standard Time on the next business day after the previously scheduled expiration date. During any such extension, all Old Notes previously tendered will remain subject to the exchange offer and may be accepted for exchange by us.</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reserve the right to extend the exchange offer, delay accepting any tendered Old Notes or, if any of the conditions described below under the heading “-Conditions” have not been satisfied, to terminate the exchange offer. We also reserve the right to amend the terms of the exchange offer in any manner. We will give oral or written notice of any delay, extension, termination or amendment to the exchange agent. We will keep the exchange offer open for not less than 20 business days, or longer if required by applicable law, after the date on which notice of the exchange offer is mailed to holders of the Old Notes.</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we amend the exchange offer in a manner that we consider material, we will disclose that amendment by means of a prospectus supplement, and we will extend the exchange offer so that at least five business days remain in the exchange offer following notice of the material change.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we determine to make a public announcement of any delay, extension, amendment or termination of the exchange offer, we will do so by making a timely release through an appropriate news agency.</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we terminate or withdraw the exchange offer, we will promptly return any Old Notes deposited, under the exchange offer as required by Rule 14e-1(c) under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w:t>
      </w:r>
    </w:p>
    <w:p>
      <w:pPr>
        <w:spacing w:after="0" w:line="79" w:lineRule="exact"/>
        <w:rPr>
          <w:sz w:val="20"/>
          <w:szCs w:val="20"/>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Old Notes are tendered to us other than in accordance with the terms and conditions of the exchange offer;</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determine that the exchange offer violates any law, statute, rule, regulation or interpretation by the staff of the SEC;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action or proceeding is instituted or threatened in any court or by or before any governmental agency relating to the exchange offer which, in our judgment, could reasonably be expected to impair our ability to proceed with the exchange offer.</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In any such event, we must use our commercially reasonable efforts to obtain the withdrawal of any stop order as soon as practicable.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Further, we will not be obligated to accept for exchange the Old Notes of any holder that has not made to us the representations described under “-Eligibility; Transferability” and “Plan of Distribution.”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Procedures for Tendering Old Notes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participate in the exchange offer, you must validly tender your Old Notes to the exchange agent, as described below, by the expiration date. It is your responsibility to validly tender your Old Notes. We have the right to waive any defects. However, we are not required to waive defects and are not required to notify you of defects in your tender.</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have any questions or need help in exchanging your Old Notes, please call the exchange agent, whose address and phone number are set forth in “-Exchange Agent.”</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Old Notes Issued in Book-Entry Form</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All of the Old Notes were issued in book-entry form and are currently represented by global certificates held for the account of DTC. Accordingly, DTC, as depositary, or its nominee is treated as the registered holder of the Old Notes and will be the only entity that can tender your Old Notes for New Notes. Therefore, to validly tender Old Notes and to obtain New Notes, you must comply with the procedures described below to initiate the exchange agent’s book-entry transfer of the Old Notes into the exchange agent’s account at DTC using DTC’s ATOP procedures. To comply with those procedures, you must cause:</w:t>
      </w:r>
    </w:p>
    <w:p>
      <w:pPr>
        <w:spacing w:after="0" w:line="70" w:lineRule="exact"/>
        <w:rPr>
          <w:sz w:val="20"/>
          <w:szCs w:val="20"/>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properly transmitted “agent’s message” (as defined below) to be received by the exchange agent through ATOP prior to 5:00 p.m., Eastern Standard Time, on the expiration date; and</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timely confirmation of a book-entry tender of the Old Notes into the exchange agent’s account at DTC through ATOP pursuant to the procedure for book-entry transfer described below to be received by the exchange agent prior to 5:00 p.m., Eastern Standard Time on the expiration date.</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Following receipt of a properly transmitted “agent’s message,”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the exchange agent’s ATOP account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 accordance with DTC’s procedures for such transfers. In connection with the transfer, the exchange agent must receive a properly transmitted “agent’s message,” as well as a timely confirmation of a book-entry tender of the Old Notes into its account at DTC through ATOP, prior to 5:00 p.m., Eastern Standard Time, on the expiration date. Subject to the terms of the exchange offer, following the expiration or termination of the exchange offer, the exchange agent will exchange Old Notes validly tendered and not validly withdrawn prior to such expiration or termination for an equal principal amount of New Notes by credit to the holder’s account at DTC. If the entire principal amount of all Old Notes held by a holder is not tendered, then Old Notes for the principal amount of the Old Notes not tendered and accepted will be returned by credit to the holder’s account at DTC following the expiration date.</w:t>
      </w:r>
    </w:p>
    <w:p>
      <w:pPr>
        <w:spacing w:after="0" w:line="8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term “agent’s message” means a message transmitted by a DTC participant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and that such agreement may be enforced against such participant.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agent’s message must include the following information:</w:t>
      </w:r>
    </w:p>
    <w:p>
      <w:pPr>
        <w:spacing w:after="0" w:line="117"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the beneficial owner tendering such Old Notes ;</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 number of the beneficial owner tendering such Old Notes ;</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principal amount of Old Notes tendered by such beneficial owner;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confirmation that the beneficial owner of the Old Notes has agreed to be bound by the terms of the accompanying letter of transmittal.</w:t>
      </w:r>
    </w:p>
    <w:p>
      <w:pPr>
        <w:spacing w:after="0" w:line="62"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by crediting the holder’s account at DTC, following the expiration or termination of the exchange offer.</w:t>
      </w:r>
    </w:p>
    <w:p>
      <w:pPr>
        <w:spacing w:after="0" w:line="68"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a letter of transmittal to the exchange agent. However, by using the ATOP procedures to tender and exchange Old Notes, you will be bound by the terms of the letter of transmittal, and you will be deemed to have made the acknowledgements and the representations and warranties it contains, just as if you had signed it. Each tendering holder, by delivery of an agent’s message, waives any right to receive any notice of the acceptance of such tender.</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is no procedure for guaranteed late delivery of the Old Notes in connection with the exchange offer.</w:t>
      </w:r>
    </w:p>
    <w:p>
      <w:pPr>
        <w:spacing w:after="0" w:line="129"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will determine all questions as to the validity, form, eligibility (including time of receipt), acceptance and withdrawal of tendered Old Notes in our sole discretion, and our determination will be final and binding on all parties. We reserve the absolute right, in our sole and absolute discretion, to reject any and all Old Notes not validly tendered or any Old Notes whose acceptance by us would, in the opinion of our counsel, be unlawful. We also reserve the absolute right, in our sole discretion subject to applicable law, to waive or amend any of the conditions of the exchange offer or to waive any defects, irregularities or conditions of tender as to any particular Old Notes, either before or after the expiration date. Our interpretation of the terms and conditions of the exchange offer (including the instructions in the accompanying letter of transmittal) will be final and binding on all parties. No alternative, conditional or contingent tenders will be accepted. Unless waived, any defects or irregularities in connection with tenders of Old Notes must be cured within a time period we will reasonably determine. We are not required to waive defects and are not required to notify you of defects in your tender. Although we intend to request the exchange agent to notify holders of defects or irregularities relating to tenders and withdrawals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we will extend the same waiver to all noteholders with respect to that term or condition. Any Old Notes received by the exchange agent that are not validly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311" w:lineRule="auto"/>
        <w:rPr>
          <w:sz w:val="20"/>
          <w:szCs w:val="20"/>
          <w:color w:val="auto"/>
        </w:rPr>
      </w:pPr>
      <w:r>
        <w:rPr>
          <w:rFonts w:ascii="Arial" w:cs="Arial" w:eastAsia="Arial" w:hAnsi="Arial"/>
          <w:sz w:val="16"/>
          <w:szCs w:val="16"/>
          <w:color w:val="auto"/>
        </w:rPr>
        <w:t>tendered and as to which the defects or irregularities have not been cured or waived will be returned by the exchange agent, without expense, to the tendering holders following the expiration date of the exchange offer. Each tendering holder, by delivery of an agent’s message, waives any right to receive any notice of the acceptance of such tender.</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Representations</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By tendering Old Notes, each holder is deemed to have represented to us that:</w:t>
      </w:r>
    </w:p>
    <w:p>
      <w:pPr>
        <w:spacing w:after="0" w:line="117" w:lineRule="exact"/>
        <w:rPr>
          <w:sz w:val="20"/>
          <w:szCs w:val="20"/>
          <w:color w:val="auto"/>
        </w:rPr>
      </w:pPr>
    </w:p>
    <w:p>
      <w:pPr>
        <w:ind w:left="2000" w:hanging="348"/>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New Notes that you receive will be acquired in the ordinary course of business;</w:t>
      </w:r>
    </w:p>
    <w:p>
      <w:pPr>
        <w:spacing w:after="0" w:line="117" w:lineRule="exact"/>
        <w:rPr>
          <w:rFonts w:ascii="Arial" w:cs="Arial" w:eastAsia="Arial" w:hAnsi="Arial"/>
          <w:sz w:val="18"/>
          <w:szCs w:val="18"/>
          <w:color w:val="auto"/>
        </w:rPr>
      </w:pPr>
    </w:p>
    <w:p>
      <w:pPr>
        <w:ind w:left="2000" w:right="1320" w:hanging="348"/>
        <w:spacing w:after="0" w:line="308" w:lineRule="auto"/>
        <w:tabs>
          <w:tab w:leader="none" w:pos="2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you have no arrangement or understanding with any person to participate in the distribution (within the meaning of the Securities Act) of the New Notes in violation of the provisions of the Securities Act;</w:t>
      </w:r>
    </w:p>
    <w:p>
      <w:pPr>
        <w:spacing w:after="0" w:line="38" w:lineRule="exact"/>
        <w:rPr>
          <w:rFonts w:ascii="Arial" w:cs="Arial" w:eastAsia="Arial" w:hAnsi="Arial"/>
          <w:sz w:val="17"/>
          <w:szCs w:val="17"/>
          <w:color w:val="auto"/>
        </w:rPr>
      </w:pPr>
    </w:p>
    <w:p>
      <w:pPr>
        <w:ind w:left="2000" w:hanging="348"/>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not an “affiliate” (within the meaning of Rule 405 under the Securities Act); and</w:t>
      </w:r>
    </w:p>
    <w:p>
      <w:pPr>
        <w:spacing w:after="0" w:line="117" w:lineRule="exact"/>
        <w:rPr>
          <w:rFonts w:ascii="Arial" w:cs="Arial" w:eastAsia="Arial" w:hAnsi="Arial"/>
          <w:sz w:val="18"/>
          <w:szCs w:val="18"/>
          <w:color w:val="auto"/>
        </w:rPr>
      </w:pPr>
    </w:p>
    <w:p>
      <w:pPr>
        <w:jc w:val="both"/>
        <w:ind w:left="2000" w:right="1320" w:hanging="348"/>
        <w:spacing w:after="0" w:line="259" w:lineRule="auto"/>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Withdrawal of Tenders</w:t>
      </w:r>
    </w:p>
    <w:p>
      <w:pPr>
        <w:spacing w:after="0" w:line="121" w:lineRule="exact"/>
        <w:rPr>
          <w:sz w:val="20"/>
          <w:szCs w:val="20"/>
          <w:color w:val="auto"/>
        </w:rPr>
      </w:pPr>
    </w:p>
    <w:p>
      <w:pPr>
        <w:jc w:val="both"/>
        <w:ind w:left="1300" w:right="1300" w:firstLine="360"/>
        <w:spacing w:after="0" w:line="273" w:lineRule="auto"/>
        <w:rPr>
          <w:sz w:val="20"/>
          <w:szCs w:val="20"/>
          <w:color w:val="auto"/>
        </w:rPr>
      </w:pPr>
      <w:r>
        <w:rPr>
          <w:rFonts w:ascii="Arial" w:cs="Arial" w:eastAsia="Arial" w:hAnsi="Arial"/>
          <w:sz w:val="17"/>
          <w:szCs w:val="17"/>
          <w:color w:val="auto"/>
        </w:rPr>
        <w:t>Except as otherwise provided in this prospectus, you may validly withdraw your book-entry tender of Old Notes at any time prior to 5:00 p.m., Eastern Standard Time, on the expiration date of the exchange offer. For a withdrawal of book-entry tendered Old Notes to be effective, the exchange agent must receive, prior to 5:00 p.m., Eastern Standard Time on the expiration date, a computer-generated notice of withdrawal, transmitted by DTC on your behalf in accordance with the appropriate procedures of DTC’s ATOP system prior to 5:00 p.m., Eastern Standard Time, on the expiration date. Any such notice of withdrawal must:</w:t>
      </w:r>
    </w:p>
    <w:p>
      <w:pPr>
        <w:spacing w:after="0" w:line="70" w:lineRule="exact"/>
        <w:rPr>
          <w:sz w:val="20"/>
          <w:szCs w:val="20"/>
          <w:color w:val="auto"/>
        </w:rPr>
      </w:pPr>
    </w:p>
    <w:p>
      <w:pPr>
        <w:ind w:left="2000" w:hanging="348"/>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the name of the tendering holder of Old Notes;</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the principal amount of the Old Notes delivered for exchange;</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the name and number of the account at DTC to be credited with the withdrawn Old Notes;</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Old Notes exchanged; and</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comply with the procedures of DTC.</w:t>
      </w:r>
    </w:p>
    <w:p>
      <w:pPr>
        <w:spacing w:after="0" w:line="117" w:lineRule="exact"/>
        <w:rPr>
          <w:sz w:val="20"/>
          <w:szCs w:val="20"/>
          <w:color w:val="auto"/>
        </w:rPr>
      </w:pPr>
    </w:p>
    <w:p>
      <w:pPr>
        <w:jc w:val="both"/>
        <w:ind w:left="1300" w:right="1300" w:firstLine="360"/>
        <w:spacing w:after="0" w:line="271" w:lineRule="auto"/>
        <w:rPr>
          <w:sz w:val="20"/>
          <w:szCs w:val="20"/>
          <w:color w:val="auto"/>
        </w:rPr>
      </w:pPr>
      <w:r>
        <w:rPr>
          <w:rFonts w:ascii="Arial" w:cs="Arial" w:eastAsia="Arial" w:hAnsi="Arial"/>
          <w:sz w:val="17"/>
          <w:szCs w:val="17"/>
          <w:color w:val="auto"/>
        </w:rPr>
        <w:t>We will determine all questions as to the validity, form and eligibility (including time of receipt) of such withdrawal notices. Any Old Notes so withdrawn will be considered not to have been validly tendered for purposes of the applicable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applicable exchange offer. Validly withdrawn Old Notes may be re-tendered by following one of the procedures described above under “-Procedures for Tendering” at any time prior to the expiration date of the exchange offer.</w:t>
      </w: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jc w:val="both"/>
        <w:ind w:left="1300" w:right="1320" w:firstLine="360"/>
        <w:spacing w:after="0" w:line="259" w:lineRule="auto"/>
        <w:rPr>
          <w:sz w:val="20"/>
          <w:szCs w:val="20"/>
          <w:color w:val="auto"/>
        </w:rPr>
      </w:pPr>
      <w:r>
        <w:rPr>
          <w:rFonts w:ascii="Arial" w:cs="Arial" w:eastAsia="Arial" w:hAnsi="Arial"/>
          <w:sz w:val="18"/>
          <w:szCs w:val="18"/>
          <w:color w:val="auto"/>
        </w:rPr>
        <w:t>UMB Bank, National Association, the trustee under the indenture, has been appointed the exchange agent for this exchange offer. The letters of transmittal and all correspondence in connection with this exchange offer should be sent or delivered by each holder of Old Notes, or a beneficial owner’s commercial bank, broker, dealer, trust company or other nominee, to the exchange agent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ind w:left="2120"/>
              <w:spacing w:after="0"/>
              <w:rPr>
                <w:sz w:val="20"/>
                <w:szCs w:val="20"/>
                <w:color w:val="auto"/>
              </w:rPr>
            </w:pPr>
            <w:r>
              <w:rPr>
                <w:rFonts w:ascii="Arial" w:cs="Arial" w:eastAsia="Arial" w:hAnsi="Arial"/>
                <w:sz w:val="18"/>
                <w:szCs w:val="18"/>
                <w:color w:val="auto"/>
              </w:rPr>
              <w:t>By Mail or Hand Delivery:</w:t>
            </w:r>
          </w:p>
        </w:tc>
        <w:tc>
          <w:tcPr>
            <w:tcW w:w="6760" w:type="dxa"/>
            <w:vAlign w:val="bottom"/>
          </w:tcPr>
          <w:p>
            <w:pPr>
              <w:ind w:left="200"/>
              <w:spacing w:after="0"/>
              <w:rPr>
                <w:sz w:val="20"/>
                <w:szCs w:val="20"/>
                <w:color w:val="auto"/>
              </w:rPr>
            </w:pPr>
            <w:r>
              <w:rPr>
                <w:rFonts w:ascii="Arial" w:cs="Arial" w:eastAsia="Arial" w:hAnsi="Arial"/>
                <w:sz w:val="18"/>
                <w:szCs w:val="18"/>
                <w:color w:val="auto"/>
              </w:rPr>
              <w:t>UMB Bank, National Association</w:t>
            </w:r>
          </w:p>
        </w:tc>
      </w:tr>
      <w:tr>
        <w:trPr>
          <w:trHeight w:val="216"/>
        </w:trPr>
        <w:tc>
          <w:tcPr>
            <w:tcW w:w="426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5555 San Felipe St., Suite 870</w:t>
            </w:r>
          </w:p>
        </w:tc>
      </w:tr>
      <w:tr>
        <w:trPr>
          <w:trHeight w:val="216"/>
        </w:trPr>
        <w:tc>
          <w:tcPr>
            <w:tcW w:w="426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Houston, Texas 77056</w:t>
            </w:r>
          </w:p>
        </w:tc>
      </w:tr>
      <w:tr>
        <w:trPr>
          <w:trHeight w:val="230"/>
        </w:trPr>
        <w:tc>
          <w:tcPr>
            <w:tcW w:w="426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Attention: Mauri J. Cowen / Corporate Trust</w:t>
            </w:r>
          </w:p>
        </w:tc>
      </w:tr>
      <w:tr>
        <w:trPr>
          <w:trHeight w:val="324"/>
        </w:trPr>
        <w:tc>
          <w:tcPr>
            <w:tcW w:w="4260" w:type="dxa"/>
            <w:vAlign w:val="bottom"/>
          </w:tcPr>
          <w:p>
            <w:pPr>
              <w:ind w:left="2120"/>
              <w:spacing w:after="0"/>
              <w:rPr>
                <w:sz w:val="20"/>
                <w:szCs w:val="20"/>
                <w:color w:val="auto"/>
              </w:rPr>
            </w:pPr>
            <w:r>
              <w:rPr>
                <w:rFonts w:ascii="Arial" w:cs="Arial" w:eastAsia="Arial" w:hAnsi="Arial"/>
                <w:sz w:val="18"/>
                <w:szCs w:val="18"/>
                <w:color w:val="auto"/>
              </w:rPr>
              <w:t>Telephone:</w:t>
            </w:r>
          </w:p>
        </w:tc>
        <w:tc>
          <w:tcPr>
            <w:tcW w:w="6760" w:type="dxa"/>
            <w:vAlign w:val="bottom"/>
          </w:tcPr>
          <w:p>
            <w:pPr>
              <w:jc w:val="right"/>
              <w:ind w:right="5350"/>
              <w:spacing w:after="0"/>
              <w:rPr>
                <w:sz w:val="20"/>
                <w:szCs w:val="20"/>
                <w:color w:val="auto"/>
              </w:rPr>
            </w:pPr>
            <w:r>
              <w:rPr>
                <w:rFonts w:ascii="Arial" w:cs="Arial" w:eastAsia="Arial" w:hAnsi="Arial"/>
                <w:sz w:val="18"/>
                <w:szCs w:val="18"/>
                <w:color w:val="auto"/>
              </w:rPr>
              <w:t>(713) 300-0587</w:t>
            </w:r>
          </w:p>
        </w:tc>
      </w:tr>
      <w:tr>
        <w:trPr>
          <w:trHeight w:val="324"/>
        </w:trPr>
        <w:tc>
          <w:tcPr>
            <w:tcW w:w="4260" w:type="dxa"/>
            <w:vAlign w:val="bottom"/>
          </w:tcPr>
          <w:p>
            <w:pPr>
              <w:ind w:left="2120"/>
              <w:spacing w:after="0"/>
              <w:rPr>
                <w:sz w:val="20"/>
                <w:szCs w:val="20"/>
                <w:color w:val="auto"/>
              </w:rPr>
            </w:pPr>
            <w:r>
              <w:rPr>
                <w:rFonts w:ascii="Arial" w:cs="Arial" w:eastAsia="Arial" w:hAnsi="Arial"/>
                <w:sz w:val="18"/>
                <w:szCs w:val="18"/>
                <w:color w:val="auto"/>
              </w:rPr>
              <w:t>Email:</w:t>
            </w:r>
          </w:p>
        </w:tc>
        <w:tc>
          <w:tcPr>
            <w:tcW w:w="6760" w:type="dxa"/>
            <w:vAlign w:val="bottom"/>
          </w:tcPr>
          <w:p>
            <w:pPr>
              <w:ind w:left="200"/>
              <w:spacing w:after="0"/>
              <w:rPr>
                <w:sz w:val="20"/>
                <w:szCs w:val="20"/>
                <w:color w:val="auto"/>
              </w:rPr>
            </w:pPr>
            <w:r>
              <w:rPr>
                <w:rFonts w:ascii="Arial" w:cs="Arial" w:eastAsia="Arial" w:hAnsi="Arial"/>
                <w:sz w:val="18"/>
                <w:szCs w:val="18"/>
                <w:color w:val="auto"/>
              </w:rPr>
              <w:t>mauri.cowen@umb.com</w:t>
            </w:r>
          </w:p>
        </w:tc>
      </w:tr>
      <w:tr>
        <w:trPr>
          <w:trHeight w:val="432"/>
        </w:trPr>
        <w:tc>
          <w:tcPr>
            <w:tcW w:w="4260" w:type="dxa"/>
            <w:vAlign w:val="bottom"/>
          </w:tcPr>
          <w:p>
            <w:pPr>
              <w:spacing w:after="0"/>
              <w:rPr>
                <w:sz w:val="24"/>
                <w:szCs w:val="24"/>
                <w:color w:val="auto"/>
              </w:rPr>
            </w:pPr>
          </w:p>
        </w:tc>
        <w:tc>
          <w:tcPr>
            <w:tcW w:w="6760" w:type="dxa"/>
            <w:vAlign w:val="bottom"/>
          </w:tcPr>
          <w:p>
            <w:pPr>
              <w:jc w:val="right"/>
              <w:ind w:right="5330"/>
              <w:spacing w:after="0"/>
              <w:rPr>
                <w:sz w:val="20"/>
                <w:szCs w:val="20"/>
                <w:color w:val="auto"/>
              </w:rPr>
            </w:pPr>
            <w:r>
              <w:rPr>
                <w:rFonts w:ascii="Arial" w:cs="Arial" w:eastAsia="Arial" w:hAnsi="Arial"/>
                <w:sz w:val="18"/>
                <w:szCs w:val="18"/>
                <w:color w:val="auto"/>
              </w:rPr>
              <w:t>29</w:t>
            </w:r>
          </w:p>
        </w:tc>
      </w:tr>
      <w:tr>
        <w:trPr>
          <w:trHeight w:val="196"/>
        </w:trPr>
        <w:tc>
          <w:tcPr>
            <w:tcW w:w="426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We will pay the exchange agent reasonable and customary fees for its services (including attorney’s fees) and will reimburse it for its reasonable, out-of-pocket expenses in connection with this exchange offer.</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will bear the expenses of soliciting tenders of the Old Notes and issuance of the New Notes. The principal solicitation is being made through ATOP. However, we may make additional solicitations by mail, email, telephone or in person by our officers and employees and those of our affiliates.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Except as described below, we will pay all transfer taxes, if any, applicable to the exchange of Old Notes under the exchange offer. The tendering holder will be required to pay any transfer taxes, whether imposed on the registered holder or any other person, if:</w:t>
      </w:r>
    </w:p>
    <w:p>
      <w:pPr>
        <w:spacing w:after="0" w:line="76" w:lineRule="exact"/>
        <w:rPr>
          <w:sz w:val="20"/>
          <w:szCs w:val="20"/>
          <w:color w:val="auto"/>
        </w:rPr>
      </w:pPr>
    </w:p>
    <w:p>
      <w:pPr>
        <w:ind w:left="1000" w:right="31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New Notes and/or substitute Old Notes not exchanged are to be delivered to, or registered or issued in the name of, any person other than the registered holder of the Old Notes so exchanged;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tendered Old Notes are registered in the name of any person other than the person signing the letter of transmittal;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transfer tax is imposed for any reason other than the exchange of Old Notes under the exchange offer.</w:t>
      </w:r>
    </w:p>
    <w:p>
      <w:pPr>
        <w:spacing w:after="0" w:line="14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satisfactory evidence of payment of transfer taxes is not submitted with the letter of transmittal, the amount of any transfer taxes will be billed to the tendering holder.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will record the New Notes at the same carrying value as the Old Notes reflected in our accounting records on the date of the exchange. Accordingly, we will not recognize any gain or loss for accounting purposes upon completion of the exchange offer.</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Old Notes that are not exchanged will remain “restricted securities” within the meaning of Rule 144(a)(3) under the Securities Act.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they may not be offered, sold, pledged or otherwise transferred except:</w:t>
      </w:r>
    </w:p>
    <w:p>
      <w:pPr>
        <w:spacing w:after="0" w:line="117"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us or to any of our subsidiaries;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a registration statement which has been declared effective under the Securities Act;</w:t>
      </w:r>
    </w:p>
    <w:p>
      <w:pPr>
        <w:spacing w:after="0" w:line="117"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w:t>
      </w:r>
    </w:p>
    <w:p>
      <w:pPr>
        <w:spacing w:after="0" w:line="79"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subject to compliance with any applicable foreign, state or other securities laws.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Notes. The holders of Old Notes not tendered will have no further registration rights, except that, under limited circumstances specified in the registration rights agreements, we may be required to file a shelf registration statement for a continuous offer of Old Notes.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Information Regarding the Registration Rights Agreements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noted above, we are effecting the exchange offer to comply with the registration rights agreements. The registration rights agreements require us to cause an exchange offer registration statement to be filed with the SEC under the Securities Act, use our commercially reasonable efforts to cause the registration statement to become effective, and satisfy certain other obligations, within certain time periods.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that:</w:t>
      </w:r>
    </w:p>
    <w:p>
      <w:pPr>
        <w:spacing w:after="0" w:line="117" w:lineRule="exact"/>
        <w:rPr>
          <w:sz w:val="20"/>
          <w:szCs w:val="20"/>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registration statement is not filed with the SEC on or prior to November 28, 2020, which is the date that is 60 days after September 29, 2020;</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registration statement has not been declared effective by the SEC on or prior to January 27, 2021, which is the date that is 120 days after September 29, 2020; or</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exchange offer is not completed on or prior to the 45th day following the effective date of the registration statement;</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interest rate on the Old Notes will be increased by a rate of 0.25% per annum immediately following such registration default and will increase by 0.25% per annum immediately following each 90-day period, 120-day period or 45-day period, as applicable, during which additional interest accrues, but in no event will such increase exceed 0.50% per annum. Following the cure of all such registration defaults, the accrual of additional interest will cease and the interest rate will be immediately reduced to the original interest rate borne by the Old Notes.</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Our obligation to register the New Notes will terminate upon completion of the exchange offer. However, under certain limited circumstances specified in the registration rights agreements, we may be required to file a shelf registration statement for a continuous offer in connection with the Old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On September 29, 2020, we issued $50,000,000 in aggregate principal amount of our 4.50% Fixed-to-Floating Rate Subordinated Notes due 2030, which we have referred to in this prospectus as the Old Notes. The Old Notes were issued in a private placement transaction to certain qualified institutional buyers and institutional accredited investors, and as such, were not registered under the Securities Act. The Old Notes were issued under an indenture dated September 29, 2020, between South Plains Financial, Inc., as issuer, and UMB Bank, National Association, as trustee, which we have referred to in this prospectus as the “indenture.” The term “notes” refers collectively to the Old Notes and the New Notes.</w:t>
      </w:r>
    </w:p>
    <w:p>
      <w:pPr>
        <w:spacing w:after="0" w:line="6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New Notes will be issued under the indenture and will evidence the same debt as the Old Notes. The terms of the New Notes are identical in all material respects to those of the Old Notes, except that:</w:t>
      </w:r>
    </w:p>
    <w:p>
      <w:pPr>
        <w:spacing w:after="0" w:line="62" w:lineRule="exact"/>
        <w:rPr>
          <w:sz w:val="20"/>
          <w:szCs w:val="20"/>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New Notes have been registered with the SEC under the Securities Act and, as a result, will not bear any legend restricting their transfer;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New Notes bear different CUSIP numbers from the Old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New Notes generally will not be subject to transfer restrictions;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under the registration rights agreements or otherwise;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the New Notes will not be entitled to registration rights, holders of the New Notes will not have the right to additional interest under the circumstances described in the registration rights agreements relating to our fulfillment of our registration obligations.</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New Notes will be issued only in fully registered form without interest coupons, in minimum denominations of $100,000 and any integral multiple of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terms of the New Notes include those stated in the indenture and those made part of the indenture by reference to the Trust Indenture Act of 1939, as amended (the “Trust Indenture Act”).</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exchange offer for the New Notes will be for up to $50,000,000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New Notes have materially identical interest terms as the Old Notes except with respect to additional interest that may be earned on the Old Notes under circumstances relating to our registration obligations under the registration rights agreements. Interest on the notes will accrue from and including September 29, 2020. The notes will mature and become payable, unless earlier redeemed, on September 30, 2030.</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From and including September 29, 2020 to but excluding September 30, 2025 or any earlier redemption date, the New Notes will bear interest at a fixed rate equal to 4.50% per year, payable semi-annually in arrears on March 30 and September 30 of each year, beginning on March 30, 2021. During this period, interest will be computed on the basis of a 360-day year consisting of twelve 30-day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From and including September 30, 2025 to but excluding the maturity date or earlier redemption date, the New Notes will bear interest at an annual floating rate, reset quarterly, equal to a benchmark rate (which is expected to be Three-Month Term SOFR) plus 438 basis points, payable quarterly in arrears on March 30, June 30, September 30 and December 30 of each year commencing on December 30, 2025.</w:t>
      </w:r>
    </w:p>
    <w:p>
      <w:pPr>
        <w:spacing w:after="0" w:line="6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During this period, interest will be computed on the basis of a 360-day year and the actual number of days elapsed. With regard to Three-Month Term SOFR:</w:t>
      </w:r>
    </w:p>
    <w:p>
      <w:pPr>
        <w:spacing w:after="0" w:line="62" w:lineRule="exact"/>
        <w:rPr>
          <w:sz w:val="20"/>
          <w:szCs w:val="20"/>
          <w:color w:val="auto"/>
        </w:rPr>
      </w:pPr>
    </w:p>
    <w:p>
      <w:pPr>
        <w:ind w:left="1000" w:right="29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“SOFR” means the daily Secured Overnight Financing Rate provided by the FRBNY, as the administrator of the benchmark (or a successor administrator), on the FRBNY’s Website.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 SOFR” means the forward-looking term rate based on SOFR that has been selected or recommended by the Relevant Governmental Body.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 SOFR Administrator” means any entity designated by the Relevant Governmental Body as the administrator of Term SOFR (or a successor administrator).</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w:t>
      </w:r>
    </w:p>
    <w:p>
      <w:pPr>
        <w:spacing w:after="0" w:line="57" w:lineRule="exact"/>
        <w:rPr>
          <w:rFonts w:ascii="Arial" w:cs="Arial" w:eastAsia="Arial" w:hAnsi="Arial"/>
          <w:sz w:val="17"/>
          <w:szCs w:val="17"/>
          <w:color w:val="auto"/>
        </w:rPr>
      </w:pPr>
    </w:p>
    <w:p>
      <w:pPr>
        <w:jc w:val="both"/>
        <w:ind w:left="1000" w:right="299" w:hanging="348"/>
        <w:spacing w:after="0" w:line="269"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“Three-Month Term SOFR Conventions”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Company decides may be appropriate to reflect the use of Three-Month Term SOFR as the Benchmark in a manner substantially consistent with market practice (or, if the Company decides that adoption of any portion of such market practice is not administratively feasible or if the Company determines that no market practice for the use of Three-Month Term SOFR exists, in such other manner as the Company determines is reasonably necessary).</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at the commencement of the floating rate period for the notes, the Relevant Governmental Body (as defined below) has not selected or recommended a forward-looking term rate for a tenor of three months based on SOFR, the development of a forward-looking term rate for a tenor of three months based on SOFR that has been recommended or selected by the Relevant Governmental Body is not complete or we determine that the use of a forward-looking rate for a tenor of three months based on SOFR is not administratively feasible, then the next-available Benchmark Replacement under the benchmark transition provisions will be used to determine the interest on the notes during the floating-rate interest period (unless a Benchmark Transition Event and its related Benchmark Replacement Date occur with respect to that next-available Benchmark Replacement).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a Benchmark Replacement, if necessary, under the terms of the notes:</w:t>
      </w:r>
    </w:p>
    <w:p>
      <w:pPr>
        <w:spacing w:after="0" w:line="117" w:lineRule="exact"/>
        <w:rPr>
          <w:sz w:val="20"/>
          <w:szCs w:val="20"/>
          <w:color w:val="auto"/>
        </w:rPr>
      </w:pPr>
    </w:p>
    <w:p>
      <w:pPr>
        <w:jc w:val="both"/>
        <w:ind w:left="1000" w:right="299" w:hanging="348"/>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“Benchmark” means, initially, Three-Month Term SOFR; provided that if a Benchmark Transition Event and its related Benchmark Replacement Date have occurred with respect to Three-Month Term SOFR or the then-current Benchmark, then “Benchmark” means the applicable Benchmark Replacement.</w:t>
      </w:r>
    </w:p>
    <w:p>
      <w:pPr>
        <w:spacing w:after="0" w:line="57" w:lineRule="exact"/>
        <w:rPr>
          <w:rFonts w:ascii="Arial" w:cs="Arial" w:eastAsia="Arial" w:hAnsi="Arial"/>
          <w:sz w:val="17"/>
          <w:szCs w:val="17"/>
          <w:color w:val="auto"/>
        </w:rPr>
      </w:pPr>
    </w:p>
    <w:p>
      <w:pPr>
        <w:jc w:val="both"/>
        <w:ind w:left="1000" w:right="299" w:hanging="348"/>
        <w:spacing w:after="0" w:line="271"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“Benchmark Replacement”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w:t>
      </w:r>
    </w:p>
    <w:p>
      <w:pPr>
        <w:spacing w:after="0" w:line="70" w:lineRule="exact"/>
        <w:rPr>
          <w:rFonts w:ascii="Arial" w:cs="Arial" w:eastAsia="Arial" w:hAnsi="Arial"/>
          <w:sz w:val="17"/>
          <w:szCs w:val="17"/>
          <w:color w:val="auto"/>
        </w:rPr>
      </w:pPr>
    </w:p>
    <w:p>
      <w:pPr>
        <w:ind w:left="1360" w:hanging="348"/>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sum of (i) Compounded SOFR and (ii) the Benchmark Replacement Adjustment;</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sum of: (i) the alternate rate of interest that has been selected or recommended by the Relevant Governmental Body as the replacement for the then-current Benchmark for the applicable Corresponding Tenor and (ii) the Benchmark Replacement Adjustment;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348"/>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sum of: (i) the ISDA Fallback Rate and (ii) the Benchmark Replacement Adjustment;</w:t>
      </w:r>
    </w:p>
    <w:p>
      <w:pPr>
        <w:spacing w:after="0" w:line="117" w:lineRule="exact"/>
        <w:rPr>
          <w:rFonts w:ascii="Arial" w:cs="Arial" w:eastAsia="Arial" w:hAnsi="Arial"/>
          <w:sz w:val="18"/>
          <w:szCs w:val="18"/>
          <w:color w:val="auto"/>
        </w:rPr>
      </w:pPr>
    </w:p>
    <w:p>
      <w:pPr>
        <w:jc w:val="both"/>
        <w:ind w:left="1360" w:right="319" w:hanging="348"/>
        <w:spacing w:after="0" w:line="301" w:lineRule="auto"/>
        <w:tabs>
          <w:tab w:leader="none" w:pos="1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sum of: (i) the alternate rate of interest that has been selected by the Company as the replacement for the then-current Benchmark for the applicable Corresponding Tenor giving due consideration to any industry-accepted rate of interest as a replacement for the then-current Benchmark for U.S. dollar denominated floating rate notes at such time and (ii) the Benchmark Replacement Adjustment.</w:t>
      </w:r>
    </w:p>
    <w:p>
      <w:pPr>
        <w:spacing w:after="0" w:line="49"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“Benchmark Replacement Adjustment” means the first alternative set forth in the order below that can be determined by the Calculation Agent, as of the Benchmark Replacement Date:</w:t>
      </w:r>
    </w:p>
    <w:p>
      <w:pPr>
        <w:spacing w:after="0" w:line="62" w:lineRule="exact"/>
        <w:rPr>
          <w:rFonts w:ascii="Arial" w:cs="Arial" w:eastAsia="Arial" w:hAnsi="Arial"/>
          <w:sz w:val="18"/>
          <w:szCs w:val="18"/>
          <w:color w:val="auto"/>
        </w:rPr>
      </w:pPr>
    </w:p>
    <w:p>
      <w:pPr>
        <w:jc w:val="both"/>
        <w:ind w:left="1360" w:right="319" w:hanging="348"/>
        <w:spacing w:after="0" w:line="286" w:lineRule="auto"/>
        <w:tabs>
          <w:tab w:leader="none" w:pos="13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57" w:lineRule="exact"/>
        <w:rPr>
          <w:rFonts w:ascii="Arial" w:cs="Arial" w:eastAsia="Arial" w:hAnsi="Arial"/>
          <w:sz w:val="17"/>
          <w:szCs w:val="17"/>
          <w:color w:val="auto"/>
        </w:rPr>
      </w:pPr>
    </w:p>
    <w:p>
      <w:pPr>
        <w:ind w:left="1360" w:right="319" w:hanging="348"/>
        <w:spacing w:after="0" w:line="27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applicable Unadjusted Benchmark Replacement is equivalent to the ISDA Fallback Rate, then the ISDA Fallback Adjustment;</w:t>
      </w:r>
    </w:p>
    <w:p>
      <w:pPr>
        <w:spacing w:after="0" w:line="62" w:lineRule="exact"/>
        <w:rPr>
          <w:rFonts w:ascii="Arial" w:cs="Arial" w:eastAsia="Arial" w:hAnsi="Arial"/>
          <w:sz w:val="18"/>
          <w:szCs w:val="18"/>
          <w:color w:val="auto"/>
        </w:rPr>
      </w:pPr>
    </w:p>
    <w:p>
      <w:pPr>
        <w:jc w:val="both"/>
        <w:ind w:left="1360" w:right="319" w:hanging="348"/>
        <w:spacing w:after="0" w:line="25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that has been selected by the Company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w:t>
      </w:r>
    </w:p>
    <w:p>
      <w:pPr>
        <w:spacing w:after="0" w:line="79"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“Benchmark Replacement Conforming Changes” means, with respect to any Benchmark Replacement, any technical, administrative or operational changes (including changes to the definition of “Floating Interest Period,” timing and frequency of determining rates with respect to each Floating Interest Period and making payments of interest, rounding of amounts or tenors and other administrative matters) that the Company decides may be appropriate to reflect the adoption of such Benchmark Replacement in a manner substantially consistent with market practice (or, if the Company decides that adoption of any portion of such market practice is not administratively feasible or if the Company determines that no market practice for use of the Benchmark Replacement exists, in such other manner as the Company determines is reasonably necessary).</w:t>
      </w:r>
    </w:p>
    <w:p>
      <w:pPr>
        <w:spacing w:after="0" w:line="72"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“Benchmark Replacement Date” means the earliest to occur of the following events with respect to the then-current Benchmark:</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case of clause (a) of the definition of “Benchmark Transition Event,” the relevant Reference Time in respect of any determination;</w:t>
      </w:r>
    </w:p>
    <w:p>
      <w:pPr>
        <w:spacing w:after="0" w:line="62"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case of clause (b) or (c) of the definition of “Benchmark Transition Event,” the later of (i) the date of the public statement or publication of information referenced therein and (ii) the date on which the administrator of the Benchmark permanently or indefinitely ceases to provide the Benchmark; or</w:t>
      </w:r>
    </w:p>
    <w:p>
      <w:pPr>
        <w:spacing w:after="0" w:line="78"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case of clause (d) of the definition of “Benchmark Transition Event,” the date of such public statement or publication of information referenced therein.</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w:t>
      </w:r>
    </w:p>
    <w:p>
      <w:pPr>
        <w:spacing w:after="0" w:line="41" w:lineRule="exact"/>
        <w:rPr>
          <w:sz w:val="20"/>
          <w:szCs w:val="20"/>
          <w:color w:val="auto"/>
        </w:rPr>
      </w:pPr>
    </w:p>
    <w:p>
      <w:pPr>
        <w:ind w:left="1000" w:right="29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“Benchmark Transition Event” means the occurrence of one or more of the following events with respect to the then-current Benchmark:</w:t>
      </w:r>
    </w:p>
    <w:p>
      <w:pPr>
        <w:spacing w:after="0" w:line="62" w:lineRule="exact"/>
        <w:rPr>
          <w:rFonts w:ascii="Arial" w:cs="Arial" w:eastAsia="Arial" w:hAnsi="Arial"/>
          <w:sz w:val="18"/>
          <w:szCs w:val="18"/>
          <w:color w:val="auto"/>
        </w:rPr>
      </w:pPr>
    </w:p>
    <w:p>
      <w:pPr>
        <w:jc w:val="both"/>
        <w:ind w:left="1360" w:right="319" w:hanging="348"/>
        <w:spacing w:after="0" w:line="255"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Benchmark is Three-Month Term SOFR, (i) the Relevant Governmental Body has not selected or recommended a forward-looking term rate for a tenor of three months based on SOFR, (ii) the development of a forward-looking term rate for a tenor of three months based on SOFR that has been recommended or selected by the Relevant Governmental Body is not complete or (iii) the Company determines that the use of a forward-looking rate for a tenor of three months based on SOFR is not administratively feasible;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60" w:right="319" w:hanging="348"/>
        <w:spacing w:after="0" w:line="259" w:lineRule="auto"/>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78" w:lineRule="exact"/>
        <w:rPr>
          <w:rFonts w:ascii="Arial" w:cs="Arial" w:eastAsia="Arial" w:hAnsi="Arial"/>
          <w:sz w:val="18"/>
          <w:szCs w:val="18"/>
          <w:color w:val="auto"/>
        </w:rPr>
      </w:pPr>
    </w:p>
    <w:p>
      <w:pPr>
        <w:jc w:val="both"/>
        <w:ind w:left="1360" w:right="319" w:hanging="348"/>
        <w:spacing w:after="0" w:line="271" w:lineRule="auto"/>
        <w:tabs>
          <w:tab w:leader="none" w:pos="13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70" w:lineRule="exact"/>
        <w:rPr>
          <w:rFonts w:ascii="Arial" w:cs="Arial" w:eastAsia="Arial" w:hAnsi="Arial"/>
          <w:sz w:val="17"/>
          <w:szCs w:val="17"/>
          <w:color w:val="auto"/>
        </w:rPr>
      </w:pPr>
    </w:p>
    <w:p>
      <w:pPr>
        <w:ind w:left="1360" w:right="319" w:hanging="348"/>
        <w:spacing w:after="0" w:line="277" w:lineRule="auto"/>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the Benchmark announcing that the Benchmark is no longer representative.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“Calculation Agent” means such bank or other entity (which may be the Company or an affiliate of the Company) as may be appointed by the Company to act as Calculation Agent for the Subordinated Notes during the Floating Interest Period.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“Compounded SOFR” means the compounded average of SOFRs for the applicable Corresponding Tenor, with the rate, or methodology for this rate, and conventions for this rate being established by the Company or its designee in accordance with:</w:t>
      </w:r>
    </w:p>
    <w:p>
      <w:pPr>
        <w:spacing w:after="0" w:line="75" w:lineRule="exact"/>
        <w:rPr>
          <w:rFonts w:ascii="Arial" w:cs="Arial" w:eastAsia="Arial" w:hAnsi="Arial"/>
          <w:sz w:val="18"/>
          <w:szCs w:val="18"/>
          <w:color w:val="auto"/>
        </w:rPr>
      </w:pPr>
    </w:p>
    <w:p>
      <w:pPr>
        <w:ind w:left="1360" w:right="319" w:hanging="348"/>
        <w:spacing w:after="0" w:line="308" w:lineRule="auto"/>
        <w:tabs>
          <w:tab w:leader="none" w:pos="13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rate, or methodology for this rate, and conventions for this rate selected or recommended by the Relevant Governmental Body for determining Compounded SOFR; provided that:</w:t>
      </w:r>
    </w:p>
    <w:p>
      <w:pPr>
        <w:spacing w:after="0" w:line="38" w:lineRule="exact"/>
        <w:rPr>
          <w:rFonts w:ascii="Arial" w:cs="Arial" w:eastAsia="Arial" w:hAnsi="Arial"/>
          <w:sz w:val="17"/>
          <w:szCs w:val="17"/>
          <w:color w:val="auto"/>
        </w:rPr>
      </w:pPr>
    </w:p>
    <w:p>
      <w:pPr>
        <w:jc w:val="both"/>
        <w:ind w:left="1360" w:right="319" w:hanging="348"/>
        <w:spacing w:after="0" w:line="257"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and to the extent that, the Company or its designee determines that Compounded SOFR cannot be determined in accordance with clause (a) above, then the rate, or methodology for this rate, and conventions for this rate that have been selected by the Company or its designee giving due consideration to any industry-accepted market practice for U.S. dollar denominated floating rate notes at such time.</w:t>
      </w:r>
    </w:p>
    <w:p>
      <w:pPr>
        <w:spacing w:after="0" w:line="8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For the avoidance of doubt, the calculation of Compounded SOFR will exclude the Benchmark Replacement Adjustment and the spread specified in the first paragraph of Section 2 of the notes.</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“Corresponding Tenor” with respect to a Benchmark Replacement means a tenor (including overnight) having approximately the same length (disregarding business day adjustment) as the applicable tenor for the then-current Benchmark.</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“FRBNY” means the Federal Reserve Bank of New York.</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“FRBNY’s Website” means the website of the FRBNY at http://www.newyorkfed.org, or any successor source.</w:t>
      </w:r>
    </w:p>
    <w:p>
      <w:pPr>
        <w:spacing w:after="0" w:line="62"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“Interpolated Benchmark”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 For the avoidance of doubt, the calculation of Interpolated Benchmark will exclude the Benchmark Replacement Adjustment and the spread specified in the first paragraph of Section 2 of the notes.</w:t>
      </w:r>
    </w:p>
    <w:p>
      <w:pPr>
        <w:spacing w:after="0" w:line="86"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“ISDA” means the International Swaps and Derivatives Association, Inc. or any successor thereto.</w:t>
      </w:r>
    </w:p>
    <w:p>
      <w:pPr>
        <w:spacing w:after="0" w:line="12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“ISDA Definitions” means the 2006 ISDA Definitions published by the ISDA or any successor thereto, as amended or supplemented from time to time, or any successor definitional booklet for interest rate derivatives published from time to time.</w:t>
      </w:r>
    </w:p>
    <w:p>
      <w:pPr>
        <w:spacing w:after="0" w:line="75"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75"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“Reference Time” with respect to any determination of a Benchmark means (1) if the Benchmark is Three-Month Term SOFR, the time determined by the Calculation Agent after giving effect to the Three-Month Term SOFR Conventions, and (2) if the Benchmark is not Three-Month Term SOFR, the time determined by the Calculation Agent after giving effect to the Benchmark Replacement Conforming Changes.</w:t>
      </w:r>
    </w:p>
    <w:p>
      <w:pPr>
        <w:spacing w:after="0" w:line="49"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“Relevant Governmental Body” means the Federal Reserve and/or the FRBNY, or a committee officially endorsed or convened by the Federal Reserve and/or the FRBNY or any successor thereto.</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“Unadjusted Benchmark Replacement” means the Benchmark Replacement excluding the Benchmark Replacement Adjustment.</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will make each interest payment to the holders of record of the notes at the close of business on the fifteenth calendar day prior to the applicable interest payment date. Principal of and interest on the notes will be payable, and the notes will be exchangeable and transferable, at the office or agency that we have designated and maintain for such purposes, which, initially, will be the corporate trust office of the trustee located at UMB Bank, National Association, 5555 San Felipe St., Suite 870, Houston, Texas 77056, Attention: Corporate Trust Officer; except that payment of interest may be made at our option by check mailed or to the person entitled thereto as shown on the security register or by wire transfer to an account appropriately designated by the person entitled thereto.</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obligation to make any payment on account of the principal of, or interest on, the notes will be subordinate and junior in right of payment to the prior payment in full of all of our senior indebtedness. As of September 30, 2020, the Company’s subsidiaries had, in the aggregate, outstanding debt and deposits of $3.1 billion, which would rank senior to the notes. In addition, as of September 30, 2020, South Plains Financial, Inc. had no indebtedness that would rank senior to the notes, $76.5 million that would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and $46.4 million that would rank subordinate to the notes. The notes and the indenture do not contain any limitation on the amount of senior indebtedness that we may incur in the future.</w:t>
      </w:r>
    </w:p>
    <w:p>
      <w:pPr>
        <w:spacing w:after="0" w:line="6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term “senior indebtedness” means the principal of, and premium, if any, and interest, including interest accruing after the commencement of any bankruptcy proceeding relating to us, on, or substantially similar payments we will make in respect of the following categories of debt, whether that debt was outstanding on the date of execution of the indenture or thereafter incurred, created or assumed:</w:t>
      </w:r>
    </w:p>
    <w:p>
      <w:pPr>
        <w:spacing w:after="0" w:line="63" w:lineRule="exact"/>
        <w:rPr>
          <w:sz w:val="20"/>
          <w:szCs w:val="20"/>
          <w:color w:val="auto"/>
        </w:rPr>
      </w:pPr>
    </w:p>
    <w:p>
      <w:pPr>
        <w:jc w:val="both"/>
        <w:ind w:left="1000" w:right="319" w:hanging="348"/>
        <w:spacing w:after="0" w:line="31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indebtedness for borrowed money, whether or not evidenced by notes, debentures, bonds, securities or other similar instruments issued under the provisions of any indenture, fiscal agency agreement, debenture or note purchase agreement or other agreement, including any senior debt securities that we may offer;</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indebtedness for money borrowed or represented by purchase money obligations, as defined below;</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 sale and leaseback transaction to which we are a party or otherwise;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reimbursement and other obligations relating to letters of credit, bankers’ acceptances and similar obligations;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obligations in respect of interest rate swap, cap or other agreements, interest rate future or option contracts, currency swap agreements, currency future or option contracts, commodity contracts and other similar arrangements;</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of our obligations issued or assumed as the deferred purchase price of property or services, but excluding trade accounts payable and accrued liabilities arising in the ordinary course of business;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obligation of ours to our general creditors;</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obligations of the types referred to in the bullets above of other persons for the payment as to which we are liable contingently or otherwise to pay or advance money as obligor, guarantor, endorser or otherwise;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obligations of the types referred to in the bullets above of other persons secured by a lien on any property or asset of ours;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deferrals, renewals or extensions of any of the indebtedness or obligations described in the bullets above.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“senior indebtedness” excludes:</w:t>
      </w:r>
    </w:p>
    <w:p>
      <w:pPr>
        <w:spacing w:after="0" w:line="117" w:lineRule="exact"/>
        <w:rPr>
          <w:sz w:val="20"/>
          <w:szCs w:val="20"/>
          <w:color w:val="auto"/>
        </w:rPr>
      </w:pPr>
    </w:p>
    <w:p>
      <w:pPr>
        <w:jc w:val="both"/>
        <w:ind w:left="1000" w:right="319" w:hanging="348"/>
        <w:spacing w:after="0" w:line="31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subordinated debentures or junior subordinated debentures of the Company underlying trust preferred securities issued by subsidiary trusts of the Company that were outstanding as of the date of the issuance of the Old Notes or that are issued after the date of such issuance by a subsidiary trust of the Company;</w:t>
      </w:r>
    </w:p>
    <w:p>
      <w:pPr>
        <w:spacing w:after="0" w:line="40"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subordinated notes of the Company issued in December 2018, and in each case any subordinated notes issued in exchange therefor or upon transfer thereof, in each case that were outstanding as of the date of the issuance of the Old Notes or that are issued in exchange for or upon transfer of such subordinated notes after the date of such issuance;</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indebtedness, obligation or liability referred to in the bullets above that is subordinated to indebtedness, obligations or liabilities of ours to substantially the same extent as or to a greater extent than the notes are subordinated;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notes and, unless expressly provided in the terms thereof, any of our indebtedness to our subsidiaries.</w:t>
      </w:r>
    </w:p>
    <w:p>
      <w:pPr>
        <w:spacing w:after="0" w:line="14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accordance with the subordination provisions of the indenture and the notes, we are permitted to make payments of accrued and unpaid interest on the notes on the interest payment dates and at maturity and to pay the principal of the notes at maturity unless:</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subject to any termination, winding up, liquidation or reorganization, whether in bankruptcy, insolvency, reorganization or receivership proceedings or upon an assignment for the benefit of our creditors or any other marshalling of our assets and liabilities; or</w:t>
      </w:r>
    </w:p>
    <w:p>
      <w:pPr>
        <w:spacing w:after="0" w:line="75"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Upon our termination, winding up, liquidation or reorganization, whether in bankruptcy, insolvency, reorganization or receivership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w:t>
      </w:r>
    </w:p>
    <w:p>
      <w:pPr>
        <w:spacing w:after="0" w:line="6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the event that we are subject to any termination, winding up, liquidation or reorganization, whether in bankruptcy, insolvency, reorganization or receivership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a result of the subordination of the notes in favor of the holders of our senior indebtedness, in the event of our bankruptcy or insolvency, holders of our senior indebtedness may receive more, ratably, and holders of the notes may receive less, ratably, than our other creditors.</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All liabilities of the Bank, including deposits and liabilities to general creditors arising during its ordinary course of business or otherwise, will be effectively senior in right of 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September 30, 2020, the Company’s subsidiaries had, in the aggregate, outstanding debt and deposits of $3.1 billion, which would rank senior to the notes.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may, at our option, redeem the notes, in whole or in part, beginning with the interest payment date of September 30, 2025 and on any interest payment date thereafter. In addition, at our option, we may redeem the notes in whole but not in part, at any time upon the occurrence of:</w:t>
      </w:r>
    </w:p>
    <w:p>
      <w:pPr>
        <w:spacing w:after="0" w:line="76" w:lineRule="exact"/>
        <w:rPr>
          <w:sz w:val="20"/>
          <w:szCs w:val="20"/>
          <w:color w:val="auto"/>
        </w:rPr>
      </w:pPr>
    </w:p>
    <w:p>
      <w:pPr>
        <w:jc w:val="both"/>
        <w:ind w:left="1000" w:right="299" w:hanging="348"/>
        <w:spacing w:after="0" w:line="296"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“Tier 2 Capital Event,” which is defined in the indenture to mean receipt by us of a written legal opinion from counsel experienced in such matters to the effect that, as a result of any change, event, occurrence, circumstance or effect occurring on or after the date hereof, there is more than an insubstantial risk that the notes do not constitute, or within 90 days of the date of such legal opinion will not constitute, Tier 2 Capital (or its then equivalent if the Company were subject to such capital requirement);</w:t>
      </w:r>
    </w:p>
    <w:p>
      <w:pPr>
        <w:spacing w:after="0" w:line="53" w:lineRule="exact"/>
        <w:rPr>
          <w:rFonts w:ascii="Arial" w:cs="Arial" w:eastAsia="Arial" w:hAnsi="Arial"/>
          <w:sz w:val="16"/>
          <w:szCs w:val="16"/>
          <w:color w:val="auto"/>
        </w:rPr>
      </w:pPr>
    </w:p>
    <w:p>
      <w:pPr>
        <w:jc w:val="both"/>
        <w:ind w:left="1000" w:right="319" w:hanging="348"/>
        <w:spacing w:after="0" w:line="275"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“Tax Event,” which is defined in the indenture to mean the receipt by us of a legal opinion from counsel experienced in such matters to the effect that, as a result of a change or a prospective change in law on or after the date hereof, there is more than an insubstantial risk that interest paid by the Company on the notes is not, or, within 90 days of the date of such legal opinion, will not be, deductible by the Company, in whole or in part, for United States federal income tax purposes; or</w:t>
      </w:r>
    </w:p>
    <w:p>
      <w:pPr>
        <w:spacing w:after="0" w:line="68" w:lineRule="exact"/>
        <w:rPr>
          <w:rFonts w:ascii="Arial" w:cs="Arial" w:eastAsia="Arial" w:hAnsi="Arial"/>
          <w:sz w:val="17"/>
          <w:szCs w:val="17"/>
          <w:color w:val="auto"/>
        </w:rPr>
      </w:pPr>
    </w:p>
    <w:p>
      <w:pPr>
        <w:jc w:val="both"/>
        <w:ind w:left="1000" w:right="299" w:hanging="348"/>
        <w:spacing w:after="0" w:line="30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“Investment Company Event,” which is defined in the indenture to mean receipt by us of a legal opinion from counsel experienced in such matters to the effect that there is more than an insubstantial risk that the Company is or, within 90 days of the date of such legal opinion will be, considered an “investment company” that is required to be registered under the Investment Company Act of 1940, as amended.</w:t>
      </w:r>
    </w:p>
    <w:p>
      <w:pPr>
        <w:spacing w:after="0" w:line="4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Any redemption of the New Notes will be subject to prior approval of the Federal Reserve, to the extent such approval is then required. Any redemption of the notes will be at a redemption price equal to the principal amount of the notes, or portion thereof, to be redeemed plus accrued and unpaid interest to, but excluding, the date of redemption. Any redemption of the notes will be subject to any required regulatory approvals.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less than all of the notes are to be redeemed, the notes will be redeemed on a pro rata basis.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Notices of redemption will be mailed by first class mail at least 30 but no more than 60 days before the redemption date to each holder of notes to be redeemed at its registered address. If any note is to be redeemed in part only, the notice of redemption that relates to that note will state the portion of the principal amount thereof to be 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Repurchases</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may purchase notes at any time on the open market or otherwise. If we purchase notes in this manner, we have the discretion to hold, resell or surrender the notes to the trustee under the indenture for cancellation.</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Sinking Fund; Non-Convertible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notes will not be entitled to the benefit of any sinking fund. This means that we will not deposit money on a regular basis into any separate custodial account to repay the notes. The notes are not convertible into, or exchangeable for, any of our equity securities.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 Denomination, Transfer, Exchange and Book-Entry Procedures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notes will be issued only in fully registered form, without interest coupons, and in denominations of $100,000 and integral multiples of $1,000.</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Unless otherwise required for institutional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institutional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w:t>
      </w:r>
    </w:p>
    <w:p>
      <w:pPr>
        <w:spacing w:after="0" w:line="7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global note will not be registered in the name of any person, or exchanged for notes that are registered in the name of any person, other than DTC or its nominee, unless one of the following occurs:</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acting as the depositary for the global note, or DTC has ceased to be a clearing agency registered under the Exchange Act, and in either case we fail to appoint a successor depositary; or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event of default with respect to the notes represented by the global note has occurred and is continuing.</w:t>
      </w:r>
    </w:p>
    <w:p>
      <w:pPr>
        <w:spacing w:after="0" w:line="14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DTC or its nominee will be considered the sole owner and holder of the global note for all purposes, and as a result:</w:t>
      </w:r>
    </w:p>
    <w:p>
      <w:pPr>
        <w:spacing w:after="0" w:line="62"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cannot get notes registered in your name if they are represented by the global note;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you cannot receive certificated (physical) notes in exchange for your beneficial interest in the global note;</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will not be considered to be the owner or holder of the global note or any note it represents for any purpose;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payments on the global note will be made to DTC or its nominee.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Cash payments of interest on and principal of the global note will be made to Cede, the nominee for DTC, as the registered owner of the global note. These payments will be made by wire transfer of immediately available funds on each payment date.</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w:t>
      </w:r>
    </w:p>
    <w:p>
      <w:pPr>
        <w:spacing w:after="0" w:line="7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5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6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6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DTC has advised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w:t>
      </w:r>
    </w:p>
    <w:p>
      <w:pPr>
        <w:spacing w:after="0" w:line="6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Indenture Covenants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payments with respect to our capital stock; and repayments, repurchases or redemptions of any debt securities that rank equal with or junior to the notes, in each case,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Right of Acceleration; Failure to Pay Principal or Interest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events of default under the indenture:</w:t>
      </w:r>
    </w:p>
    <w:p>
      <w:pPr>
        <w:spacing w:after="0" w:line="117" w:lineRule="exact"/>
        <w:rPr>
          <w:sz w:val="20"/>
          <w:szCs w:val="20"/>
          <w:color w:val="auto"/>
        </w:rPr>
      </w:pPr>
    </w:p>
    <w:p>
      <w:pPr>
        <w:jc w:val="both"/>
        <w:ind w:left="1000" w:right="319" w:hanging="348"/>
        <w:spacing w:after="0" w:line="286"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entry of a court decree or order for relief in respect of us in an involuntary case or proceeding under any applicable bankruptcy, insolvency, or reorganization law, now or hereafter in effect, and such decree or order will have continued unstayed and in effect for a period of 60 consecutive days;</w:t>
      </w:r>
    </w:p>
    <w:p>
      <w:pPr>
        <w:spacing w:after="0" w:line="57"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commencement by us of a voluntary case under any applicable bankruptcy, insolvency or reorganization law, now or hereafter in effect, or the consent by us to the entry of a decree or order for relief in an involuntary case or proceeding under any such law;</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make payment of any interest on the notes when due, which continues for 30 days;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make payment of any principal of the notes when due;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perform any other covenant or agreement of ours under the notes or the indenture, which continues for 60 days after written notice as provided for in the indenture; and</w:t>
      </w:r>
    </w:p>
    <w:p>
      <w:pPr>
        <w:spacing w:after="0" w:line="62" w:lineRule="exact"/>
        <w:rPr>
          <w:rFonts w:ascii="Arial" w:cs="Arial" w:eastAsia="Arial" w:hAnsi="Arial"/>
          <w:sz w:val="18"/>
          <w:szCs w:val="18"/>
          <w:color w:val="auto"/>
        </w:rPr>
      </w:pPr>
    </w:p>
    <w:p>
      <w:pPr>
        <w:jc w:val="both"/>
        <w:ind w:left="1000" w:right="319" w:hanging="348"/>
        <w:spacing w:after="0" w:line="291"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default under any of our other indebtedness having an aggregate principal amount of at least $25,000,000, whether such indebtedness now exists or is created or incurred in the future, which default</w:t>
      </w:r>
    </w:p>
    <w:p>
      <w:pPr>
        <w:jc w:val="both"/>
        <w:ind w:left="1000" w:right="299" w:firstLine="3"/>
        <w:spacing w:after="0" w:line="253" w:lineRule="auto"/>
        <w:tabs>
          <w:tab w:leader="none" w:pos="1233"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constitutes failure in payment of principal of such indebtedness when due after the expiration of any applicable grace period without such indebtedness having been discharged or (ii) results in such indebtedness becoming due or being declared due and payable prior to the date on which it otherwise would have become due or payable without such indebtedness having been discharged or such acceleration having been rescinded or annulled.</w:t>
      </w:r>
    </w:p>
    <w:p>
      <w:pPr>
        <w:spacing w:after="0" w:line="83"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If an event of default with respect to the notes occurs due to a bankruptcy event, the principal of the notes and all accrued and unpaid interest thereon, if any, will be immediately due and payable without any declaration or other act on the part of the trustee or any holder of the notes. If an event of default with respect to the notes occurs due to any reason other than a bankruptcy event, neither the trustee nor any holder may accelerate the maturity of the notes.</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indenture provides for the acceleration of the unpaid principal and interest on the notes only in limited circumstances related to our involuntary or voluntary bankruptcy under bankruptcy, insolvency or reorganization laws of the U.S. or any political subdivision thereof. Accordingly, if an event of default occurs and is continuing related to our bankruptcy, the principal amount of all notes, and accrued and unpaid interest, if any, will be due and payable immediately.</w:t>
      </w:r>
    </w:p>
    <w:p>
      <w:pPr>
        <w:spacing w:after="0" w:line="8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Under the indenture, if we fail to make any payment of interest on any note when such interest becomes due and payable and such default continues for a period of 30 days, or if we fail to make any payment of the principal of any note when such principal becomes due and payable, the trustee may, subject to certain limitations and conditions, seek to enforce its rights and the rights of the holders of notes to regularly scheduled payments of interest and of principal at the scheduled maturity of the notes. Any such rights to receive payment of such amounts under the notes remain subject to the subordination provisions of the notes as discussed above under “¬Subordination.” Neither the trustee nor the holders of the notes will have the right to accelerate the maturity of the notes in the case of our failure to pay the principal of, or interest on, the notes or our non-performance of any other covenant or warranty under the notes or the indenture.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Without the consent of any holder of notes, we and the trustee, at any time and from time to time, may enter into one or more indentures supplemental to the indenture for any of the following purposes:</w:t>
      </w:r>
    </w:p>
    <w:p>
      <w:pPr>
        <w:spacing w:after="0" w:line="62" w:lineRule="exact"/>
        <w:rPr>
          <w:sz w:val="20"/>
          <w:szCs w:val="20"/>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a successor to our organization, and the assumption by any such successor of our covenants contained in the indenture and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or to surrender any right or power conferred upon us with respect to the notes;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permit or facilitate the issuance of notes in uncertificated or global form, as long as any such action will not adversely affect the interests of the holders;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 and to add to or change any provisions of the indenture to provide for or facilitate the administration of the trusts hereunder by more than one trustee;</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in the indenture that may be defective or that may be inconsistent with any other provision in the indenture;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the indenture that will not adversely affect the interests of the holders of the notes;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include additional events of default;</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supplement any of the provisions of the indenture as necessary to permit or facilitate legal or covenant defeasance, or satisfaction and discharge of the notes, as long as any such action will not adversely affect the interests of any holder;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for the issuance of the New Notes in connection with this exchange offer;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conform any provision of the indenture to the requirements of the Trust Indenture Act;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legal rights under the indenture of any holder.</w:t>
      </w:r>
    </w:p>
    <w:p>
      <w:pPr>
        <w:spacing w:after="0" w:line="12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of the notes under the indenture, except that no such supplemental indenture will, without the consent of the holder of each outstanding note affected thereby:</w:t>
      </w:r>
    </w:p>
    <w:p>
      <w:pPr>
        <w:spacing w:after="0" w:line="68" w:lineRule="exact"/>
        <w:rPr>
          <w:sz w:val="20"/>
          <w:szCs w:val="20"/>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reduce the principal of or change the stated maturity of any note, change the date on which any note may be subject to redemption, or reduce the price at which any note subject to redemption may be redeemed;</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note payable in money other than dollars;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modify any provision of the indenture protecting the right of a holder to receive payment of principal of and interest on such note on or after the due date thereof or to bring suit to enforce payment;</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threshold of holders the consent of whom is required for any such supplemental indenture or required to waive certain defaults and covenants under the indenture; or</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 affected thereby.</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holders of not less than a majority in aggregate principal amount of the outstanding notes may on behalf of the holders of all notes waive any past default under the indenture and its consequences, except a default in any payment in respect of the principal of or interest on any note, or in respect of a covenant or provision of the indenture under which the indenture cannot be modified or amended without the consent of the holder of each outstanding note.</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and Discharge of the Indenture; Defeasance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terminate our obligations under the indenture when:</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either: (1) all notes that have been authenticated and delivered have been delivered to the trustee for cancellation, or (2) all notes that have not been delivered to the trustee for cancellation (i) have become due and payable or (ii) will become due and payable at their stated maturity within one year or are to be called</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for redemption within one year under arrangements satisfactory to the trustee for the giving of notice of redemption by the trustee, and in the case of the foregoing clause 2(i) or 2(ii), we have deposited or caused to be deposited with the trustee immediately available funds in an amount sufficient to pay and discharge the entire indebtedness on the outstanding notes;</w:t>
      </w:r>
    </w:p>
    <w:p>
      <w:pPr>
        <w:spacing w:after="0" w:line="79" w:lineRule="exact"/>
        <w:rPr>
          <w:sz w:val="20"/>
          <w:szCs w:val="20"/>
          <w:color w:val="auto"/>
        </w:rPr>
      </w:pPr>
    </w:p>
    <w:p>
      <w:pPr>
        <w:ind w:left="1000" w:right="3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by us under the indenture with respect to the notes; and</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under the indenture relating to the satisfaction and discharge of the indenture have been satisfied.</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w:t>
      </w:r>
    </w:p>
    <w:p>
      <w:pPr>
        <w:spacing w:after="0" w:line="57" w:lineRule="exact"/>
        <w:rPr>
          <w:sz w:val="20"/>
          <w:szCs w:val="20"/>
          <w:color w:val="auto"/>
        </w:rPr>
      </w:pPr>
    </w:p>
    <w:p>
      <w:pPr>
        <w:ind w:left="1000" w:right="29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of the holders of such notes to receive payments in respect of the principal of and interest on such notes when payments are due;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obligations with respect to such notes concerning registration of notes, mutilated, destroyed, lost or stolen notes and the maintenance of an office or agency for payment and money for payments on the notes to be held in trust;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exercise either legal defeasance or covenant defeasance with respect to outstanding notes:</w:t>
      </w:r>
    </w:p>
    <w:p>
      <w:pPr>
        <w:spacing w:after="0" w:line="129" w:lineRule="exact"/>
        <w:rPr>
          <w:sz w:val="20"/>
          <w:szCs w:val="20"/>
          <w:color w:val="auto"/>
        </w:rPr>
      </w:pPr>
    </w:p>
    <w:p>
      <w:pPr>
        <w:jc w:val="both"/>
        <w:ind w:left="1000" w:right="299" w:hanging="348"/>
        <w:spacing w:after="0" w:line="25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in trust for the purpose of making the following payments, specifically pledged as security for, and dedicated solely to the benefits of the holders of such notes, (1) an amount in dollars, (2) U.S. government obligations that through the scheduled payment of principal and interest in respect thereof in accordance with their terms will provide, not later than one day before the due date of any payment on the notes, money in an amount, or (3) a combination thereof, in each case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w:t>
      </w:r>
    </w:p>
    <w:p>
      <w:pPr>
        <w:spacing w:after="0" w:line="88" w:lineRule="exact"/>
        <w:rPr>
          <w:rFonts w:ascii="Arial" w:cs="Arial" w:eastAsia="Arial" w:hAnsi="Arial"/>
          <w:sz w:val="18"/>
          <w:szCs w:val="18"/>
          <w:color w:val="auto"/>
        </w:rPr>
      </w:pPr>
    </w:p>
    <w:p>
      <w:pPr>
        <w:jc w:val="both"/>
        <w:ind w:left="1000" w:right="299" w:hanging="348"/>
        <w:spacing w:after="0" w:line="291"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legal defeasance, we will have delivered to the trustee an opinion of counsel stating that we have received from, or there has been published by, the IRS a ruling or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 in the same manner and at the same times as would be the case if such legal defeasance had not occurred;</w:t>
      </w:r>
    </w:p>
    <w:p>
      <w:pPr>
        <w:spacing w:after="0" w:line="58" w:lineRule="exact"/>
        <w:rPr>
          <w:rFonts w:ascii="Arial" w:cs="Arial" w:eastAsia="Arial" w:hAnsi="Arial"/>
          <w:sz w:val="16"/>
          <w:szCs w:val="16"/>
          <w:color w:val="auto"/>
        </w:rPr>
      </w:pPr>
    </w:p>
    <w:p>
      <w:pPr>
        <w:jc w:val="both"/>
        <w:ind w:left="1000" w:right="299" w:hanging="348"/>
        <w:spacing w:after="0" w:line="275"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case of covenant defeasance, we will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the outstanding notes will have occurred and be continuing at the time of such deposit referred to in the first bullet point above (and in the case of legal defeasance will have occurred and be continuing at any time during the period ending on and including the 91st day after the date of such deposit);</w:t>
      </w:r>
    </w:p>
    <w:p>
      <w:pPr>
        <w:spacing w:after="0" w:line="79"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the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indenture or any other material agreement or material instrument to which we or our subsidiaries are a party or by which we or our subsidiaries are bound; and</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will have delivered to the trustee an officer’s certificate and an opinion of counsel, each stating that all conditions precedent with respect to such legal defeasance or covenant defeasance have been satisfied.</w:t>
      </w:r>
    </w:p>
    <w:p>
      <w:pPr>
        <w:spacing w:after="0" w:line="1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UMB Bank, National Association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w:t>
      </w:r>
    </w:p>
    <w:p>
      <w:pPr>
        <w:spacing w:after="0" w:line="7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Except during the continuance of an event of default under the indenture, the trustee will perform only such duties as are specifically set forth in the indenture. During the continuance of an event of default that has not been cured or waived, the trustee will exercise such of the rights and powers vested in it by the indenture, and use the same degree of care and skill in their exercise, as a prudent person would exercise or use under the circumstances.</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w:t>
      </w:r>
    </w:p>
    <w:p>
      <w:pPr>
        <w:spacing w:after="0" w:line="6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holders of a majority in principal amount of the outstanding notes will have the right to direct the time, method and place of conducting any proceeding for any remedy available to the trustee or exercising any trust or power conferred on the trustee,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satisfactory to the trustee against the losses, liabilities and expenses which might be incurred by it in compliance with such request or direction.</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Shareholders, Employees, Officers or Directors, or Exchange Agent</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No past, present or future director, officer, employee or shareholder of our company or any of our predecessors or successors, as such or in such capacity, nor the Exchange Agent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The notes and the indenture will be governed by and construed in accordance with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121" w:lineRule="exact"/>
        <w:rPr>
          <w:sz w:val="20"/>
          <w:szCs w:val="20"/>
          <w:color w:val="auto"/>
        </w:rPr>
      </w:pPr>
    </w:p>
    <w:p>
      <w:pPr>
        <w:jc w:val="both"/>
        <w:ind w:left="300" w:right="319" w:firstLine="360"/>
        <w:spacing w:after="0" w:line="253" w:lineRule="auto"/>
        <w:rPr>
          <w:sz w:val="20"/>
          <w:szCs w:val="20"/>
          <w:color w:val="auto"/>
        </w:rPr>
      </w:pPr>
      <w:r>
        <w:rPr>
          <w:rFonts w:ascii="Arial" w:cs="Arial" w:eastAsia="Arial" w:hAnsi="Arial"/>
          <w:sz w:val="18"/>
          <w:szCs w:val="18"/>
          <w:color w:val="auto"/>
        </w:rPr>
        <w:t>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IRS will not challenge one or more of the tax consequences described in this discussion, and we have not obtained, nor do we intend to obtain, a ruling from the IRS or an opinion of counsel with respect to the U.S. federal income tax consequences described herein.</w:t>
      </w:r>
    </w:p>
    <w:p>
      <w:pPr>
        <w:spacing w:after="0" w:line="8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tax treatment of a holder of notes may vary depending on the holder’s particular situation. This discussion is limited to the U.S. federal income tax consequences applicable to holders that purchased their Old Notes from us in the initial offering and at the initial offering price for cash and who held the Old Notes, and will hold the New Notes, as capital assets within the meaning of Section 1221 of the Code for U.S. federal income tax purposes. This discussion does not address all U.S. federal income tax considerations that may be applicable to holders’ particular circumstances or to holders that may be subject to special tax rules under U.S. federal income tax laws including, but not limited to, banks, insurance companies, or other financial institutions, regulated investment companies, real estate investment trusts, tax-exempt organizations, dealers or traders in securities, commodities or currencies, U.S. expatriates, controlled foreign corporations, passive foreign investment companies, holders subject to the alternative minimum tax, traders in securities that elect to use a mark-to-market method of accounting for their securities holdings, United States holders whose functional currency is not the United States dollar, persons that will hold the New Notes as a position in a hedging transaction, straddle, conversion transaction or other integrated transactions or risk reduction transaction, persons deemed to sell the New Notes under the constructive sale provisions of the Code, persons that will hold the New Notes in an individual retirement account, 401(k) plan or similar tax-favored account, or entities or arrangements classified as partnerships for U.S. federal income tax purposes or other pass-through entities, or investors in such entities. If a partnership or other pass-through entity holds Old Notes or New Notes, the U.S. federal income tax treatment of a partner in the partnership or owner of an equity interest in the pass-through entity will generally depend on the status of the partner or owner and the activities of the partnership or other pass-through entity. This discussion does not address the tax considerations arising under the laws of any foreign, state or local jurisdiction, or any non-income tax consequences of the exchange of Old Notes for New Notes.</w:t>
      </w:r>
    </w:p>
    <w:p>
      <w:pPr>
        <w:spacing w:after="0" w:line="29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This discussion of certain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w:t>
      </w:r>
    </w:p>
    <w:p>
      <w:pPr>
        <w:spacing w:after="0" w:line="8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Certain legal matters in connection with the offering of the New Notes made by this prospectus will be passed upon for us by Hunton Andrews Kurth LLP, Dallas, Texas.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consolidated financial statements of South Plains Financial, Inc. as of December 31, 2019 and 2018, and for each of the years in the two-year period ended December 31, 2019, incorporated in this Prospectus by reference from the South Plains Financial, Inc. Annual Report on Form 10-K for the fiscal year ended December 31, 2019, have been audited by Weaver and Tidwell, L.L.P., an independent registered public accounting firm, as stated in their report thereon incorporated herein by reference, and have been incorporated in this Prospectus and Registration Statement in reliance upon such reports and given on the authority of that firm as experts in accounting and auditing.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03504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603504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6035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2646680</wp:posOffset>
            </wp:positionV>
            <wp:extent cx="1097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1489710</wp:posOffset>
            </wp:positionV>
            <wp:extent cx="3437255" cy="5054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3437255" cy="505460"/>
                    </a:xfrm>
                    <a:prstGeom prst="rect">
                      <a:avLst/>
                    </a:prstGeom>
                    <a:noFill/>
                  </pic:spPr>
                </pic:pic>
              </a:graphicData>
            </a:graphic>
          </wp:anchor>
        </w:drawing>
      </w:r>
    </w:p>
    <w:p>
      <w:pPr>
        <w:sectPr>
          <w:pgSz w:w="11900" w:h="16838" w:orient="portrait"/>
          <w:cols w:equalWidth="0" w:num="1">
            <w:col w:w="9259"/>
          </w:cols>
          <w:pgMar w:left="12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40"/>
        <w:spacing w:after="0"/>
        <w:rPr>
          <w:sz w:val="20"/>
          <w:szCs w:val="20"/>
          <w:color w:val="auto"/>
        </w:rPr>
      </w:pPr>
      <w:r>
        <w:rPr>
          <w:rFonts w:ascii="Arial" w:cs="Arial" w:eastAsia="Arial" w:hAnsi="Arial"/>
          <w:sz w:val="25"/>
          <w:szCs w:val="25"/>
          <w:b w:val="1"/>
          <w:bCs w:val="1"/>
          <w:color w:val="auto"/>
        </w:rPr>
        <w:t>OFFER TO EXCHANGE</w:t>
      </w:r>
    </w:p>
    <w:p>
      <w:pPr>
        <w:spacing w:after="0" w:line="307"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$50,000,000 aggregate principal amount of</w:t>
      </w:r>
    </w:p>
    <w:p>
      <w:pPr>
        <w:spacing w:after="0" w:line="38" w:lineRule="exact"/>
        <w:rPr>
          <w:sz w:val="20"/>
          <w:szCs w:val="20"/>
          <w:color w:val="auto"/>
        </w:rPr>
      </w:pPr>
    </w:p>
    <w:p>
      <w:pPr>
        <w:jc w:val="center"/>
        <w:ind w:left="1500" w:right="1339"/>
        <w:spacing w:after="0" w:line="247" w:lineRule="auto"/>
        <w:rPr>
          <w:sz w:val="20"/>
          <w:szCs w:val="20"/>
          <w:color w:val="auto"/>
        </w:rPr>
      </w:pPr>
      <w:r>
        <w:rPr>
          <w:rFonts w:ascii="Arial" w:cs="Arial" w:eastAsia="Arial" w:hAnsi="Arial"/>
          <w:sz w:val="25"/>
          <w:szCs w:val="25"/>
          <w:b w:val="1"/>
          <w:bCs w:val="1"/>
          <w:color w:val="auto"/>
        </w:rPr>
        <w:t>4.50% Fixed-to-Floating Rate Subordinated Notes due 2030 that have been registered under the Securities Act of 1933 for any and all outstanding unregistered</w:t>
      </w:r>
    </w:p>
    <w:p>
      <w:pPr>
        <w:spacing w:after="0" w:line="3"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4.50% Fixed-to-Floating Rate Subordinated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650240</wp:posOffset>
            </wp:positionV>
            <wp:extent cx="1097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40"/>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208915</wp:posOffset>
            </wp:positionV>
            <wp:extent cx="10972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December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1665605</wp:posOffset>
            </wp:positionV>
            <wp:extent cx="60350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1717040</wp:posOffset>
            </wp:positionV>
            <wp:extent cx="603504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sectPr>
      <w:pgSz w:w="11900" w:h="16838" w:orient="portrait"/>
      <w:cols w:equalWidth="0" w:num="1">
        <w:col w:w="9259"/>
      </w:cols>
      <w:pgMar w:left="120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806"/>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806"/>
    </w:lvl>
  </w:abstractNum>
  <w:abstractNum w:abstractNumId="5">
    <w:nsid w:val="4353D0CD"/>
    <w:multiLevelType w:val="hybridMultilevel"/>
    <w:lvl w:ilvl="0">
      <w:lvlJc w:val="left"/>
      <w:lvlText w:val="(%1)"/>
      <w:numFmt w:val="lowerRoman"/>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4"/>
    </w:lvl>
    <w:lvl w:ilvl="1">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lvl w:ilvl="1">
      <w:lvlJc w:val="left"/>
      <w:lvlText w:val="(%2)"/>
      <w:numFmt w:val="lowerLetter"/>
      <w:start w:val="1"/>
    </w:lvl>
  </w:abstractNum>
  <w:abstractNum w:abstractNumId="22">
    <w:nsid w:val="614FD4A1"/>
    <w:multiLevelType w:val="hybridMultilevel"/>
    <w:lvl w:ilvl="0">
      <w:lvlJc w:val="left"/>
      <w:lvlText w:val="•"/>
      <w:numFmt w:val="bullet"/>
      <w:start w:val="1"/>
    </w:lvl>
    <w:lvl w:ilvl="1">
      <w:lvlJc w:val="left"/>
      <w:lvlText w:val="(%2)"/>
      <w:numFmt w:val="lowerLetter"/>
      <w:start w:val="3"/>
    </w:lvl>
  </w:abstractNum>
  <w:abstractNum w:abstractNumId="23">
    <w:nsid w:val="419AC241"/>
    <w:multiLevelType w:val="hybridMultilevel"/>
    <w:lvl w:ilvl="0">
      <w:lvlJc w:val="left"/>
      <w:lvlText w:val="•"/>
      <w:numFmt w:val="bullet"/>
      <w:start w:val="1"/>
    </w:lvl>
    <w:lvl w:ilvl="1">
      <w:lvlJc w:val="left"/>
      <w:lvlText w:val="(%2)"/>
      <w:numFmt w:val="lowerLetter"/>
      <w:start w:val="1"/>
    </w:lvl>
  </w:abstractNum>
  <w:abstractNum w:abstractNumId="24">
    <w:nsid w:val="5577F8E1"/>
    <w:multiLevelType w:val="hybridMultilevel"/>
    <w:lvl w:ilvl="0">
      <w:lvlJc w:val="left"/>
      <w:lvlText w:val="•"/>
      <w:numFmt w:val="bullet"/>
      <w:start w:val="1"/>
    </w:lvl>
    <w:lvl w:ilvl="1">
      <w:lvlJc w:val="left"/>
      <w:lvlText w:val="(%2)"/>
      <w:numFmt w:val="lowerLetter"/>
      <w:start w:val="1"/>
    </w:lvl>
  </w:abstractNum>
  <w:abstractNum w:abstractNumId="25">
    <w:nsid w:val="440BADFC"/>
    <w:multiLevelType w:val="hybridMultilevel"/>
    <w:lvl w:ilvl="0">
      <w:lvlJc w:val="left"/>
      <w:lvlText w:val="•"/>
      <w:numFmt w:val="bullet"/>
      <w:start w:val="1"/>
    </w:lvl>
    <w:lvl w:ilvl="1">
      <w:lvlJc w:val="left"/>
      <w:lvlText w:val="(%2)"/>
      <w:numFmt w:val="lowerLetter"/>
      <w:start w:val="2"/>
    </w:lvl>
  </w:abstractNum>
  <w:abstractNum w:abstractNumId="26">
    <w:nsid w:val="5072367"/>
    <w:multiLevelType w:val="hybridMultilevel"/>
    <w:lvl w:ilvl="0">
      <w:lvlJc w:val="left"/>
      <w:lvlText w:val="•"/>
      <w:numFmt w:val="bullet"/>
      <w:start w:val="1"/>
    </w:lvl>
    <w:lvl w:ilvl="1">
      <w:lvlJc w:val="left"/>
      <w:lvlText w:val="(%2)"/>
      <w:numFmt w:val="lowerLetter"/>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lvl w:ilvl="1">
      <w:lvlJc w:val="left"/>
      <w:lvlText w:val="(%2)"/>
      <w:numFmt w:val="lowerRoman"/>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jpe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16" Type="http://schemas.openxmlformats.org/officeDocument/2006/relationships/hyperlink" Target="https://www.sec.gov/Archives/edgar/data/1163668/000114036120006857/form10k.htm" TargetMode="External"/><Relationship Id="rId17" Type="http://schemas.openxmlformats.org/officeDocument/2006/relationships/hyperlink" Target="https://www.sec.gov/Archives/edgar/data/1163668/000114036120011557/form10q.htm" TargetMode="External"/><Relationship Id="rId18" Type="http://schemas.openxmlformats.org/officeDocument/2006/relationships/hyperlink" Target="https://www.sec.gov/Archives/edgar/data/1163668/000114036120018402/brhc10014344_10q.htm" TargetMode="External"/><Relationship Id="rId19" Type="http://schemas.openxmlformats.org/officeDocument/2006/relationships/hyperlink" Target="https://www.sec.gov/Archives/edgar/data/1163668/000114036120024737/brhc10016583_10q.htm" TargetMode="External"/><Relationship Id="rId20" Type="http://schemas.openxmlformats.org/officeDocument/2006/relationships/hyperlink" Target="https://www.sec.gov/Archives/edgar/data/1163668/000114036120000998/form8k.htm" TargetMode="External"/><Relationship Id="rId21" Type="http://schemas.openxmlformats.org/officeDocument/2006/relationships/hyperlink" Target="https://www.sec.gov/Archives/edgar/data/1163668/000114036120001611/form8ka.htm" TargetMode="External"/><Relationship Id="rId22" Type="http://schemas.openxmlformats.org/officeDocument/2006/relationships/hyperlink" Target="https://www.sec.gov/Archives/edgar/data/1163668/000114036120005820/form8k.htm" TargetMode="External"/><Relationship Id="rId23" Type="http://schemas.openxmlformats.org/officeDocument/2006/relationships/hyperlink" Target="https://www.sec.gov/Archives/edgar/data/1163668/000114036120009082/form8k.htm" TargetMode="External"/><Relationship Id="rId24" Type="http://schemas.openxmlformats.org/officeDocument/2006/relationships/hyperlink" Target="https://www.sec.gov/Archives/edgar/data/1163668/000114036120012176/form8k.htm" TargetMode="External"/><Relationship Id="rId25" Type="http://schemas.openxmlformats.org/officeDocument/2006/relationships/hyperlink" Target="https://www.sec.gov/Archives/edgar/data/1163668/000114036120016199/brhc10013525_8k.htm" TargetMode="External"/><Relationship Id="rId26" Type="http://schemas.openxmlformats.org/officeDocument/2006/relationships/hyperlink" Target="https://www.sec.gov/Archives/edgar/data/1163668/000114036120021876/brhc10015606_8k.htm" TargetMode="External"/><Relationship Id="rId27" Type="http://schemas.openxmlformats.org/officeDocument/2006/relationships/hyperlink" Target="https://www.sec.gov/Archives/edgar/data/1163668/000114036120023606/brhc10016147_8k.htm" TargetMode="External"/><Relationship Id="rId28" Type="http://schemas.openxmlformats.org/officeDocument/2006/relationships/hyperlink" Target="https://www.sec.gov/Archives/edgar/data/1163668/000114036120024275/brhc10016458_8k.htm" TargetMode="External"/><Relationship Id="rId29" Type="http://schemas.openxmlformats.org/officeDocument/2006/relationships/hyperlink" Target="https://www.sec.gov/Archives/edgar/data/1163668/000114036120007749/nc10010539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2020-12-01T15:52:44Z</dcterms:created>
  <dcterms:modified xsi:type="dcterms:W3CDTF">2020-12-01T15:52:44Z</dcterms:modified>
</cp:coreProperties>
</file>