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Date of Report (Date of earliest event reported): July 29, 2020</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South Plains Financial,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18" w:lineRule="exact"/>
        <w:rPr>
          <w:sz w:val="24"/>
          <w:szCs w:val="24"/>
          <w:color w:val="auto"/>
        </w:rPr>
      </w:pPr>
    </w:p>
    <w:p>
      <w:pPr>
        <w:ind w:left="1640"/>
        <w:spacing w:after="0"/>
        <w:rPr>
          <w:sz w:val="20"/>
          <w:szCs w:val="20"/>
          <w:color w:val="auto"/>
        </w:rPr>
      </w:pPr>
      <w:r>
        <w:rPr>
          <w:rFonts w:ascii="Arial" w:cs="Arial" w:eastAsia="Arial" w:hAnsi="Arial"/>
          <w:sz w:val="15"/>
          <w:szCs w:val="15"/>
          <w:b w:val="1"/>
          <w:bCs w:val="1"/>
          <w:color w:val="auto"/>
        </w:rPr>
        <w:t>Texas</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001-38895</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75-2453320</w:t>
      </w:r>
    </w:p>
    <w:p>
      <w:pPr>
        <w:spacing w:after="0" w:line="50" w:lineRule="exact"/>
        <w:rPr>
          <w:sz w:val="24"/>
          <w:szCs w:val="24"/>
          <w:color w:val="auto"/>
        </w:rPr>
      </w:pPr>
    </w:p>
    <w:p>
      <w:pPr>
        <w:sectPr>
          <w:pgSz w:w="11900" w:h="16838" w:orient="portrait"/>
          <w:cols w:equalWidth="0" w:num="3">
            <w:col w:w="4520" w:space="720"/>
            <w:col w:w="3000" w:space="720"/>
            <w:col w:w="2280"/>
          </w:cols>
          <w:pgMar w:left="320" w:top="535" w:right="33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535" w:right="339" w:bottom="1440" w:gutter="0" w:footer="0" w:header="0"/>
          <w:type w:val="continuous"/>
        </w:sectPr>
      </w:pPr>
    </w:p>
    <w:p>
      <w:pPr>
        <w:spacing w:after="0" w:line="57" w:lineRule="exact"/>
        <w:rPr>
          <w:sz w:val="24"/>
          <w:szCs w:val="24"/>
          <w:color w:val="auto"/>
        </w:rPr>
      </w:pPr>
    </w:p>
    <w:p>
      <w:pPr>
        <w:ind w:left="1180"/>
        <w:spacing w:after="0"/>
        <w:rPr>
          <w:sz w:val="20"/>
          <w:szCs w:val="20"/>
          <w:color w:val="auto"/>
        </w:rPr>
      </w:pPr>
      <w:r>
        <w:rPr>
          <w:rFonts w:ascii="Arial" w:cs="Arial" w:eastAsia="Arial" w:hAnsi="Arial"/>
          <w:sz w:val="16"/>
          <w:szCs w:val="16"/>
          <w:b w:val="1"/>
          <w:bCs w:val="1"/>
          <w:color w:val="auto"/>
        </w:rPr>
        <w:t>5219 City Bank Parkway Lubbock, Texas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79407</w:t>
      </w:r>
    </w:p>
    <w:p>
      <w:pPr>
        <w:spacing w:after="0" w:line="50" w:lineRule="exact"/>
        <w:rPr>
          <w:sz w:val="24"/>
          <w:szCs w:val="24"/>
          <w:color w:val="auto"/>
        </w:rPr>
      </w:pPr>
    </w:p>
    <w:p>
      <w:pPr>
        <w:sectPr>
          <w:pgSz w:w="11900" w:h="16838" w:orient="portrait"/>
          <w:cols w:equalWidth="0" w:num="2">
            <w:col w:w="7540" w:space="720"/>
            <w:col w:w="2980"/>
          </w:cols>
          <w:pgMar w:left="320" w:top="535" w:right="339" w:bottom="1440" w:gutter="0" w:footer="0" w:header="0"/>
          <w:type w:val="continuous"/>
        </w:sectPr>
      </w:pPr>
    </w:p>
    <w:p>
      <w:pPr>
        <w:ind w:lef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(806) 792-7101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15" w:lineRule="exact"/>
        <w:rPr>
          <w:sz w:val="24"/>
          <w:szCs w:val="24"/>
          <w:color w:val="auto"/>
        </w:rPr>
      </w:pPr>
    </w:p>
    <w:p>
      <w:pPr>
        <w:ind w:right="20"/>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4"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4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22" w:lineRule="exact"/>
        <w:rPr>
          <w:sz w:val="24"/>
          <w:szCs w:val="24"/>
          <w:color w:val="auto"/>
        </w:rPr>
      </w:pPr>
    </w:p>
    <w:p>
      <w:pPr>
        <w:ind w:right="380"/>
        <w:spacing w:after="0" w:line="32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5" w:lineRule="exact"/>
        <w:rPr>
          <w:sz w:val="24"/>
          <w:szCs w:val="24"/>
          <w:color w:val="auto"/>
        </w:rPr>
      </w:pPr>
    </w:p>
    <w:p>
      <w:pPr>
        <w:ind w:left="8640"/>
        <w:spacing w:after="0" w:line="219" w:lineRule="exact"/>
        <w:rPr>
          <w:sz w:val="20"/>
          <w:szCs w:val="20"/>
          <w:color w:val="auto"/>
        </w:rPr>
      </w:pPr>
      <w:r>
        <w:rPr>
          <w:rFonts w:ascii="Arial" w:cs="Arial" w:eastAsia="Arial" w:hAnsi="Arial"/>
          <w:sz w:val="19"/>
          <w:szCs w:val="19"/>
          <w:color w:val="auto"/>
        </w:rPr>
        <w:t xml:space="preserve">Emerging growth company </w:t>
      </w:r>
      <w:r>
        <w:rPr>
          <w:rFonts w:ascii="MS PGothic" w:cs="MS PGothic" w:eastAsia="MS PGothic" w:hAnsi="MS PGothic"/>
          <w:sz w:val="19"/>
          <w:szCs w:val="19"/>
          <w:color w:val="auto"/>
        </w:rPr>
        <w:t>☒</w:t>
      </w:r>
    </w:p>
    <w:p>
      <w:pPr>
        <w:spacing w:after="0" w:line="308" w:lineRule="exact"/>
        <w:rPr>
          <w:sz w:val="24"/>
          <w:szCs w:val="24"/>
          <w:color w:val="auto"/>
        </w:rPr>
      </w:pPr>
    </w:p>
    <w:p>
      <w:pPr>
        <w:ind w:right="14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On July 29, 2020, South Plains Financial, Inc. (the “Company”) issued a press release announcing its financial results for the second quarter ended June 30, 2020. A copy of the Company’s press release covering such announcement and certain other matters is furnished as Exhibit 99.1 to this Current Report on Form 8-K.</w:t>
      </w:r>
    </w:p>
    <w:p>
      <w:pPr>
        <w:spacing w:after="0" w:line="21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On July 29, 2020, officers of the Company will have a conference call with respect to the Company’s financial results for the second quarter ended June 30, 2020. An earnings release slide presentation highlighting the Company’s financial results for the second quarter ended June 30, 2020 is furnished as Exhibit 99.2 to this Current Report on Form 8-K. This earnings release slide presentation will also be available on the Company’s website, www.spfi.bank, under the “News &amp; Events” section.</w:t>
      </w:r>
    </w:p>
    <w:p>
      <w:pPr>
        <w:spacing w:after="0" w:line="17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In accordance with General Instruction B.2 of Form 8-K, the information in Item 2.02 and 7.01 of this Current Report on Form 8-K, including Exhibit 99.1 and Exhibit 99.2 herto, shall not be deemed “filed” for the purposes of Section 18 of the Securities Exchange Act of 1934, as amended, or otherwise subject to the liabilities of that section. The information in Item 2.02 and 7.01 of this Current Report on Form 8-K, including Exhibit 99.1 and Exhibit 99.2 hereto, shall not be incorporated by reference into any filing or other document pursuant to the Securities Act of 1933, as amended, except as shall be expressly set forth by specific reference in such filing or document.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660"/>
        <w:spacing w:after="0"/>
        <w:tabs>
          <w:tab w:leader="none" w:pos="128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Press release, dated July 29, 2020, announcing second quarter 2020 financial results of South Plains Financial, Inc.</w:t>
      </w:r>
    </w:p>
    <w:p>
      <w:pPr>
        <w:spacing w:after="0" w:line="252" w:lineRule="exact"/>
        <w:rPr>
          <w:sz w:val="20"/>
          <w:szCs w:val="20"/>
          <w:color w:val="auto"/>
        </w:rPr>
      </w:pPr>
    </w:p>
    <w:p>
      <w:pPr>
        <w:ind w:left="660"/>
        <w:spacing w:after="0"/>
        <w:tabs>
          <w:tab w:leader="none" w:pos="1280" w:val="left"/>
        </w:tabs>
        <w:rPr>
          <w:rFonts w:ascii="Arial" w:cs="Arial" w:eastAsia="Arial" w:hAnsi="Arial"/>
          <w:sz w:val="18"/>
          <w:szCs w:val="18"/>
          <w:color w:val="0000EE"/>
        </w:rPr>
      </w:pPr>
      <w:hyperlink w:anchor="page17">
        <w:r>
          <w:rPr>
            <w:rFonts w:ascii="Arial" w:cs="Arial" w:eastAsia="Arial" w:hAnsi="Arial"/>
            <w:sz w:val="18"/>
            <w:szCs w:val="18"/>
            <w:u w:val="single" w:color="auto"/>
            <w:color w:val="0000EE"/>
          </w:rPr>
          <w:t>99.2</w:t>
        </w:r>
      </w:hyperlink>
      <w:r>
        <w:rPr>
          <w:rFonts w:ascii="Arial" w:cs="Arial" w:eastAsia="Arial" w:hAnsi="Arial"/>
          <w:sz w:val="18"/>
          <w:szCs w:val="18"/>
          <w:color w:val="0000EE"/>
        </w:rPr>
        <w:tab/>
      </w:r>
      <w:r>
        <w:rPr>
          <w:rFonts w:ascii="Arial" w:cs="Arial" w:eastAsia="Arial" w:hAnsi="Arial"/>
          <w:sz w:val="16"/>
          <w:szCs w:val="16"/>
          <w:color w:val="0000EE"/>
        </w:rPr>
        <w:t>Earnings release slide presentation, dated July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July 29, 2020</w:t>
      </w:r>
      <w:r>
        <w:rPr>
          <w:sz w:val="20"/>
          <w:szCs w:val="20"/>
          <w:color w:val="auto"/>
        </w:rPr>
        <w:tab/>
      </w:r>
      <w:r>
        <w:rPr>
          <w:rFonts w:ascii="Arial" w:cs="Arial" w:eastAsia="Arial" w:hAnsi="Arial"/>
          <w:sz w:val="17"/>
          <w:szCs w:val="17"/>
          <w:color w:val="auto"/>
        </w:rPr>
        <w:t>By: /s/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187325</wp:posOffset>
            </wp:positionV>
            <wp:extent cx="3385820"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8582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South Plains Financial, Inc. Reports Second Quarter 2020 Financial Results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LUBBOCK, Texas, July 29, 2020 (GLOBE NEWSWIRE) – South Plains Financial, Inc. (NASDAQ:SPFI) (“South Plains” or the “Company”), the parent company of City Bank (“City Bank” or the “Bank”), today reported its financial results for the quarter ended June 30, 2020.</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2020 Highlights</w:t>
      </w:r>
    </w:p>
    <w:p>
      <w:pPr>
        <w:spacing w:after="0" w:line="246" w:lineRule="exact"/>
        <w:rPr>
          <w:sz w:val="20"/>
          <w:szCs w:val="20"/>
          <w:color w:val="auto"/>
        </w:rPr>
      </w:pPr>
    </w:p>
    <w:p>
      <w:pPr>
        <w:ind w:left="640" w:hanging="308"/>
        <w:spacing w:after="0" w:line="25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for the second quarter of 2020 was $5.6 million, compared to $7.1 million for the first quarter of 2020 and $6.1 million for the second quarter of 2019.</w:t>
      </w:r>
    </w:p>
    <w:p>
      <w:pPr>
        <w:spacing w:after="0" w:line="1" w:lineRule="exact"/>
        <w:rPr>
          <w:rFonts w:ascii="Arial" w:cs="Arial" w:eastAsia="Arial" w:hAnsi="Arial"/>
          <w:sz w:val="18"/>
          <w:szCs w:val="18"/>
          <w:color w:val="auto"/>
        </w:rPr>
      </w:pPr>
    </w:p>
    <w:p>
      <w:pPr>
        <w:ind w:left="640" w:hanging="308"/>
        <w:spacing w:after="0" w:line="25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for the second quarter of 2020 was $0.31, compared to $0.38 for the first quarter of 2020 and $0.37 for the second quarter of 2019.</w:t>
      </w:r>
    </w:p>
    <w:p>
      <w:pPr>
        <w:ind w:left="640" w:hanging="308"/>
        <w:spacing w:after="0" w:line="25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Pre-tax, pre-provision income (non-GAAP) for the second quarter of 2020 was $20.1 million, compared to $15.1 million for the first quarter of 2020 and $8.6 million for the second quarter of 2019.</w:t>
      </w:r>
    </w:p>
    <w:p>
      <w:pPr>
        <w:ind w:left="640" w:hanging="308"/>
        <w:spacing w:after="0" w:line="25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Average cost of deposits for the second quarter of 2020 decreased to 39 basis points, compared to 65 basis points for the first quarter of 2020 and 108 basis points for the second quarter of 2019.</w:t>
      </w:r>
    </w:p>
    <w:p>
      <w:pPr>
        <w:jc w:val="both"/>
        <w:ind w:left="640" w:hanging="308"/>
        <w:spacing w:after="0" w:line="25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provision for loan losses for the second quarter of 2020 was $13.1 million, compared to $6.2 million for the first quarter of 2020 and $875,000 for the second quarter of 2019. The increase in the provision during the second quarter of 2020 was primarily due to management’s expectations regarding the continued economic downturn related to the ongoing COVID-19 pandemic, the volatility in energy prices and reduced oil production in the State of Texas.</w:t>
      </w:r>
    </w:p>
    <w:p>
      <w:pPr>
        <w:spacing w:after="0" w:line="1" w:lineRule="exact"/>
        <w:rPr>
          <w:rFonts w:ascii="Arial" w:cs="Arial" w:eastAsia="Arial" w:hAnsi="Arial"/>
          <w:sz w:val="18"/>
          <w:szCs w:val="18"/>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Nonperforming assets to total assets were 0.33% at June 30, 2020, compared to 0.28% as of March 31, 2020 and 0.37% at June 30, 2019.</w:t>
      </w:r>
    </w:p>
    <w:p>
      <w:pPr>
        <w:spacing w:after="0" w:line="20" w:lineRule="exact"/>
        <w:rPr>
          <w:rFonts w:ascii="Arial" w:cs="Arial" w:eastAsia="Arial" w:hAnsi="Arial"/>
          <w:sz w:val="17"/>
          <w:szCs w:val="17"/>
          <w:color w:val="auto"/>
        </w:rPr>
      </w:pPr>
    </w:p>
    <w:p>
      <w:pPr>
        <w:ind w:left="640" w:hanging="308"/>
        <w:spacing w:after="0" w:line="25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adjusted (non-GAAP) efficiency ratio for the second quarter of 2020 was 63.28%, compared to 72.52% for the first quarter of 2020 and 77.46% for the second quarter of 2019.</w:t>
      </w:r>
    </w:p>
    <w:p>
      <w:pPr>
        <w:ind w:left="640" w:hanging="308"/>
        <w:spacing w:after="0" w:line="25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Return on average assets for the second quarter of 2020 was 0.64% annualized, compared to 0.89% annualized for the first quarter of 2020 and 0.89% annualized for the second quarter of 2019.</w:t>
      </w:r>
    </w:p>
    <w:p>
      <w:pPr>
        <w:ind w:left="660" w:right="380" w:hanging="328"/>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Book value per share was $18.64 as of June 30, 2020, compared to $18.10 per share as of March 31, 2020 and $16.19 per share as of June 30, 2019.</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Curtis Griffith, South Plains’ Chairman and Chief Executive Officer, commented, “I am very proud of our employees for their hard work and dedication to our customers and communities during this unprecedented time. They have kept the Bank’s operations running smoothly and maintained a high level of service and support for our customers. As the number of COVID-19 cases started to spike in Texas in June, we made the decision to close our branch lobbies once again to appointment-only service while keeping our drive-through windows in operation. Overall, we continue to operate very effectively through our drive-through windows and are successfully transitioning our customers to our digital banking platforms. Importantly, we have invested in the technology and developed the digital platforms and systems which have allowed us to effectively service our customers remotely throughout the ongoing COVID-19 pandemic. We will also remain disciplined on expenses and are adapting our branch network to more effectively meet customer traffic trends, which remain robust. As part of this, we closed our Springlake, Texas branch at the end of June and will continue to focus on doing more with less.”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Mr. Griffith continued, “While the economic backdrop was a headwind to our second quarter results, I am very pleased with our performance and the earnings growth that is building within the Bank. For the second quarter of 2020, we delivered pre-tax, pre-provision income of $20.1 million, which compares favorably to the $15.1 million achieved in the first quarter of 2020 and the $8.6 million in the year ago second quarter. We recorded a $13.1 million provision expense during the second quarter of 2020, driven largely by qualitative factors based upon what we are seeing in our local economies and the potential extended impact of the COVID-19 pandemic. We have taken a very proactive approach to this crisis with all of our borrowers, especially in our at-risk categories of the loan portfolio, including our borrowers in the hospitality and energy segments. We are encouraged with the flattening of our loan modifications at 19.9% of the total loan portfolio at June 30, 2020. We believe our aggressive provision this quarter reflects a conservative outlook at the end of the second quarter and we believe that we have the capital to absorb the losses in our loan portfolio that could result from an adverse stress environment. Looking forward, we feel well positioned to take advantage of opportunities that could be created in these difficult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COVID-19 Update</w:t>
      </w:r>
    </w:p>
    <w:p>
      <w:pPr>
        <w:spacing w:after="0" w:line="24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Company’s Oversight Committee for Business Continuity and Incident Response, which has monitored the spread of the coronavirus since January, continues to monitor the impact of the ongoing COVID-19 pandemic, as well as employee and customer communications. The Company’s Pandemic Task Force continues to implement South Plains’ Business Continuity Plan, focusing on the safety of the Company’s employees and customers while maintaining the operational and financial integrity of the Bank. Non-essential employees were transitioned to a work-from-home environment, strict protocols for employees deemed essential were adopted to ensure adequate social distancing and all Bank facilities are receiving incremental cleaning and sanitization. The Company restricted access to its bank lobbies and customers are currently served through appointments only, as well as through the Bank’s drive-through windows and recently upgraded digital platforms.</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Bank also continues to implement a rigorous enterprise risk management (“ERM”) system that delivers a systematic approach to risk measurement and enhances the effectiveness of risk management across the Bank. The Bank’s ERM system has allowed management to consistently and aggressively review the Bank’s loan portfolio for signs of potential issues during the ongoing COVID-19 pandemic and the Bank continues to closely monitoring its loans to borrowers in the retail, hospitality and energy sectors.</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While the duration of the COVID-19 pandemic and the scope of its impact on the economy is uncertain, the Bank continues to be proactive with its borrowers in those sectors most affected by the COVID-19 pandemic and offering loan modifications to borrowers who are or may be unable to meet their contractual payment obligations because of the effects of COVID-19. As previously disclosed, the Bank has assigned its Chairman, Chief Executive Officer, Chief Credit Officer and Chief Lending Officer to partner with the Bank’s lenders on those borrowers most impacted by the COVID-19 pandemic to ensure the Company remains proactive in addressing those credits with the appropriate oversight and modifications when warranted. As part of the Bank’s efforts to support its customers and protect the Bank, the Bank has offered varying forms of loan modifications ranging from 90-day payment deferrals to 6- to 12-month interest only terms to provide borrowers relief. As of June 30, 2020, total loan modifications attributed to COVID-19 were approximately $464 million, or 19.9%, of the Company’s loan portfolio. The modification breakdown is: 64% of modified loans are interest only with periods of up to 6 months, 15% of modified loans are 90 day payment deferrals on commercial customers, 10% of modified loans are interest only periods longer than 6 months, primarily in the Bank’s hotel portfolio, and 11% of modified loans are payment deferrals of one to four months on consumer loans.</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Bank has assisted its customers in accessing the Paycheck Protection Program (the “PPP”) administered by the Small Business Administration (the “SBA”) and created under the Coronavirus Aid, Relief, and Economic Security Act (the “CARES Act”). During the second quarter of 2020, the Bank originated approximately 2,050 PPP loans totaling $215 million. The Bank has utilized its lines of credit with the Federal Home Loan Bank of Dallas and/or the Federal Reserve Bank to supplement funding for origination of PPP loans as needed. Helping City Bank’s customers access PPP loans is just one way that the Bank has been helping its customers and communities during this challenging time. City Bank has also been a supporter of the South Plains and Permian Basin food banks and recently increased its financial support given the challenging economic environment for so many.</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Finally, as previously announced on April 16, 2020, the Company temporarily suspended its stock repurchase program in response to the ongoing COVID-19 pandemic. Suspending the stock repurchase program has allowed the Company to preserve capital and provide liquidity to meet the credit needs of the customers, small businesses and local communities served by the Company and City Bank. The Company believes that it remains strong and well-capitalized, and the Company may reinstate the stock repurchase program in the future.</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 Quarter Ended June 30, 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Interest Income</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Net interest income was $30.4 million for the second quarter of 2020, compared to $24.8 million for the second quarter of 2019 and $30.2 million for the first quarter of 2020.</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Interest income was $34.0 million for the second quarter of 2020, compared to $32.5 million for the second quarter of 2019 and $35.7 million for the first quarter of 2020. Interest and fees on loans increased by $1.3 million from the second quarter of 2019 due to growth of $429.1 million in average loans, primarily from the Company’s acquisition of West Texas State Bank (“WTSB”) as well as the PPP loans that were originated in the second quarter of 2020, partially offset by a decrease of 64 basis points in non-PPP loan rates due to the decline in the interest rate environment experienced in the first quarter of 2020. The decrease from the first quarter of 2020 was principally the result of a decrease of 50 basis points in non-PPP loan rates, partially offset by an increase of $208.7 million in average loans outstanding during the second quarter of 2020. The increase in average loans was largely attributable to the new PPP loans originated in the second quarter of 2020 as well as normal seasonal funding of the Bank’s agricultural production loans. The PPP loans yielded 2.53% during the second quarter of 2020, which includes accretion of the related SBA lenders fees for processing PPP loans during the quarter. As of June 30, 2020, the Company has received and deferred $7.7 million in PPP related SBA fees and is accreting these fees into interest income over the life of the applicable loans. If a PPP loan is forgiven or paid off before maturity, the remaining unamortized fee is accreted to income at that time. During the second quarter of 2020, the Company recognized $641,000 million in PPP related SBA fees. The Company expects that the majority of PPP loans will begin to be forgiven over the next several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65" w:gutter="0" w:footer="0" w:header="0"/>
        </w:sectPr>
      </w:pPr>
    </w:p>
    <w:bookmarkStart w:id="5" w:name="page6"/>
    <w:bookmarkEnd w:id="5"/>
    <w:p>
      <w:pPr>
        <w:jc w:val="both"/>
        <w:spacing w:after="0" w:line="272" w:lineRule="auto"/>
        <w:rPr>
          <w:sz w:val="20"/>
          <w:szCs w:val="20"/>
          <w:color w:val="auto"/>
        </w:rPr>
      </w:pPr>
      <w:r>
        <w:rPr>
          <w:rFonts w:ascii="Arial" w:cs="Arial" w:eastAsia="Arial" w:hAnsi="Arial"/>
          <w:sz w:val="19"/>
          <w:szCs w:val="19"/>
          <w:color w:val="auto"/>
        </w:rPr>
        <w:t>Interest expense was $3.6 million for the second quarter of 2020, compared to $7.7 million for the second quarter of 2019 and $5.5 million for the first quarter of 2020. The decrease from the second quarter of 2019 was primarily due to a decrease in the interest rate paid on interest-bearing liabilities of 94 basis points, partially offset by an increase of $281.7 million in average interest-bearing liabilities. The decrease from the first quarter of 2020 was primarily due to a decrease in the interest rate paid on interest-bearing liabilities of 42 basis points, partially offset by an increase of $127.9 million in average interest-bearing liabilities in the second quarter of 2020. The average cost of deposits was 39 basis points for the second quarter of 2020, representing a 69 basis point decrease from the second quarter of 2019 and a 26 basis point decrease from the first quarter of 2020. The increase in average interest-bearing liabilities in the second quarter of 2020 compared to the first quarter of 2020 was primarily due to increased deposits, from PPP loan funding and other government stimulus payments and programs as well as organic growth, and an additional $75.0 million in borrowings to augment liquidity in funding the PPP loans. The increase compared to the second quarter of 2019 was largely due to the Company’s acquisition of WTSB as well as the other deposit growth noted above. Additionally, the decrease in the rate paid on interest-bearing liabilities was the result of the decline in the overall rate environment experienced in the first quarter of 2020.</w:t>
      </w:r>
    </w:p>
    <w:p>
      <w:pPr>
        <w:spacing w:after="0" w:line="200" w:lineRule="exact"/>
        <w:rPr>
          <w:sz w:val="20"/>
          <w:szCs w:val="20"/>
          <w:color w:val="auto"/>
        </w:rPr>
      </w:pPr>
    </w:p>
    <w:p>
      <w:pPr>
        <w:spacing w:after="0" w:line="23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net interest margin was 3.79% for the second quarter of 2020, compared to 3.88% for the second quarter of 2019 and 4.13% for the first quarter of 2020. The origination of PPP loans accounted for an estimated 11 basis points of the decrease of net interest margin. An estimated additional 7 basis points of the decrease in net interest margin is attributable to a reduction in purchased loan income accretion.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Noninterest Income and Noninterest Expense</w:t>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Noninterest income was $24.9 million for the second quarter of 2020, compared to $13.7 million for the second quarter of 2019 and $18.9 million for the first quarter of 2020. The increase in noninterest income for the second quarter of 2020 compared to the second quarter of 2019 was primarily the result of an increase of $11.3 million in mortgage banking activities revenue due to an increase of $225.8 million in mortgage loan originations. Additionally, there was a decrease in service charges on deposits of $540,000 in the second quarter of 2020 from reduced customer spending and activity during the ongoing COVID-19 pandemic. The increase from the first quarter of 2020 was primarily the result of an increase of $9.2 million in mortgage banking activities revenue as a result of an increase of $152.6 million in mortgage loan originations, partially offset by a $2.3 million gain on sale of securities recorded in the first quarter of 2020. Additionally, there was a decrease in service charges on deposits of $544,000 in the second quarter of 2020.</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Noninterest expense was $35.2 million for the second quarter of 2020, compared to $29.9 million for the second quarter of 2019 and $34.0 million for the first quarter of 2020. This increase in noninterest expense for the second quarter of 2020 compared to the second quarter of 2019 was primarily driven by a $2.8 million increase in personnel expense. This increase was predominately related to an additional $2.6 million in commissions paid on the higher volume of mortgage loan originations and personnel in the Bank’s branches in the Permian Basin that were acquired in the fourth quarter of 2019 through the Company’s acquisition of WTSB, partially offset by a reduction in the Bank’s online mortgage platform personnel and other efficiency enhancements. There was also an increase in variable mortgage expenses, such as appraisal expenses, due to the increased mortgage production during the quarter. Other noninterest expenses also increased due to the acquisition of WTSB, including occupancy and other noninterest expenses for the branches acquired and core deposit intangible amortization expense. The increase from the first quarter of 2020 was primarily the result of an additional $2.2 million in commissions and higher other variable expenses as a result of increased mortgage production, partially offset by higher expenses in the first quarter of 2020 for data conversion expenses and computer equipment purchased in connection with upgrading the equipment at the acquired branches as well as at existing branches.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Loan Portfolio and Composition</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Loans held for investment were $2.33 billion as of June 30, 2020, compared to $2.11 billion as of March 31, 2020 and $1.94 billion as of June 30, 2019. The $222.9 million increase during the second quarter of 2020 as compared to the first quarter of 2020 was primarily the result of the Bank’s origination of $215.3 million in PPP loans and $34.7 million in seasonal funding on agricultural loans, partially offset by paydowns of $13.1 million in non-residential consumer loans and $11.3 million in direct energy loans. As of June 30, 2020, loans held for investment increased $396.1 million from June 30, 2019, largely attributable to the PPP loans and the WTSB acquisition in the fourth quarter of 2019.</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Agricultural production loans were $131.5 million as of June 30, 2020, compared to $96.8 million as of March 31, 2020 and $147.7 million as of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Deposits and Borrowings</w:t>
      </w:r>
    </w:p>
    <w:p>
      <w:pPr>
        <w:spacing w:after="0" w:line="24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Deposits totaled $2.95 billion as of June 30, 2020, compared to $2.67 billion as of March 31, 2020 and $2.28 billion as of June 30, 2019. Deposits increased $282.0 million in the second quarter of 2020, compared to the first quarter of 2020, primarily as a result of organic growth, customers depositing PPP loan proceeds, and other government stimulus payments and programs. As of June 30, 2020, deposits increased $666.0 million from June 30, 2019. The increase in deposits since June 30, 2019 is primarily a result of the increases noted above as well as the assumption of deposits from the WTSB acquisition in the fourth quarter of 2019.</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Noninterest-bearing deposits were $940.9 million as of June 30, 2020, compared to $740.9 million as of March 31, 2020 and $513.4 million as of June 30, 2019. Noninterest-bearing deposits represented 31.9%, 27.8%, and 22.5% of total deposits as of June 30, 2020, March 31, 2020, and June 30, 2019, respectively. The increases in noninterest-bearing deposit balances at June 30, 2020 compared to the other periods is the same as detailed above.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Asset Quality</w:t>
      </w:r>
    </w:p>
    <w:p>
      <w:pPr>
        <w:spacing w:after="0" w:line="239"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provision for loan losses recorded for the second quarter of 2020 was $13.1 million, compared to $875,000 for the second quarter of 2019 and $6.2 million for the first quarter of 2020. The increase in the provision for loan losses in the second quarter of 2020 compared to the second quarter of 2019 is a result of economic effects from COVID-19 as well as the decline in oil and gas prices that started in the first quarter of 2019. The increase in the provision for loan losses in the second quarter of 2020 compared to the first quarter of 2020 is a result of a further worsening of the economy and continued uncertainty from COVID-</w:t>
      </w:r>
    </w:p>
    <w:p>
      <w:pPr>
        <w:spacing w:after="0" w:line="4" w:lineRule="exact"/>
        <w:rPr>
          <w:sz w:val="20"/>
          <w:szCs w:val="20"/>
          <w:color w:val="auto"/>
        </w:rPr>
      </w:pPr>
    </w:p>
    <w:p>
      <w:pPr>
        <w:ind w:firstLine="8"/>
        <w:spacing w:after="0" w:line="236" w:lineRule="auto"/>
        <w:tabs>
          <w:tab w:leader="none" w:pos="35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full extent of the impact on the economy and the Bank’s customers is unknown at this time. Accordingly, additional provisions for loan losses may be necessary in future periods.</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allowance for loan losses to loans held for investment was 1.74% as of June 30, 2020, compared to 1.38% as of March 31, 2020 and 1.25% as of June 30, 2019. The allowance for loan losses to non-PPP loans held for investment was 1.91% as of June 30, 2020.</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nonperforming assets to total assets ratio as of June 30, 2020 was 0.33%, compared to 0.28% as of March 31, 2020 and 0.37% at June 30, 2019.</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Annualized net charge-offs were 0.27% for the second quarter of 2020, compared to 0.25% for the first quarter of 2020 and 0.02% for the second quarter of 2019.</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South Plains will host a conference call to discuss its second quarter 2020 financial results today, July 29, 2020 at 5:00 p.m., Eastern Time. Investors and analysts interested in participating in the call are invited to dial 1-877-407-9716 (international callers please dial 1-201-493-6779) approximately 10 minutes prior to the start of the call. A live audio webcast of the conference call and conference materials will be available on the Company’s website at </w:t>
      </w:r>
      <w:r>
        <w:rPr>
          <w:rFonts w:ascii="Arial" w:cs="Arial" w:eastAsia="Arial" w:hAnsi="Arial"/>
          <w:sz w:val="19"/>
          <w:szCs w:val="19"/>
          <w:u w:val="single" w:color="auto"/>
          <w:color w:val="auto"/>
        </w:rPr>
        <w:t>https://www.spfi.bank/news-events/events</w:t>
      </w:r>
      <w:r>
        <w:rPr>
          <w:rFonts w:ascii="Arial" w:cs="Arial" w:eastAsia="Arial" w:hAnsi="Arial"/>
          <w:sz w:val="19"/>
          <w:szCs w:val="19"/>
          <w:color w:val="auto"/>
        </w:rPr>
        <w: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A replay of the conference call will be available within two hours of the conclusion of the call and can be accessed on the investor section of the Company’s website as well as by dialing 1-844-512-2921 (international callers please dial 1-412-317-6671). The pin to access the telephone replay is 13706046. The replay will be available until August 12, 2020.</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South Plains Financial, Inc.</w:t>
      </w:r>
    </w:p>
    <w:p>
      <w:pPr>
        <w:spacing w:after="0" w:line="239"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and Eastern New Mexico markets. South Plains provides a wide range of commercial and consumer financial services to small and medium-sized businesses and individuals in its market areas. Its principal business activities include commercial and retail banking, along with insurance, investment, trust and mortgage services. Please visit </w:t>
      </w:r>
      <w:r>
        <w:rPr>
          <w:rFonts w:ascii="Arial" w:cs="Arial" w:eastAsia="Arial" w:hAnsi="Arial"/>
          <w:sz w:val="19"/>
          <w:szCs w:val="19"/>
          <w:u w:val="single" w:color="auto"/>
          <w:color w:val="auto"/>
        </w:rPr>
        <w:t>https://www.spfi.bank</w:t>
      </w:r>
      <w:r>
        <w:rPr>
          <w:rFonts w:ascii="Arial" w:cs="Arial" w:eastAsia="Arial" w:hAnsi="Arial"/>
          <w:sz w:val="19"/>
          <w:szCs w:val="19"/>
          <w:color w:val="auto"/>
        </w:rPr>
        <w:t xml:space="preserve"> for more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Some of the financial measures included in this press release are not measures of financial performance recognized in accordance with generally accepted accounting principles in the United States (“GAAP”). These non-GAAP financial measures include Tangible Book Value Per Common Share, Tangible Common Equity to Tangible Assets, Adjusted Efficiency Ratio, and Pre-Tax, Pre-Provision Income. The Company believes these non-GAAP financial measures provide both management and investors a more complete understanding of the Company’s financial position and performance. These non-GAAP financial measures are supplemental and are not a substitute for any analysis based on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023" w:gutter="0" w:footer="0" w:header="0"/>
        </w:sectPr>
      </w:pPr>
    </w:p>
    <w:bookmarkStart w:id="7" w:name="page8"/>
    <w:bookmarkEnd w:id="7"/>
    <w:p>
      <w:pPr>
        <w:jc w:val="both"/>
        <w:spacing w:after="0" w:line="235" w:lineRule="auto"/>
        <w:rPr>
          <w:sz w:val="20"/>
          <w:szCs w:val="20"/>
          <w:color w:val="auto"/>
        </w:rPr>
      </w:pPr>
      <w:r>
        <w:rPr>
          <w:rFonts w:ascii="Arial" w:cs="Arial" w:eastAsia="Arial" w:hAnsi="Arial"/>
          <w:sz w:val="22"/>
          <w:szCs w:val="22"/>
          <w:color w:val="auto"/>
        </w:rPr>
        <w:t>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United States in our statements of income, balance sheets or statements of cash flows. Not all companies use the same calculation of these measures; therefore, this presentation may not be comparable to other similarly titled measures as presented by other companies.</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A reconciliation of non-GAAP financial measures to GAAP financial measures is provided at the end of this press release.</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The Company routinely posts important information for investors on its web site (under </w:t>
      </w:r>
      <w:r>
        <w:rPr>
          <w:rFonts w:ascii="Arial" w:cs="Arial" w:eastAsia="Arial" w:hAnsi="Arial"/>
          <w:sz w:val="22"/>
          <w:szCs w:val="22"/>
          <w:u w:val="single" w:color="auto"/>
          <w:color w:val="auto"/>
        </w:rPr>
        <w:t>www.spfi.bank</w:t>
      </w:r>
      <w:r>
        <w:rPr>
          <w:rFonts w:ascii="Arial" w:cs="Arial" w:eastAsia="Arial" w:hAnsi="Arial"/>
          <w:sz w:val="22"/>
          <w:szCs w:val="22"/>
          <w:color w:val="auto"/>
        </w:rPr>
        <w:t xml:space="preserve"> and, more specifically, under the News &amp; Events tab at </w:t>
      </w:r>
      <w:r>
        <w:rPr>
          <w:rFonts w:ascii="Arial" w:cs="Arial" w:eastAsia="Arial" w:hAnsi="Arial"/>
          <w:sz w:val="22"/>
          <w:szCs w:val="22"/>
          <w:u w:val="single" w:color="auto"/>
          <w:color w:val="auto"/>
        </w:rPr>
        <w:t>www.spfi.bank/news-events/press-releases</w:t>
      </w:r>
      <w:r>
        <w:rPr>
          <w:rFonts w:ascii="Arial" w:cs="Arial" w:eastAsia="Arial" w:hAnsi="Arial"/>
          <w:sz w:val="22"/>
          <w:szCs w:val="22"/>
          <w:color w:val="auto"/>
        </w:rPr>
        <w:t>). The Company intends to use its web site as a means of disclosing material non-public information and for complying with its disclosure obligations under SEC Regulation FD (Fair Disclosure) promulgated by the U.S. Securities and Exchange Commission (the “SEC”). Accordingly, investors should monitor the Company’s web site, in addition to following the Company’s press releases, SEC filings, public conference calls, presentations and webcasts.</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information contained on, or that may be accessed through, the Company’s web site is not incorporated by reference into, and is not a part of, this document.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3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This press release contains forward-looking statements. These forward-looking statements reflect South Plains’ current views with respect to, among other things, the ongoing COVID-19 pandemic and other future events.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Factors that could cause such changes include, but are not limited to, general economic conditions, the extent of the impact of the COVID-19 pandemic on our customers, changes in interest rates, regulatory considerations, competition and market expansion opportunities, changes in non-interest expenditures or in the anticipated benefits of such expenditures, and changes in applicable laws and regulations. Additional information regarding these risks and uncertainties to which South Plains’ business and future financial performance are subject is contained in South Plains’ most recent Quarterly Report on Form 10-Q on file with the Securities and Exchange Comission (the “SEC”), and other documents South Plains files with the SEC from time to time. South Plains urges readers of this press release to review the “</w:t>
      </w:r>
      <w:r>
        <w:rPr>
          <w:rFonts w:ascii="Arial" w:cs="Arial" w:eastAsia="Arial" w:hAnsi="Arial"/>
          <w:sz w:val="19"/>
          <w:szCs w:val="19"/>
          <w:i w:val="1"/>
          <w:iCs w:val="1"/>
          <w:color w:val="auto"/>
        </w:rPr>
        <w:t>Risk Factors”</w:t>
      </w:r>
      <w:r>
        <w:rPr>
          <w:rFonts w:ascii="Arial" w:cs="Arial" w:eastAsia="Arial" w:hAnsi="Arial"/>
          <w:sz w:val="19"/>
          <w:szCs w:val="19"/>
          <w:color w:val="auto"/>
        </w:rPr>
        <w:t xml:space="preserve"> section of our most recent Annual Report on Form 10-K Quarterly Report on Form 10-Q, as well as the “</w:t>
      </w:r>
      <w:r>
        <w:rPr>
          <w:rFonts w:ascii="Arial" w:cs="Arial" w:eastAsia="Arial" w:hAnsi="Arial"/>
          <w:sz w:val="19"/>
          <w:szCs w:val="19"/>
          <w:i w:val="1"/>
          <w:iCs w:val="1"/>
          <w:color w:val="auto"/>
        </w:rPr>
        <w:t>Risk Factors</w:t>
      </w:r>
      <w:r>
        <w:rPr>
          <w:rFonts w:ascii="Arial" w:cs="Arial" w:eastAsia="Arial" w:hAnsi="Arial"/>
          <w:sz w:val="19"/>
          <w:szCs w:val="19"/>
          <w:color w:val="auto"/>
        </w:rPr>
        <w:t>” section of other documents South Plains files with the SEC from time to time.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law.</w:t>
      </w:r>
    </w:p>
    <w:p>
      <w:pPr>
        <w:spacing w:after="0" w:line="207"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Mikella Newsom, Chief Risk Officer and Secretary</w:t>
      </w:r>
    </w:p>
    <w:p>
      <w:pPr>
        <w:spacing w:after="0" w:line="23" w:lineRule="exact"/>
        <w:rPr>
          <w:sz w:val="20"/>
          <w:szCs w:val="20"/>
          <w:color w:val="auto"/>
        </w:rPr>
      </w:pPr>
    </w:p>
    <w:p>
      <w:pPr>
        <w:ind w:left="1480" w:right="8300" w:hanging="1"/>
        <w:spacing w:after="0" w:line="323" w:lineRule="auto"/>
        <w:tabs>
          <w:tab w:leader="none" w:pos="1915"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771-3347 </w:t>
      </w:r>
      <w:r>
        <w:rPr>
          <w:rFonts w:ascii="Arial" w:cs="Arial" w:eastAsia="Arial" w:hAnsi="Arial"/>
          <w:sz w:val="16"/>
          <w:szCs w:val="16"/>
          <w:u w:val="single" w:color="auto"/>
          <w:color w:val="auto"/>
        </w:rPr>
        <w:t>investors@city.bank</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South Plains Financial, Inc.</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Financial Highlights - (Unaudited)</w:t>
      </w:r>
    </w:p>
    <w:p>
      <w:pPr>
        <w:spacing w:after="0"/>
        <w:rPr>
          <w:sz w:val="20"/>
          <w:szCs w:val="20"/>
          <w:color w:val="auto"/>
        </w:rPr>
      </w:pPr>
      <w:r>
        <w:rPr>
          <w:rFonts w:ascii="Arial" w:cs="Arial" w:eastAsia="Arial" w:hAnsi="Arial"/>
          <w:sz w:val="22"/>
          <w:szCs w:val="22"/>
          <w:b w:val="1"/>
          <w:bCs w:val="1"/>
          <w:color w:val="auto"/>
        </w:rPr>
        <w:t>(Dollars in thousands, except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60" w:type="dxa"/>
            <w:vAlign w:val="bottom"/>
            <w:gridSpan w:val="5"/>
          </w:tcPr>
          <w:p>
            <w:pPr>
              <w:jc w:val="center"/>
              <w:ind w:right="250"/>
              <w:spacing w:after="0"/>
              <w:rPr>
                <w:sz w:val="20"/>
                <w:szCs w:val="20"/>
                <w:color w:val="auto"/>
              </w:rPr>
            </w:pPr>
            <w:r>
              <w:rPr>
                <w:rFonts w:ascii="Arial" w:cs="Arial" w:eastAsia="Arial" w:hAnsi="Arial"/>
                <w:sz w:val="18"/>
                <w:szCs w:val="18"/>
                <w:b w:val="1"/>
                <w:bCs w:val="1"/>
                <w:color w:val="auto"/>
                <w:w w:val="90"/>
              </w:rPr>
              <w:t>As of and for the quarter ended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w w:val="97"/>
              </w:rPr>
              <w:t>June 30,</w:t>
            </w:r>
          </w:p>
        </w:tc>
        <w:tc>
          <w:tcPr>
            <w:tcW w:w="180" w:type="dxa"/>
            <w:vAlign w:val="bottom"/>
          </w:tcPr>
          <w:p>
            <w:pPr>
              <w:spacing w:after="0"/>
              <w:rPr>
                <w:sz w:val="18"/>
                <w:szCs w:val="18"/>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March 31,</w:t>
            </w:r>
          </w:p>
        </w:tc>
        <w:tc>
          <w:tcPr>
            <w:tcW w:w="13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0"/>
              </w:rPr>
              <w:t>December 31,</w:t>
            </w: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June 30,</w:t>
            </w:r>
          </w:p>
        </w:tc>
      </w:tr>
      <w:tr>
        <w:trPr>
          <w:trHeight w:val="241"/>
        </w:trPr>
        <w:tc>
          <w:tcPr>
            <w:tcW w:w="4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2019</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b w:val="1"/>
                <w:bCs w:val="1"/>
                <w:color w:val="auto"/>
              </w:rPr>
              <w:t>Selected Income Statement Data:</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34,007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35,737</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34,764</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33,665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32,509</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3,559</w:t>
            </w:r>
          </w:p>
        </w:tc>
        <w:tc>
          <w:tcPr>
            <w:tcW w:w="1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5,538</w:t>
            </w:r>
          </w:p>
        </w:tc>
        <w:tc>
          <w:tcPr>
            <w:tcW w:w="2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6,140</w:t>
            </w:r>
          </w:p>
        </w:tc>
        <w:tc>
          <w:tcPr>
            <w:tcW w:w="24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7,097</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7,672</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30,448</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30,199</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28,624</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26,568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24,837</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6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13,133</w:t>
            </w:r>
          </w:p>
        </w:tc>
        <w:tc>
          <w:tcPr>
            <w:tcW w:w="1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6,234</w:t>
            </w:r>
          </w:p>
        </w:tc>
        <w:tc>
          <w:tcPr>
            <w:tcW w:w="2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896</w:t>
            </w:r>
          </w:p>
        </w:tc>
        <w:tc>
          <w:tcPr>
            <w:tcW w:w="24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420</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875</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24,896</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18,875</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16,740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14,115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13,703</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Noninterest expense</w:t>
            </w:r>
          </w:p>
        </w:tc>
        <w:tc>
          <w:tcPr>
            <w:tcW w:w="16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35,207</w:t>
            </w:r>
          </w:p>
        </w:tc>
        <w:tc>
          <w:tcPr>
            <w:tcW w:w="1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34,011</w:t>
            </w:r>
          </w:p>
        </w:tc>
        <w:tc>
          <w:tcPr>
            <w:tcW w:w="2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31,714</w:t>
            </w:r>
          </w:p>
        </w:tc>
        <w:tc>
          <w:tcPr>
            <w:tcW w:w="24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30,028</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29,930</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1,389</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1,746</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2,645</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1,977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1,655</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5,615</w:t>
            </w:r>
          </w:p>
        </w:tc>
        <w:tc>
          <w:tcPr>
            <w:tcW w:w="1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7,083</w:t>
            </w:r>
          </w:p>
        </w:tc>
        <w:tc>
          <w:tcPr>
            <w:tcW w:w="2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10,109</w:t>
            </w:r>
          </w:p>
        </w:tc>
        <w:tc>
          <w:tcPr>
            <w:tcW w:w="24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8,258</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6,080</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 (Common Stock):</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Net earnings, basic</w:t>
            </w:r>
          </w:p>
        </w:tc>
        <w:tc>
          <w:tcPr>
            <w:tcW w:w="16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0.31</w:t>
            </w:r>
          </w:p>
        </w:tc>
        <w:tc>
          <w:tcPr>
            <w:tcW w:w="1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0.39</w:t>
            </w:r>
          </w:p>
        </w:tc>
        <w:tc>
          <w:tcPr>
            <w:tcW w:w="2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0.56</w:t>
            </w:r>
          </w:p>
        </w:tc>
        <w:tc>
          <w:tcPr>
            <w:tcW w:w="24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0.46</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0.37</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earnings, diluted</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0.31</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0.38</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0.55</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0.37</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Cash dividends declared and paid</w:t>
            </w:r>
          </w:p>
        </w:tc>
        <w:tc>
          <w:tcPr>
            <w:tcW w:w="16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Book value</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18.64</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18.10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16.98</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16.61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16.19</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Tangible book value</w:t>
            </w:r>
          </w:p>
        </w:tc>
        <w:tc>
          <w:tcPr>
            <w:tcW w:w="16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17.06</w:t>
            </w:r>
          </w:p>
        </w:tc>
        <w:tc>
          <w:tcPr>
            <w:tcW w:w="1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16.54</w:t>
            </w:r>
          </w:p>
        </w:tc>
        <w:tc>
          <w:tcPr>
            <w:tcW w:w="2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15.46</w:t>
            </w:r>
          </w:p>
        </w:tc>
        <w:tc>
          <w:tcPr>
            <w:tcW w:w="24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16.47</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16.19</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18,061,705</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18,043,105</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7"/>
              </w:rPr>
              <w:t>18,010,065</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17,985,429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16,459,366</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Weighted average shares outstanding, dilutive</w:t>
            </w:r>
          </w:p>
        </w:tc>
        <w:tc>
          <w:tcPr>
            <w:tcW w:w="16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18,224,630</w:t>
            </w:r>
          </w:p>
        </w:tc>
        <w:tc>
          <w:tcPr>
            <w:tcW w:w="1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18,461,922</w:t>
            </w:r>
          </w:p>
        </w:tc>
        <w:tc>
          <w:tcPr>
            <w:tcW w:w="2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7"/>
              </w:rPr>
              <w:t>18,415,656</w:t>
            </w:r>
          </w:p>
        </w:tc>
        <w:tc>
          <w:tcPr>
            <w:tcW w:w="24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w w:val="99"/>
              </w:rPr>
              <w:t>18,363,033</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16,563,543</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18,059,174</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18,056,014</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7"/>
              </w:rPr>
              <w:t>18,036,115</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18,004,323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17,978,520</w:t>
            </w:r>
          </w:p>
        </w:tc>
      </w:tr>
      <w:tr>
        <w:trPr>
          <w:trHeight w:val="216"/>
        </w:trPr>
        <w:tc>
          <w:tcPr>
            <w:tcW w:w="4460" w:type="dxa"/>
            <w:vAlign w:val="bottom"/>
          </w:tcPr>
          <w:p>
            <w:pPr>
              <w:spacing w:after="0"/>
              <w:rPr>
                <w:sz w:val="20"/>
                <w:szCs w:val="20"/>
                <w:color w:val="auto"/>
              </w:rPr>
            </w:pPr>
            <w:r>
              <w:rPr>
                <w:rFonts w:ascii="Arial" w:cs="Arial" w:eastAsia="Arial" w:hAnsi="Arial"/>
                <w:sz w:val="18"/>
                <w:szCs w:val="18"/>
                <w:b w:val="1"/>
                <w:bCs w:val="1"/>
                <w:color w:val="auto"/>
              </w:rPr>
              <w:t>Selected Period End Balance Sheet Data:</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256,101</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136,062</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158,099</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244,645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408,116</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Investment securities</w:t>
            </w:r>
          </w:p>
        </w:tc>
        <w:tc>
          <w:tcPr>
            <w:tcW w:w="16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730,674</w:t>
            </w:r>
          </w:p>
        </w:tc>
        <w:tc>
          <w:tcPr>
            <w:tcW w:w="1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734,791</w:t>
            </w:r>
          </w:p>
        </w:tc>
        <w:tc>
          <w:tcPr>
            <w:tcW w:w="2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707,650</w:t>
            </w:r>
          </w:p>
        </w:tc>
        <w:tc>
          <w:tcPr>
            <w:tcW w:w="24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401,335</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263,564</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loans held for investment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2,331,716</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2,108,805</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2,143,623</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1,962,609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1,935,653</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6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40,635</w:t>
            </w:r>
          </w:p>
        </w:tc>
        <w:tc>
          <w:tcPr>
            <w:tcW w:w="1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29,074</w:t>
            </w:r>
          </w:p>
        </w:tc>
        <w:tc>
          <w:tcPr>
            <w:tcW w:w="2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24,197</w:t>
            </w:r>
          </w:p>
        </w:tc>
        <w:tc>
          <w:tcPr>
            <w:tcW w:w="24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24,176</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24,171</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3,584,532</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3,216,563</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3,237,167</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2,795,582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2,777,170</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16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2,006,984</w:t>
            </w:r>
          </w:p>
        </w:tc>
        <w:tc>
          <w:tcPr>
            <w:tcW w:w="1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1,924,902</w:t>
            </w:r>
          </w:p>
        </w:tc>
        <w:tc>
          <w:tcPr>
            <w:tcW w:w="2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1,905,936</w:t>
            </w:r>
          </w:p>
        </w:tc>
        <w:tc>
          <w:tcPr>
            <w:tcW w:w="24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1,729,741</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1,768,475</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940,853</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740,946</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790,921</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556,233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513,383</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Total deposits</w:t>
            </w:r>
          </w:p>
        </w:tc>
        <w:tc>
          <w:tcPr>
            <w:tcW w:w="16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2,947,837</w:t>
            </w:r>
          </w:p>
        </w:tc>
        <w:tc>
          <w:tcPr>
            <w:tcW w:w="1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2,665,848</w:t>
            </w:r>
          </w:p>
        </w:tc>
        <w:tc>
          <w:tcPr>
            <w:tcW w:w="2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2,696,857</w:t>
            </w:r>
          </w:p>
        </w:tc>
        <w:tc>
          <w:tcPr>
            <w:tcW w:w="24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2,285,974</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2,281,858</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252,430</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185,265</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205,030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177,720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176,675</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336,534</w:t>
            </w:r>
          </w:p>
        </w:tc>
        <w:tc>
          <w:tcPr>
            <w:tcW w:w="1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326,890</w:t>
            </w:r>
          </w:p>
        </w:tc>
        <w:tc>
          <w:tcPr>
            <w:tcW w:w="2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306,182</w:t>
            </w:r>
          </w:p>
        </w:tc>
        <w:tc>
          <w:tcPr>
            <w:tcW w:w="24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299,027</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291,113</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Performance Ratios: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Return on average assets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0.64%</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0.89%</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0.89%</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Return on average equity</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9.57%</w:t>
            </w:r>
          </w:p>
        </w:tc>
      </w:tr>
      <w:tr>
        <w:trPr>
          <w:trHeight w:val="216"/>
        </w:trPr>
        <w:tc>
          <w:tcPr>
            <w:tcW w:w="4460" w:type="dxa"/>
            <w:vAlign w:val="bottom"/>
          </w:tcPr>
          <w:p>
            <w:pPr>
              <w:spacing w:after="0" w:line="216" w:lineRule="exact"/>
              <w:rPr>
                <w:sz w:val="20"/>
                <w:szCs w:val="20"/>
                <w:color w:val="auto"/>
              </w:rPr>
            </w:pPr>
            <w:r>
              <w:rPr>
                <w:rFonts w:ascii="Arial" w:cs="Arial" w:eastAsia="Arial" w:hAnsi="Arial"/>
                <w:sz w:val="16"/>
                <w:szCs w:val="16"/>
                <w:color w:val="auto"/>
              </w:rPr>
              <w:t xml:space="preserve">Net interest margin </w:t>
            </w:r>
            <w:r>
              <w:rPr>
                <w:rFonts w:ascii="Arial" w:cs="Arial" w:eastAsia="Arial" w:hAnsi="Arial"/>
                <w:sz w:val="25"/>
                <w:szCs w:val="25"/>
                <w:color w:val="auto"/>
                <w:vertAlign w:val="superscript"/>
              </w:rPr>
              <w:t>(1)</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3.79%</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4.13%</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4.07%</w:t>
            </w: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3.88%</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Yield on loans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Cost of interest-bearing deposits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0.56%</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0.91%</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63.28%</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77.46%</w:t>
            </w:r>
          </w:p>
        </w:tc>
      </w:tr>
      <w:tr>
        <w:trPr>
          <w:trHeight w:val="216"/>
        </w:trPr>
        <w:tc>
          <w:tcPr>
            <w:tcW w:w="4460" w:type="dxa"/>
            <w:vAlign w:val="bottom"/>
          </w:tcPr>
          <w:p>
            <w:pPr>
              <w:spacing w:after="0"/>
              <w:rPr>
                <w:sz w:val="20"/>
                <w:szCs w:val="20"/>
                <w:color w:val="auto"/>
              </w:rPr>
            </w:pPr>
            <w:r>
              <w:rPr>
                <w:rFonts w:ascii="Arial" w:cs="Arial" w:eastAsia="Arial" w:hAnsi="Arial"/>
                <w:sz w:val="18"/>
                <w:szCs w:val="18"/>
                <w:b w:val="1"/>
                <w:bCs w:val="1"/>
                <w:color w:val="auto"/>
              </w:rPr>
              <w:t>Summary Credit Quality Data:</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10,472</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7,112</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6,045</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6,456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7,946</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Nonperforming loans to total loans held for investment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0.45%</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0.34%</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0.28%</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0.33%</w:t>
            </w: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0.41%</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1,335</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1,944</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1,883</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2,296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2,305</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Nonperforming assets to total assets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0.33%</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0.28%</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0.31%</w:t>
            </w: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0.37%</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95"/>
              </w:rPr>
              <w:t>Allowance for loan losses to total loans held for investment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w w:val="95"/>
              </w:rPr>
              <w:t>Net charge-offs to average loans outstanding (annualized)</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0.27%</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0.25%</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0.17%</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0.08%</w:t>
            </w:r>
          </w:p>
        </w:tc>
        <w:tc>
          <w:tcPr>
            <w:tcW w:w="2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r>
      <w:tr>
        <w:trPr>
          <w:trHeight w:val="411"/>
        </w:trPr>
        <w:tc>
          <w:tcPr>
            <w:tcW w:w="4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160" w:type="dxa"/>
            <w:vAlign w:val="bottom"/>
            <w:gridSpan w:val="3"/>
          </w:tcPr>
          <w:p>
            <w:pPr>
              <w:jc w:val="center"/>
              <w:ind w:right="230"/>
              <w:spacing w:after="0"/>
              <w:rPr>
                <w:sz w:val="20"/>
                <w:szCs w:val="20"/>
                <w:color w:val="auto"/>
              </w:rPr>
            </w:pPr>
            <w:r>
              <w:rPr>
                <w:rFonts w:ascii="Arial" w:cs="Arial" w:eastAsia="Arial" w:hAnsi="Arial"/>
                <w:sz w:val="18"/>
                <w:szCs w:val="18"/>
                <w:b w:val="1"/>
                <w:bCs w:val="1"/>
                <w:color w:val="auto"/>
                <w:w w:val="91"/>
              </w:rPr>
              <w:t>As of and for the quarter ended</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June 30,</w:t>
            </w: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December 31,</w:t>
            </w: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September 30,</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4480" w:type="dxa"/>
            <w:vAlign w:val="bottom"/>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b w:val="1"/>
                <w:bCs w:val="1"/>
                <w:color w:val="auto"/>
              </w:rPr>
              <w:t>Capital Ratios:</w:t>
            </w:r>
          </w:p>
        </w:tc>
        <w:tc>
          <w:tcPr>
            <w:tcW w:w="1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to total assets</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9.39%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10.70%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10.48%</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Tangible common equity to tangible assets</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8.66%</w:t>
            </w:r>
          </w:p>
        </w:tc>
        <w:tc>
          <w:tcPr>
            <w:tcW w:w="1320" w:type="dxa"/>
            <w:vAlign w:val="bottom"/>
          </w:tcPr>
          <w:p>
            <w:pPr>
              <w:jc w:val="right"/>
              <w:spacing w:after="0"/>
              <w:rPr>
                <w:sz w:val="20"/>
                <w:szCs w:val="20"/>
                <w:color w:val="auto"/>
              </w:rPr>
            </w:pPr>
            <w:r>
              <w:rPr>
                <w:rFonts w:ascii="Arial" w:cs="Arial" w:eastAsia="Arial" w:hAnsi="Arial"/>
                <w:sz w:val="18"/>
                <w:szCs w:val="18"/>
                <w:color w:val="auto"/>
              </w:rPr>
              <w:t>9.37%</w:t>
            </w:r>
          </w:p>
        </w:tc>
        <w:tc>
          <w:tcPr>
            <w:tcW w:w="1360" w:type="dxa"/>
            <w:vAlign w:val="bottom"/>
          </w:tcPr>
          <w:p>
            <w:pPr>
              <w:jc w:val="right"/>
              <w:spacing w:after="0"/>
              <w:rPr>
                <w:sz w:val="20"/>
                <w:szCs w:val="20"/>
                <w:color w:val="auto"/>
              </w:rPr>
            </w:pPr>
            <w:r>
              <w:rPr>
                <w:rFonts w:ascii="Arial" w:cs="Arial" w:eastAsia="Arial" w:hAnsi="Arial"/>
                <w:sz w:val="18"/>
                <w:szCs w:val="18"/>
                <w:color w:val="auto"/>
              </w:rPr>
              <w:t>8.69%</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10.62%</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10.48%</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Common equity tier 1 to risk-weighted assets</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10.51%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13.10%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13.31%</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9.60%</w:t>
            </w:r>
          </w:p>
        </w:tc>
        <w:tc>
          <w:tcPr>
            <w:tcW w:w="1320" w:type="dxa"/>
            <w:vAlign w:val="bottom"/>
          </w:tcPr>
          <w:p>
            <w:pPr>
              <w:jc w:val="right"/>
              <w:spacing w:after="0"/>
              <w:rPr>
                <w:sz w:val="20"/>
                <w:szCs w:val="20"/>
                <w:color w:val="auto"/>
              </w:rPr>
            </w:pPr>
            <w:r>
              <w:rPr>
                <w:rFonts w:ascii="Arial" w:cs="Arial" w:eastAsia="Arial" w:hAnsi="Arial"/>
                <w:sz w:val="18"/>
                <w:szCs w:val="18"/>
                <w:color w:val="auto"/>
              </w:rPr>
              <w:t>10.34%</w:t>
            </w:r>
          </w:p>
        </w:tc>
        <w:tc>
          <w:tcPr>
            <w:tcW w:w="1360" w:type="dxa"/>
            <w:vAlign w:val="bottom"/>
          </w:tcPr>
          <w:p>
            <w:pPr>
              <w:jc w:val="right"/>
              <w:spacing w:after="0"/>
              <w:rPr>
                <w:sz w:val="20"/>
                <w:szCs w:val="20"/>
                <w:color w:val="auto"/>
              </w:rPr>
            </w:pPr>
            <w:r>
              <w:rPr>
                <w:rFonts w:ascii="Arial" w:cs="Arial" w:eastAsia="Arial" w:hAnsi="Arial"/>
                <w:sz w:val="18"/>
                <w:szCs w:val="18"/>
                <w:color w:val="auto"/>
              </w:rPr>
              <w:t>10.74%</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12.17%</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12.10%</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14.36%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17.38%</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(1) Net interest margin is calculated as the annual net interest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South Plains Financial, Inc.</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Average Balances and Yields - (Unaudited)</w:t>
      </w:r>
    </w:p>
    <w:p>
      <w:pPr>
        <w:spacing w:after="0"/>
        <w:rPr>
          <w:sz w:val="20"/>
          <w:szCs w:val="20"/>
          <w:color w:val="auto"/>
        </w:rPr>
      </w:pPr>
      <w:r>
        <w:rPr>
          <w:rFonts w:ascii="Arial" w:cs="Arial" w:eastAsia="Arial" w:hAnsi="Arial"/>
          <w:sz w:val="22"/>
          <w:szCs w:val="22"/>
          <w:b w:val="1"/>
          <w:bCs w:val="1"/>
          <w:color w:val="auto"/>
        </w:rPr>
        <w:t>(Dollars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For the Three Months Ended</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w w:val="88"/>
              </w:rPr>
              <w:t>June 30, 2020</w:t>
            </w:r>
          </w:p>
        </w:tc>
        <w:tc>
          <w:tcPr>
            <w:tcW w:w="1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88"/>
              </w:rPr>
              <w:t>June 30, 2019</w:t>
            </w: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414"/>
        </w:trPr>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Interest</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Interest</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Average</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Income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Income</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Balance</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Expense</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Yield</w:t>
            </w:r>
          </w:p>
        </w:tc>
        <w:tc>
          <w:tcPr>
            <w:tcW w:w="18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Balance</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Expense</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Yield</w:t>
            </w: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Loans, excluding PPP </w:t>
            </w:r>
            <w:r>
              <w:rPr>
                <w:rFonts w:ascii="Arial" w:cs="Arial" w:eastAsia="Arial" w:hAnsi="Arial"/>
                <w:sz w:val="25"/>
                <w:szCs w:val="25"/>
                <w:color w:val="auto"/>
                <w:vertAlign w:val="superscript"/>
              </w:rPr>
              <w:t>(1)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2,204,441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28,825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1,946,602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28,635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Loans - PPP</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171,304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1,076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 taxable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547,971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248,915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Debt securities - nontaxable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160,142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1,192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31,387</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3.51%</w:t>
            </w: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interest-bearing assets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174,753</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0.29%</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348,106</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w:t>
            </w: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interest-earning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3,258,611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34,297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2,575,010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32,610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Noninterest-earning assets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249,571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174,944</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3,508,182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2,749,954</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10"/>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&amp; 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NOW, Savings, MMA’s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1,650,159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1,330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0.32%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1,449,169</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4,696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317,323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16,449</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0.15%</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11,085</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Notes payable &amp; other long-term</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161,099</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95,000</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Subordinated debt securities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26,472</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403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6.12%</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26,472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6.11%</w:t>
            </w: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Junior subordinated deferrable interest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7"/>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debentures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46,393</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46,393</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w:t>
            </w:r>
          </w:p>
        </w:tc>
      </w:tr>
      <w:tr>
        <w:trPr>
          <w:trHeight w:val="216"/>
        </w:trPr>
        <w:tc>
          <w:tcPr>
            <w:tcW w:w="3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interest-bearing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2,227,133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1,945,442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Demand deposits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901,761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516,783</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47,576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32,890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254,839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b w:val="1"/>
                <w:bCs w:val="1"/>
                <w:color w:val="auto"/>
              </w:rPr>
              <w:t>Total liabilities &amp; stockholders’ equity</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3,508,182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2,749,954</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3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30,738</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24,938</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210"/>
        </w:trPr>
        <w:tc>
          <w:tcPr>
            <w:tcW w:w="328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Net interest margin </w:t>
            </w:r>
            <w:r>
              <w:rPr>
                <w:rFonts w:ascii="Arial" w:cs="Arial" w:eastAsia="Arial" w:hAnsi="Arial"/>
                <w:sz w:val="24"/>
                <w:szCs w:val="24"/>
                <w:color w:val="auto"/>
                <w:vertAlign w:val="superscript"/>
              </w:rPr>
              <w:t>(2)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w:t>
            </w:r>
          </w:p>
        </w:tc>
      </w:tr>
    </w:tbl>
    <w:p>
      <w:pPr>
        <w:spacing w:after="0" w:line="229"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Average loan balances include nonaccrual loans and loans held for sale.</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Net interest margin is calculated as the annualized net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South Plains Financial, Inc.</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Average Balances and Yields - (Unaudited)</w:t>
      </w:r>
    </w:p>
    <w:p>
      <w:pPr>
        <w:spacing w:after="0"/>
        <w:rPr>
          <w:sz w:val="20"/>
          <w:szCs w:val="20"/>
          <w:color w:val="auto"/>
        </w:rPr>
      </w:pPr>
      <w:r>
        <w:rPr>
          <w:rFonts w:ascii="Arial" w:cs="Arial" w:eastAsia="Arial" w:hAnsi="Arial"/>
          <w:sz w:val="22"/>
          <w:szCs w:val="22"/>
          <w:b w:val="1"/>
          <w:bCs w:val="1"/>
          <w:color w:val="auto"/>
        </w:rPr>
        <w:t>(Dollars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8"/>
                <w:szCs w:val="18"/>
                <w:b w:val="1"/>
                <w:bCs w:val="1"/>
                <w:color w:val="auto"/>
              </w:rPr>
              <w:t>For the Six Months Ended</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w w:val="88"/>
              </w:rPr>
              <w:t>June 30, 2020</w:t>
            </w:r>
          </w:p>
        </w:tc>
        <w:tc>
          <w:tcPr>
            <w:tcW w:w="1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88"/>
              </w:rPr>
              <w:t>June 30, 2019</w:t>
            </w: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414"/>
        </w:trPr>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Interest</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Interest</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Average</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Income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5"/>
              </w:rPr>
              <w:t>Average</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Income</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Balance</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Expense</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Yield</w:t>
            </w:r>
          </w:p>
        </w:tc>
        <w:tc>
          <w:tcPr>
            <w:tcW w:w="18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Balance</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Expense</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Yield</w:t>
            </w: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Loans, excluding PPP </w:t>
            </w:r>
            <w:r>
              <w:rPr>
                <w:rFonts w:ascii="Arial" w:cs="Arial" w:eastAsia="Arial" w:hAnsi="Arial"/>
                <w:sz w:val="25"/>
                <w:szCs w:val="25"/>
                <w:color w:val="auto"/>
                <w:vertAlign w:val="superscript"/>
              </w:rPr>
              <w:t>(1)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2,185,728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59,879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1,951,193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56,776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Loans - PPP</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85,652</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1,076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 taxable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6,672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279,293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Debt securities - nontaxable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119,538</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1,694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31,780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561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3.56%</w:t>
            </w: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interest-bearing assets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162,944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295,858</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w:t>
            </w: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interest-earning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3,108,186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70,179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2,558,124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64,717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Noninterest-earning assets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250,114</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175,689</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3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3,358,300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2,733,813</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Liabilities &amp;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NOW, Savings, MMA’s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1,598,048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3,986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1,459,684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9,230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Time deposits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340,016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3,057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313,505</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2,798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23,597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16,904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Notes payable &amp; other long-term</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borrowings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128,654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453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0.71%</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95,000</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2.33%</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securities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26,472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w:t>
            </w: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Junior subordinated deferrable interest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7"/>
        </w:trPr>
        <w:tc>
          <w:tcPr>
            <w:tcW w:w="3280" w:type="dxa"/>
            <w:vAlign w:val="bottom"/>
          </w:tcPr>
          <w:p>
            <w:pPr>
              <w:ind w:left="180"/>
              <w:spacing w:after="0"/>
              <w:rPr>
                <w:sz w:val="20"/>
                <w:szCs w:val="20"/>
                <w:color w:val="auto"/>
              </w:rPr>
            </w:pPr>
            <w:r>
              <w:rPr>
                <w:rFonts w:ascii="Arial" w:cs="Arial" w:eastAsia="Arial" w:hAnsi="Arial"/>
                <w:sz w:val="18"/>
                <w:szCs w:val="18"/>
                <w:color w:val="auto"/>
              </w:rPr>
              <w:t>debentures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46,393</w:t>
            </w: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695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46,393</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1,025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4.46%</w:t>
            </w:r>
          </w:p>
        </w:tc>
      </w:tr>
      <w:tr>
        <w:trPr>
          <w:trHeight w:val="216"/>
        </w:trPr>
        <w:tc>
          <w:tcPr>
            <w:tcW w:w="3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Total interest-bearing liabilities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2,163,180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9,097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0.85%</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1,958,586</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15,130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833,699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508,951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37,364</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31,021</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324,057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235,255</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&amp; stockholders’ equity</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3,358,300</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2,733,813</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10"/>
        </w:trPr>
        <w:tc>
          <w:tcPr>
            <w:tcW w:w="3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gridSpan w:val="2"/>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5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61,082</w:t>
            </w:r>
          </w:p>
        </w:tc>
        <w:tc>
          <w:tcPr>
            <w:tcW w:w="1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49,587</w:t>
            </w: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384"/>
        </w:trPr>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9"/>
                <w:szCs w:val="29"/>
                <w:color w:val="auto"/>
                <w:vertAlign w:val="superscript"/>
              </w:rPr>
              <w:t>(2)</w:t>
            </w:r>
          </w:p>
        </w:tc>
        <w:tc>
          <w:tcPr>
            <w:tcW w:w="16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38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3.95%</w:t>
            </w:r>
          </w:p>
        </w:tc>
        <w:tc>
          <w:tcPr>
            <w:tcW w:w="18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3.91%</w:t>
            </w:r>
          </w:p>
        </w:tc>
      </w:tr>
    </w:tbl>
    <w:p>
      <w:pPr>
        <w:spacing w:after="0" w:line="5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 loan balances include nonaccrual loans and loans held for sale.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Net interest margin is calculated as the annualized net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South Plains Financial, Inc.</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As of</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8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7"/>
              </w:rPr>
              <w:t>June 30,</w:t>
            </w:r>
          </w:p>
        </w:tc>
        <w:tc>
          <w:tcPr>
            <w:tcW w:w="11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51,256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56,246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Interest-bearing deposits in banks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204,845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101,853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730,674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707,650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Loans held for sale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92,774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49,035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investment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2,331,716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2,143,623</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(40,635)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(24,197)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loans held for investment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2,291,081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2,119,426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61,883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61,873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18,757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8,632</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123,605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3,584,532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3,237,167</w:t>
            </w: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940,853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790,921</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2,006,984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1,905,936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2,947,837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2,696,857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borrowings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179,565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132,165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securities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26,472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Trust preferred subordinated debentures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46,393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46,393</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47,731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29,098</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3,247,998</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2,930,985</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18,059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18,036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140,492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158,311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146,696</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19,544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r>
      <w:tr>
        <w:trPr>
          <w:trHeight w:val="223"/>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336,534</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306,182</w:t>
            </w:r>
          </w:p>
        </w:tc>
        <w:tc>
          <w:tcPr>
            <w:tcW w:w="100" w:type="dxa"/>
            <w:vAlign w:val="bottom"/>
            <w:tcBorders>
              <w:top w:val="single" w:sz="8" w:color="CCEEFF"/>
            </w:tcBorders>
          </w:tcPr>
          <w:p>
            <w:pPr>
              <w:spacing w:after="0"/>
              <w:rPr>
                <w:sz w:val="19"/>
                <w:szCs w:val="19"/>
                <w:color w:val="auto"/>
              </w:rPr>
            </w:pP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3,584,532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3,237,167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9"/>
        </w:trPr>
        <w:tc>
          <w:tcPr>
            <w:tcW w:w="8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South Plains Financial, Inc.</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Income</w:t>
      </w:r>
    </w:p>
    <w:p>
      <w:pP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380" w:type="dxa"/>
            <w:vAlign w:val="bottom"/>
            <w:gridSpan w:val="5"/>
          </w:tcPr>
          <w:p>
            <w:pPr>
              <w:ind w:left="34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59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500"/>
              <w:spacing w:after="0" w:line="198" w:lineRule="exact"/>
              <w:rPr>
                <w:sz w:val="20"/>
                <w:szCs w:val="20"/>
                <w:color w:val="auto"/>
              </w:rPr>
            </w:pPr>
            <w:r>
              <w:rPr>
                <w:rFonts w:ascii="Arial" w:cs="Arial" w:eastAsia="Arial" w:hAnsi="Arial"/>
                <w:sz w:val="18"/>
                <w:szCs w:val="18"/>
                <w:b w:val="1"/>
                <w:bCs w:val="1"/>
                <w:color w:val="auto"/>
                <w:w w:val="97"/>
              </w:rPr>
              <w:t>June 30,</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w w:val="97"/>
              </w:rPr>
              <w:t>June 30,</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w w:val="97"/>
              </w:rPr>
              <w:t>June 30,</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Loans, including fees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29,861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28,592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60,876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56,690</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3,917</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8,868</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7,823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income</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34,007</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32,509</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69,744</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64,513</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Subordinated debt securities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403</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807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Trust preferred subordinated debentures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618</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552</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1,268</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7,672</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30,448</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24,837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60,647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49,383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Provision for loan losses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13,133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19,367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1,483</w:t>
            </w: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interest income after provision for loan losses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17,315</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23,962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41,280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47,900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income: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Service charges on deposits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1,979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3,422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3,884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from insurance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Mortgage banking activities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17,955</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6,652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26,708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11,518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Bank card services and interchange fees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4,081</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1,791</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4,560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3,335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Noninterest income</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24,896</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43,771</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25,778</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Noninterest expense: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21,621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18,784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42,431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37,909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occupancy expense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3,416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7,186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6,823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Marketing and development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806</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796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1,574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1,513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10,404</w:t>
            </w: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Total noninterest expense</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35,207</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29,930</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69,218</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59,966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7,004</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7,735</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13,712</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1,655</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3,135</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2,859</w:t>
            </w: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9"/>
        </w:trPr>
        <w:tc>
          <w:tcPr>
            <w:tcW w:w="5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South Plains Financial, Inc.</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Loan Composition</w:t>
      </w:r>
    </w:p>
    <w:p>
      <w:pP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As of</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8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7"/>
              </w:rPr>
              <w:t>June 30,</w:t>
            </w:r>
          </w:p>
        </w:tc>
        <w:tc>
          <w:tcPr>
            <w:tcW w:w="11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Loans: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648,888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658,195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325,942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309,505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441,398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362,796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202,263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215,209</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74,000</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Construction</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96,638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82,520</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loans held for investment</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2,331,716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2,143,623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South Plains Financial,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Deposit Composition</w:t>
      </w:r>
    </w:p>
    <w:p>
      <w:pP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As of</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8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June 30,</w:t>
            </w:r>
          </w:p>
        </w:tc>
        <w:tc>
          <w:tcPr>
            <w:tcW w:w="11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Deposits: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demand deposits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940,853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790,921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NOW &amp; other transaction accounts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344,485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318,379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MMDA &amp; other savings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1,340,004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1,231,534</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Time deposits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322,495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356,023</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deposits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2,947,837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2,696,857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9"/>
        </w:trPr>
        <w:tc>
          <w:tcPr>
            <w:tcW w:w="8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South Plains Financial, Inc.</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Reconciliation of Non-GAAP Financial Measures</w:t>
      </w:r>
    </w:p>
    <w:p>
      <w:pP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60" w:type="dxa"/>
            <w:vAlign w:val="bottom"/>
            <w:gridSpan w:val="5"/>
          </w:tcPr>
          <w:p>
            <w:pPr>
              <w:jc w:val="center"/>
              <w:ind w:right="230"/>
              <w:spacing w:after="0"/>
              <w:rPr>
                <w:sz w:val="20"/>
                <w:szCs w:val="20"/>
                <w:color w:val="auto"/>
              </w:rPr>
            </w:pPr>
            <w:r>
              <w:rPr>
                <w:rFonts w:ascii="Arial" w:cs="Arial" w:eastAsia="Arial" w:hAnsi="Arial"/>
                <w:sz w:val="18"/>
                <w:szCs w:val="18"/>
                <w:b w:val="1"/>
                <w:bCs w:val="1"/>
                <w:color w:val="auto"/>
                <w:w w:val="91"/>
              </w:rPr>
              <w:t>As of and for the quarter ended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June 30,</w:t>
            </w:r>
          </w:p>
        </w:tc>
        <w:tc>
          <w:tcPr>
            <w:tcW w:w="180" w:type="dxa"/>
            <w:vAlign w:val="bottom"/>
          </w:tcPr>
          <w:p>
            <w:pPr>
              <w:spacing w:after="0"/>
              <w:rPr>
                <w:sz w:val="18"/>
                <w:szCs w:val="18"/>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March 31,</w:t>
            </w:r>
          </w:p>
        </w:tc>
        <w:tc>
          <w:tcPr>
            <w:tcW w:w="13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0"/>
              </w:rPr>
              <w:t>December 31,</w:t>
            </w: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June 30,</w:t>
            </w:r>
          </w:p>
        </w:tc>
      </w:tr>
      <w:tr>
        <w:trPr>
          <w:trHeight w:val="241"/>
        </w:trPr>
        <w:tc>
          <w:tcPr>
            <w:tcW w:w="3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2019</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b w:val="1"/>
                <w:bCs w:val="1"/>
                <w:color w:val="auto"/>
              </w:rPr>
              <w:t>Efficiency Ratio</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35,207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34,011</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31,714</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30,028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29,930</w:t>
            </w:r>
          </w:p>
        </w:tc>
        <w:tc>
          <w:tcPr>
            <w:tcW w:w="16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30,448</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30,199</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28,624</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26,568</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24,837</w:t>
            </w:r>
          </w:p>
        </w:tc>
        <w:tc>
          <w:tcPr>
            <w:tcW w:w="16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Tax equivalent yield adjustment</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290</w:t>
            </w:r>
          </w:p>
        </w:tc>
        <w:tc>
          <w:tcPr>
            <w:tcW w:w="1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r>
      <w:tr>
        <w:trPr>
          <w:trHeight w:val="223"/>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9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24,896</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18,875</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16,740</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14,115</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13,703</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Total income</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55,634</w:t>
            </w:r>
          </w:p>
        </w:tc>
        <w:tc>
          <w:tcPr>
            <w:tcW w:w="1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49,219</w:t>
            </w:r>
          </w:p>
        </w:tc>
        <w:tc>
          <w:tcPr>
            <w:tcW w:w="2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45,497</w:t>
            </w:r>
          </w:p>
        </w:tc>
        <w:tc>
          <w:tcPr>
            <w:tcW w:w="2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40,786</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38,641</w:t>
            </w:r>
          </w:p>
        </w:tc>
        <w:tc>
          <w:tcPr>
            <w:tcW w:w="16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Efficiency ratio</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63.28%</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69.10%</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69.71%</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73.62%</w:t>
            </w: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77.46%</w:t>
            </w:r>
          </w:p>
        </w:tc>
      </w:tr>
      <w:tr>
        <w:trPr>
          <w:trHeight w:val="21"/>
        </w:trPr>
        <w:tc>
          <w:tcPr>
            <w:tcW w:w="3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3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Noninterest expense</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35,207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34,011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31,714</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30,028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29,930</w:t>
            </w:r>
          </w:p>
        </w:tc>
        <w:tc>
          <w:tcPr>
            <w:tcW w:w="160" w:type="dxa"/>
            <w:vAlign w:val="bottom"/>
          </w:tcPr>
          <w:p>
            <w:pPr>
              <w:spacing w:after="0"/>
              <w:rPr>
                <w:sz w:val="18"/>
                <w:szCs w:val="18"/>
                <w:color w:val="auto"/>
              </w:rPr>
            </w:pPr>
          </w:p>
        </w:tc>
      </w:tr>
      <w:tr>
        <w:trPr>
          <w:trHeight w:val="223"/>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net loss on sale of securities</w:t>
            </w:r>
          </w:p>
        </w:tc>
        <w:tc>
          <w:tcPr>
            <w:tcW w:w="9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Adjusted noninterest expense</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35,207</w:t>
            </w:r>
          </w:p>
        </w:tc>
        <w:tc>
          <w:tcPr>
            <w:tcW w:w="1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34,011</w:t>
            </w:r>
          </w:p>
        </w:tc>
        <w:tc>
          <w:tcPr>
            <w:tcW w:w="2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31,687</w:t>
            </w:r>
          </w:p>
        </w:tc>
        <w:tc>
          <w:tcPr>
            <w:tcW w:w="2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30,028</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29,930</w:t>
            </w:r>
          </w:p>
        </w:tc>
        <w:tc>
          <w:tcPr>
            <w:tcW w:w="16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Total income</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55,634</w:t>
            </w:r>
          </w:p>
        </w:tc>
        <w:tc>
          <w:tcPr>
            <w:tcW w:w="1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49,219</w:t>
            </w:r>
          </w:p>
        </w:tc>
        <w:tc>
          <w:tcPr>
            <w:tcW w:w="2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45,497</w:t>
            </w:r>
          </w:p>
        </w:tc>
        <w:tc>
          <w:tcPr>
            <w:tcW w:w="2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40,786</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38,641</w:t>
            </w:r>
          </w:p>
        </w:tc>
        <w:tc>
          <w:tcPr>
            <w:tcW w:w="160" w:type="dxa"/>
            <w:vAlign w:val="bottom"/>
          </w:tcPr>
          <w:p>
            <w:pPr>
              <w:spacing w:after="0"/>
              <w:rPr>
                <w:sz w:val="18"/>
                <w:szCs w:val="18"/>
                <w:color w:val="auto"/>
              </w:rPr>
            </w:pPr>
          </w:p>
        </w:tc>
      </w:tr>
      <w:tr>
        <w:trPr>
          <w:trHeight w:val="223"/>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net gain on sale of securities</w:t>
            </w:r>
          </w:p>
        </w:tc>
        <w:tc>
          <w:tcPr>
            <w:tcW w:w="9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(2,318)</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Adjusted total income</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55,634</w:t>
            </w:r>
          </w:p>
        </w:tc>
        <w:tc>
          <w:tcPr>
            <w:tcW w:w="1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46,901</w:t>
            </w:r>
          </w:p>
        </w:tc>
        <w:tc>
          <w:tcPr>
            <w:tcW w:w="2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45,497</w:t>
            </w:r>
          </w:p>
        </w:tc>
        <w:tc>
          <w:tcPr>
            <w:tcW w:w="2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40,786</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38,641</w:t>
            </w:r>
          </w:p>
        </w:tc>
        <w:tc>
          <w:tcPr>
            <w:tcW w:w="16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Adjusted efficiency ratio</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63.28%</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72.52%</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69.65%</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73.62%</w:t>
            </w: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77.46%</w:t>
            </w:r>
          </w:p>
        </w:tc>
      </w:tr>
      <w:tr>
        <w:trPr>
          <w:trHeight w:val="20"/>
        </w:trPr>
        <w:tc>
          <w:tcPr>
            <w:tcW w:w="3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b w:val="1"/>
                <w:bCs w:val="1"/>
                <w:color w:val="auto"/>
              </w:rPr>
              <w:t>Pre-tax, pre-provision income</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5,615</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7,083</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10,109</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8,258</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16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Income tax expense</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1,389</w:t>
            </w:r>
          </w:p>
        </w:tc>
        <w:tc>
          <w:tcPr>
            <w:tcW w:w="1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1,746</w:t>
            </w:r>
          </w:p>
        </w:tc>
        <w:tc>
          <w:tcPr>
            <w:tcW w:w="2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2,645</w:t>
            </w:r>
          </w:p>
        </w:tc>
        <w:tc>
          <w:tcPr>
            <w:tcW w:w="2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1,977</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1,655</w:t>
            </w:r>
          </w:p>
        </w:tc>
        <w:tc>
          <w:tcPr>
            <w:tcW w:w="160" w:type="dxa"/>
            <w:vAlign w:val="bottom"/>
          </w:tcPr>
          <w:p>
            <w:pPr>
              <w:spacing w:after="0"/>
              <w:rPr>
                <w:sz w:val="18"/>
                <w:szCs w:val="18"/>
                <w:color w:val="auto"/>
              </w:rPr>
            </w:pPr>
          </w:p>
        </w:tc>
      </w:tr>
      <w:tr>
        <w:trPr>
          <w:trHeight w:val="223"/>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9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13,133</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6,234</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896</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420</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35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Pre-tax, pre-provision income</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20,137</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15,063</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13,650</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10,655</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8,610</w:t>
            </w:r>
          </w:p>
        </w:tc>
        <w:tc>
          <w:tcPr>
            <w:tcW w:w="160" w:type="dxa"/>
            <w:vAlign w:val="bottom"/>
            <w:shd w:val="clear" w:color="auto" w:fill="CCEEFF"/>
          </w:tcPr>
          <w:p>
            <w:pPr>
              <w:spacing w:after="0"/>
              <w:rPr>
                <w:sz w:val="20"/>
                <w:szCs w:val="20"/>
                <w:color w:val="auto"/>
              </w:rPr>
            </w:pPr>
          </w:p>
        </w:tc>
      </w:tr>
      <w:tr>
        <w:trPr>
          <w:trHeight w:val="20"/>
        </w:trPr>
        <w:tc>
          <w:tcPr>
            <w:tcW w:w="35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South Plains Financial,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Reconciliation of Non-GAAP Financial Measures</w:t>
      </w:r>
    </w:p>
    <w:p>
      <w:pP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ind w:left="880"/>
              <w:spacing w:after="0"/>
              <w:rPr>
                <w:sz w:val="20"/>
                <w:szCs w:val="20"/>
                <w:color w:val="auto"/>
              </w:rPr>
            </w:pPr>
            <w:r>
              <w:rPr>
                <w:rFonts w:ascii="Arial" w:cs="Arial" w:eastAsia="Arial" w:hAnsi="Arial"/>
                <w:sz w:val="18"/>
                <w:szCs w:val="18"/>
                <w:b w:val="1"/>
                <w:bCs w:val="1"/>
                <w:color w:val="auto"/>
              </w:rPr>
              <w:t>As of</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8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3"/>
          </w:tcPr>
          <w:p>
            <w:pPr>
              <w:jc w:val="right"/>
              <w:ind w:right="520"/>
              <w:spacing w:after="0" w:line="198" w:lineRule="exact"/>
              <w:rPr>
                <w:sz w:val="20"/>
                <w:szCs w:val="20"/>
                <w:color w:val="auto"/>
              </w:rPr>
            </w:pPr>
            <w:r>
              <w:rPr>
                <w:rFonts w:ascii="Arial" w:cs="Arial" w:eastAsia="Arial" w:hAnsi="Arial"/>
                <w:sz w:val="18"/>
                <w:szCs w:val="18"/>
                <w:b w:val="1"/>
                <w:bCs w:val="1"/>
                <w:color w:val="auto"/>
                <w:w w:val="94"/>
              </w:rPr>
              <w:t>June 30,</w:t>
            </w:r>
          </w:p>
        </w:tc>
        <w:tc>
          <w:tcPr>
            <w:tcW w:w="110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7"/>
                <w:szCs w:val="17"/>
                <w:color w:val="auto"/>
              </w:rPr>
            </w:pPr>
          </w:p>
        </w:tc>
      </w:tr>
      <w:tr>
        <w:trPr>
          <w:trHeight w:val="241"/>
        </w:trPr>
        <w:tc>
          <w:tcPr>
            <w:tcW w:w="8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b w:val="1"/>
                <w:bCs w:val="1"/>
                <w:color w:val="auto"/>
              </w:rPr>
              <w:t>Tangible common equity</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common stockholders’ equity</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336,534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306,182</w:t>
            </w:r>
          </w:p>
        </w:tc>
      </w:tr>
      <w:tr>
        <w:trPr>
          <w:trHeight w:val="223"/>
        </w:trPr>
        <w:tc>
          <w:tcPr>
            <w:tcW w:w="8600" w:type="dxa"/>
            <w:vAlign w:val="bottom"/>
          </w:tcPr>
          <w:p>
            <w:pPr>
              <w:spacing w:after="0"/>
              <w:rPr>
                <w:sz w:val="20"/>
                <w:szCs w:val="20"/>
                <w:color w:val="auto"/>
              </w:rPr>
            </w:pPr>
            <w:r>
              <w:rPr>
                <w:rFonts w:ascii="Arial" w:cs="Arial" w:eastAsia="Arial" w:hAnsi="Arial"/>
                <w:sz w:val="18"/>
                <w:szCs w:val="18"/>
                <w:color w:val="auto"/>
              </w:rPr>
              <w:t>Less: goodwill and other intangibles</w:t>
            </w:r>
          </w:p>
        </w:tc>
        <w:tc>
          <w:tcPr>
            <w:tcW w:w="160" w:type="dxa"/>
            <w:vAlign w:val="bottom"/>
          </w:tcPr>
          <w:p>
            <w:pPr>
              <w:spacing w:after="0"/>
              <w:rPr>
                <w:sz w:val="19"/>
                <w:szCs w:val="19"/>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(28,414)</w:t>
            </w: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(27,389)</w:t>
            </w:r>
          </w:p>
        </w:tc>
      </w:tr>
      <w:tr>
        <w:trPr>
          <w:trHeight w:val="216"/>
        </w:trPr>
        <w:tc>
          <w:tcPr>
            <w:tcW w:w="86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b w:val="1"/>
                <w:bCs w:val="1"/>
                <w:color w:val="auto"/>
              </w:rPr>
              <w:t>Tangible common equity</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308,120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278,793</w:t>
            </w:r>
          </w:p>
        </w:tc>
      </w:tr>
      <w:tr>
        <w:trPr>
          <w:trHeight w:val="20"/>
        </w:trPr>
        <w:tc>
          <w:tcPr>
            <w:tcW w:w="8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b w:val="1"/>
                <w:bCs w:val="1"/>
                <w:color w:val="auto"/>
              </w:rPr>
              <w:t>Tangible assets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3,584,532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3,237,167</w:t>
            </w:r>
          </w:p>
        </w:tc>
      </w:tr>
      <w:tr>
        <w:trPr>
          <w:trHeight w:val="223"/>
        </w:trPr>
        <w:tc>
          <w:tcPr>
            <w:tcW w:w="8600" w:type="dxa"/>
            <w:vAlign w:val="bottom"/>
          </w:tcPr>
          <w:p>
            <w:pPr>
              <w:spacing w:after="0"/>
              <w:rPr>
                <w:sz w:val="20"/>
                <w:szCs w:val="20"/>
                <w:color w:val="auto"/>
              </w:rPr>
            </w:pPr>
            <w:r>
              <w:rPr>
                <w:rFonts w:ascii="Arial" w:cs="Arial" w:eastAsia="Arial" w:hAnsi="Arial"/>
                <w:sz w:val="18"/>
                <w:szCs w:val="18"/>
                <w:color w:val="auto"/>
              </w:rPr>
              <w:t>Less: goodwill and other intangibles</w:t>
            </w:r>
          </w:p>
        </w:tc>
        <w:tc>
          <w:tcPr>
            <w:tcW w:w="160" w:type="dxa"/>
            <w:vAlign w:val="bottom"/>
          </w:tcPr>
          <w:p>
            <w:pPr>
              <w:spacing w:after="0"/>
              <w:rPr>
                <w:sz w:val="19"/>
                <w:szCs w:val="19"/>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(28,414)</w:t>
            </w: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(27,389)</w:t>
            </w:r>
          </w:p>
        </w:tc>
      </w:tr>
      <w:tr>
        <w:trPr>
          <w:trHeight w:val="216"/>
        </w:trPr>
        <w:tc>
          <w:tcPr>
            <w:tcW w:w="86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b w:val="1"/>
                <w:bCs w:val="1"/>
                <w:color w:val="auto"/>
              </w:rPr>
              <w:t>Tangible assets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3,556,118</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3,209,778</w:t>
            </w:r>
          </w:p>
        </w:tc>
        <w:tc>
          <w:tcPr>
            <w:tcW w:w="160" w:type="dxa"/>
            <w:vAlign w:val="bottom"/>
          </w:tcPr>
          <w:p>
            <w:pPr>
              <w:spacing w:after="0"/>
              <w:rPr>
                <w:sz w:val="18"/>
                <w:szCs w:val="18"/>
                <w:color w:val="auto"/>
              </w:rPr>
            </w:pPr>
          </w:p>
        </w:tc>
      </w:tr>
      <w:tr>
        <w:trPr>
          <w:trHeight w:val="20"/>
        </w:trPr>
        <w:tc>
          <w:tcPr>
            <w:tcW w:w="8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8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Shares outstanding</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18,059,174</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18,036,115</w:t>
            </w:r>
          </w:p>
        </w:tc>
        <w:tc>
          <w:tcPr>
            <w:tcW w:w="160" w:type="dxa"/>
            <w:vAlign w:val="bottom"/>
          </w:tcPr>
          <w:p>
            <w:pPr>
              <w:spacing w:after="0"/>
              <w:rPr>
                <w:sz w:val="18"/>
                <w:szCs w:val="18"/>
                <w:color w:val="auto"/>
              </w:rPr>
            </w:pPr>
          </w:p>
        </w:tc>
      </w:tr>
      <w:tr>
        <w:trPr>
          <w:trHeight w:val="21"/>
        </w:trPr>
        <w:tc>
          <w:tcPr>
            <w:tcW w:w="8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8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Total stockholders’ equity to total assets</w:t>
            </w:r>
          </w:p>
        </w:tc>
        <w:tc>
          <w:tcPr>
            <w:tcW w:w="16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9.39%</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9.46%</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Tangible common equity to tangible assets</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8.66%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8.69%</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Book value per share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18.64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16.98</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Tangible book value per share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15.46</w:t>
            </w:r>
          </w:p>
        </w:tc>
      </w:tr>
      <w:tr>
        <w:trPr>
          <w:trHeight w:val="601"/>
        </w:trPr>
        <w:tc>
          <w:tcPr>
            <w:tcW w:w="8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16" w:name="page17"/>
    <w:bookmarkEnd w:id="16"/>
    <w:p>
      <w:pPr>
        <w:ind w:left="90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393065</wp:posOffset>
            </wp:positionV>
            <wp:extent cx="7132320" cy="6000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6000750"/>
                    </a:xfrm>
                    <a:prstGeom prst="rect">
                      <a:avLst/>
                    </a:prstGeom>
                    <a:noFill/>
                  </pic:spPr>
                </pic:pic>
              </a:graphicData>
            </a:graphic>
          </wp:anchor>
        </w:drawing>
      </w:r>
    </w:p>
    <w:p>
      <w:pPr>
        <w:sectPr>
          <w:pgSz w:w="11900" w:h="16838" w:orient="portrait"/>
          <w:cols w:equalWidth="0" w:num="1">
            <w:col w:w="10120"/>
          </w:cols>
          <w:pgMar w:left="1440" w:top="274" w:right="339" w:bottom="1440"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6017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6017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6000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600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6009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6009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6009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6009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6000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600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60007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600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6000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600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6000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600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6000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600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6000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600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60007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600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60007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600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6000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600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6000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600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60007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600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6000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600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6000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600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6000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600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6009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6009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6389370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5503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132320" cy="55035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9"/>
    </w:lvl>
  </w:abstractNum>
  <w:abstractNum w:abstractNumId="4">
    <w:nsid w:val="507ED7AB"/>
    <w:multiLevelType w:val="hybridMultilevel"/>
    <w:lvl w:ilvl="0">
      <w:lvlJc w:val="left"/>
      <w:lvlText w:val="(%1)"/>
      <w:numFmt w:val="decimal"/>
      <w:start w:val="866"/>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2020-07-29T15:24:41Z</dcterms:created>
  <dcterms:modified xsi:type="dcterms:W3CDTF">2020-07-29T15:24:41Z</dcterms:modified>
</cp:coreProperties>
</file>