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Newsom Cory T</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LUBBOCK</w:t>
            </w:r>
          </w:p>
        </w:tc>
        <w:tc>
          <w:tcPr>
            <w:tcW w:w="1300" w:type="dxa"/>
            <w:vAlign w:val="bottom"/>
          </w:tcPr>
          <w:p>
            <w:pPr>
              <w:ind w:left="200"/>
              <w:spacing w:after="0"/>
              <w:rPr>
                <w:sz w:val="20"/>
                <w:szCs w:val="20"/>
                <w:color w:val="auto"/>
              </w:rPr>
            </w:pPr>
            <w:r>
              <w:rPr>
                <w:rFonts w:ascii="Arial" w:cs="Arial" w:eastAsia="Arial" w:hAnsi="Arial"/>
                <w:sz w:val="17"/>
                <w:szCs w:val="17"/>
                <w:color w:val="0000FF"/>
              </w:rPr>
              <w:t>TX</w:t>
            </w:r>
          </w:p>
        </w:tc>
        <w:tc>
          <w:tcPr>
            <w:tcW w:w="1320" w:type="dxa"/>
            <w:vAlign w:val="bottom"/>
          </w:tcPr>
          <w:p>
            <w:pPr>
              <w:ind w:left="120"/>
              <w:spacing w:after="0"/>
              <w:rPr>
                <w:sz w:val="20"/>
                <w:szCs w:val="20"/>
                <w:color w:val="auto"/>
              </w:rPr>
            </w:pPr>
            <w:r>
              <w:rPr>
                <w:rFonts w:ascii="Arial" w:cs="Arial" w:eastAsia="Arial" w:hAnsi="Arial"/>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SPFI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vMerge w:val="restart"/>
          </w:tcPr>
          <w:p>
            <w:pPr>
              <w:ind w:left="840"/>
              <w:spacing w:after="0"/>
              <w:rPr>
                <w:sz w:val="20"/>
                <w:szCs w:val="20"/>
                <w:color w:val="auto"/>
              </w:rPr>
            </w:pPr>
            <w:r>
              <w:rPr>
                <w:rFonts w:ascii="Arial" w:cs="Arial" w:eastAsia="Arial" w:hAnsi="Arial"/>
                <w:sz w:val="17"/>
                <w:szCs w:val="17"/>
                <w:color w:val="0000FF"/>
              </w:rPr>
              <w:t>President</w:t>
            </w: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3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03/21/2022</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3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72"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4,713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28.69</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172,734</w:t>
            </w:r>
            <w:r>
              <w:rPr>
                <w:rFonts w:ascii="Arial" w:cs="Arial" w:eastAsia="Arial" w:hAnsi="Arial"/>
                <w:sz w:val="22"/>
                <w:szCs w:val="22"/>
                <w:color w:val="008000"/>
                <w:w w:val="88"/>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vMerge w:val="restart"/>
          </w:tcPr>
          <w:p>
            <w:pPr>
              <w:jc w:val="center"/>
              <w:ind w:right="415"/>
              <w:spacing w:after="0"/>
              <w:rPr>
                <w:sz w:val="20"/>
                <w:szCs w:val="20"/>
                <w:color w:val="auto"/>
              </w:rPr>
            </w:pPr>
            <w:r>
              <w:rPr>
                <w:rFonts w:ascii="Arial" w:cs="Arial" w:eastAsia="Arial" w:hAnsi="Arial"/>
                <w:sz w:val="17"/>
                <w:szCs w:val="17"/>
                <w:color w:val="0000FF"/>
                <w:w w:val="91"/>
              </w:rPr>
              <w:t>750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Child</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81,334</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vMerge w:val="restart"/>
          </w:tcPr>
          <w:p>
            <w:pPr>
              <w:jc w:val="center"/>
              <w:ind w:right="415"/>
              <w:spacing w:after="0"/>
              <w:rPr>
                <w:sz w:val="20"/>
                <w:szCs w:val="20"/>
                <w:color w:val="auto"/>
              </w:rPr>
            </w:pPr>
            <w:r>
              <w:rPr>
                <w:rFonts w:ascii="Arial" w:cs="Arial" w:eastAsia="Arial" w:hAnsi="Arial"/>
                <w:sz w:val="17"/>
                <w:szCs w:val="17"/>
                <w:color w:val="0000FF"/>
                <w:w w:val="91"/>
              </w:rPr>
              <w:t>152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include restricted stock units that may be settled only by delivery of an equal number of shares of common stock and which are subject to vesting and forfeiture conditions.</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for the benefit of the Reporting Person's child.</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South Plains Financial, Inc. Employee Stock Ownership Plan ("ESOP") and allocated to the Reporting Person's account.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Reporting Person's account under the City Bank 401(k) Plan.</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70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Cory T.</w:t>
      </w:r>
      <w:r>
        <w:rPr>
          <w:sz w:val="20"/>
          <w:szCs w:val="20"/>
          <w:color w:val="auto"/>
        </w:rPr>
        <w:tab/>
      </w:r>
      <w:r>
        <w:rPr>
          <w:rFonts w:ascii="Arial" w:cs="Arial" w:eastAsia="Arial" w:hAnsi="Arial"/>
          <w:sz w:val="15"/>
          <w:szCs w:val="15"/>
          <w:color w:val="0000FF"/>
        </w:rPr>
        <w:t>03/23/2022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2022-03-23T13:54:01Z</dcterms:created>
  <dcterms:modified xsi:type="dcterms:W3CDTF">2022-03-23T13:54:01Z</dcterms:modified>
</cp:coreProperties>
</file>