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April 28, 2026</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40" w:right="319" w:bottom="1440" w:gutter="0" w:footer="0" w:header="0"/>
        </w:sectPr>
      </w:pPr>
    </w:p>
    <w:p>
      <w:pPr>
        <w:spacing w:after="0" w:line="16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7"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4"/>
          <w:szCs w:val="24"/>
          <w:color w:val="auto"/>
        </w:rPr>
      </w:pPr>
    </w:p>
    <w:p>
      <w:pPr>
        <w:sectPr>
          <w:pgSz w:w="11900" w:h="16838" w:orient="portrait"/>
          <w:cols w:equalWidth="0" w:num="3">
            <w:col w:w="4140" w:space="720"/>
            <w:col w:w="2860" w:space="720"/>
            <w:col w:w="2840"/>
          </w:cols>
          <w:pgMar w:left="300" w:top="440" w:right="319" w:bottom="1440" w:gutter="0" w:footer="0" w:header="0"/>
          <w:type w:val="continuous"/>
        </w:sect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480" w:space="720"/>
            <w:col w:w="3080"/>
          </w:cols>
          <w:pgMar w:left="300" w:top="44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4" w:lineRule="auto"/>
        <w:tabs>
          <w:tab w:leader="none" w:pos="25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4"/>
          <w:szCs w:val="24"/>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5"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April 28, 2026, South Plains Financial, Inc. (the “Company”) issued a press release announcing its financial results for the first quarter ended March 31, 2026. A copy of the Company’s press release covering such announcement and certain other matters is furnished as Exhibit 99.1 to this Current Report on Form 8-K.</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April 28, 2026, officers of the Company will conduct a conference call at 5:00 p.m., Eastern Time, with respect to the Company’s financial results for the first quarter ended March 31, 2026. An earnings release slide presentation highlighting the Company’s financial results for the first quarter ended March 31, 2026 is furnished as Exhibit 99.2 to this Current Report on Form 8-K. This earnings release slide presentation will also be available on the Company’s website, www.spfi.bank, under the “News &amp; Events” section.</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April 28, 2026, announcing first quarter 2026 financial results of South Plains Financial, Inc.</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April 28, 2026.</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 April 28, 2026</w:t>
      </w:r>
      <w:r>
        <w:rPr>
          <w:sz w:val="20"/>
          <w:szCs w:val="20"/>
          <w:color w:val="auto"/>
        </w:rPr>
        <w:tab/>
      </w:r>
      <w:r>
        <w:rPr>
          <w:rFonts w:ascii="Times New Roman" w:cs="Times New Roman" w:eastAsia="Times New Roman" w:hAnsi="Times New Roman"/>
          <w:sz w:val="14"/>
          <w:szCs w:val="14"/>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16510</wp:posOffset>
            </wp:positionV>
            <wp:extent cx="33750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684780" cy="410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780"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First Quarter 2026 Financial Results</w:t>
      </w: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April 28, 2026 (GLOBE NEWSWIRE) – South Plains Financial, Inc. (NASDAQ:SPFI) (“South Plains” or the “Company”), the parent company of City Bank (“City Bank” or the “Bank”), today reported its financial results for the quarter ended March 31,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Quarter 2026 Highlights</w:t>
      </w:r>
    </w:p>
    <w:p>
      <w:pPr>
        <w:spacing w:after="0" w:line="185" w:lineRule="exact"/>
        <w:rPr>
          <w:sz w:val="20"/>
          <w:szCs w:val="20"/>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first quarter of 2026 was $14.5 million, compared to $15.3 million for the fourth quarter of 2025 and $12.3 million for the first quarter of 2025.</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first quarter of 2026 was $0.85, compared to $0.90 for the fourth quarter of 2025 and $0.72 for the first quarter of 2025.</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first quarter of 2026 was 197 basis points, compared to 201 basis points for the fourth quarter of 2025 and 219 basis points for the first quarter of 2025.</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on a tax-equivalent basis, was 4.04% for the first quarter of 2026, compared to 4.00% for the fourth quarter of 2025 and 3.81% for the first quarter of 2025.</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first quarter of 2026 was 1.31%, compared to 1.36% for the fourth quarter of 2025 and 1.16% for the first quarter of 2025.</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$29.65 as of March 31, 2026, compared to $29.05 as of December 31, 2025 and $26.05 as of March 31, 2025.</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total risk-based capital ratio, common equity tier 1 risk-based capital ratio, and tier 1 leverage ratio at March 31, 2026 were 17.61%, 14.80%, and 12.68%, respectively.</w:t>
      </w:r>
    </w:p>
    <w:p>
      <w:pPr>
        <w:spacing w:after="0" w:line="11" w:lineRule="exact"/>
        <w:rPr>
          <w:rFonts w:ascii="Times New Roman" w:cs="Times New Roman" w:eastAsia="Times New Roman" w:hAnsi="Times New Roman"/>
          <w:sz w:val="14"/>
          <w:szCs w:val="14"/>
          <w:color w:val="auto"/>
        </w:rPr>
      </w:pPr>
    </w:p>
    <w:p>
      <w:pPr>
        <w:jc w:val="both"/>
        <w:ind w:left="520" w:hanging="256"/>
        <w:spacing w:after="0" w:line="264"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reported, the Company completed the merger of BOH Holdings, Inc. (“BOH”) with and into South Plains, with South Plains continuing as the surviving corporation, and the merger of BOH’s wholly-owned subsidiary, Bank of Houston, with and into City Bank, with City Bank continuing as the surviving bank, all effective on April 1, 2026. As of March 31, 2026, BOH had total assets of $685.0 million, total loans of $631.9 million, and total deposits of $595.6 million.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“We delivered solid first quarter results driven by strong profitability, improving credit quality, and continued discipline across our balance sheet. Alongside the successful completion of the BOH acquisition, we continued to execute our organic growth strategy as we continue to focus on adding experienced lenders across our attractive Texas markets who bring deep local relationships and align with our culture. We believe what differentiates South Plains is our ability to combine the scale, product capabilities, and capital strength of a larger institution with the credit discipline and relationship-based approach of a true community bank. As consolidation across the Texas banking landscape continues, we are seeing increased opportunities to attract both customers and talented bankers seeking stability, local leadership, and consistent execution. While the near-term economic environment remains uncertain and a headwind to loan growth, we are confident in our strategy, our team, and our ability to continue to create long-term value for our shareholders.”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Net interest income was $42.9 million for the first quarter of 2026, compared to $43.0 million for the fourth quarter of 2025 and $38.5 million for the first quarter of 2025. Net interest margin, calculated on a tax-equivalent basis, was 4.04% for the first quarter of 2026, compared to 4.00% for the fourth quarter of 2025 and 3.81% for the first quarter of 2025. The average yield on loans was 6.83% for the first quarter of 2026, compared to 6.79% for the fourth quarter of 2025 and 6.67% for the first quarter of 2025. The average cost of deposits was 197 basis points for the first quarter of 2026, which is 4 basis points lower than the fourth quarter of 2025 and 22 basis points lower than the first quarter of 2025.</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Interest income was $62.6 million for the first quarter of 2026, compared to $63.4 million for the fourth quarter of 2025 and $59.9 million for the first quarter of 2025. Interest income decreased $789 thousand in the first quarter of 2026 from the fourth quarter of 2025. This decrease was primarily attributable to a decline of $648 thousand in interest income on securities and other interest-earning assets resulting from the decrease in short-term interest rates that occurred during the fourth quarter of 2025. Interest income increased $2.7 million in the first quarter of 2026 compared to the first quarter of 2025. This increase was primarily due to an increase in average loans of $55.6 million and an increase of 16 basis points in loan yield during the period, resulting in growth of $2.1 million in loan interest income over the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4" w:name="page5"/>
    <w:bookmarkEnd w:id="4"/>
    <w:p>
      <w:pPr>
        <w:jc w:val="both"/>
        <w:spacing w:after="0" w:line="264" w:lineRule="auto"/>
        <w:rPr>
          <w:sz w:val="20"/>
          <w:szCs w:val="20"/>
          <w:color w:val="auto"/>
        </w:rPr>
      </w:pPr>
      <w:r>
        <w:rPr>
          <w:rFonts w:ascii="Times New Roman" w:cs="Times New Roman" w:eastAsia="Times New Roman" w:hAnsi="Times New Roman"/>
          <w:sz w:val="14"/>
          <w:szCs w:val="14"/>
          <w:color w:val="auto"/>
        </w:rPr>
        <w:t>Interest expense was $19.8 million for the first quarter of 2026, compared to $20.5 million for the fourth quarter of 2025 and $21.4 million for the first quarter of 2025. Interest expense decreased $691 thousand compared to the fourth quarter of 2025 and decreased $1.6 million compared to the first quarter of 2025. The $691 thousand decrease was primarily a result of an 11 basis point decline in the cost of interest-bearing deposits in the first quarter of 2026 as compared to the fourth quarter of 2025, partially offset by an increase of $80.5 million in average interest-bearing deposits during that time. The $1.6 million decrease was primarily the result of a 29 basis point decline in the cost of interest-bearing deposits, partially offset by an increase of $159.9 million in average interest-bearing deposits in the first quarter of 2026 as compared to the first quarter of 2025, and a reduction in interest expense of $592 thousand as a result of the $50 million subordinated debt redemption in September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Noninterest income was $11.3 million for the first quarter of 2026, compared to $10.9 million for the fourth quarter of 2025 and $10.6 million for the first quarter of 2025. The increase from the fourth quarter of 2025 was primarily due to an increase of $1.5 million in mortgage banking revenues, mainly as a result of the change in the fair value adjustment of the mortgage servicing rights assets – a write-up of $250 thousand in the first quarter of 2026 compared to a write-down of $665 thousand in the fourth quarter of 2025 – based on interest rate changes during the respective quarters. Additionally, there was an $801 thousand loss in a Small Business Investment Company (“SBIC”) investment during the first quarter of 2026 due to negative performance of one of the companies in the fund. The increase in noninterest income for the first quarter of 2026 as compared to the first quarter of 2025 was primarily due to an increase of $1.8 million in mortgage banking revenues, mainly as a result of the change in the fair value adjustment of the mortgage servicing rights assets – a write-up of $250 thousand in the first quarter of 2026 compared to a write-down of $1.6 million in the first quarter of 2025 – based on interest rate changes during the respective quarters and the above noted loss of $801 thousand in SBIC income.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Noninterest expense was $35.5 million for the first quarter of 2026, compared to $33.0 million for the fourth quarter of 2025 and $33.0 million for the first quarter of 2025. Changes from the fourth quarter of 2025 included an increase of $1.8 million in personnel expense, based on annual salary adjustments and higher incentive-based compensation expense, and an increase of $542 thousand in professional service expenses. There was approximately $1.5 million of acquisition-related expenses in the first quarter of 2026, of which $1.2 million was for professional services, as compared to approximately $500 thousand in the fourth quarter of 2025, all of which was for professional services. The $2.5 million increase in noninterest expense for the first quarter of 2026 as compared to the first quarter of 2025 was largely the result of an increase of $713 thousand in personnel expenses, mainly the result of annual salary adjustments and the new lender hiring initiative, and an increase in professional service expenses of $1.2 million, predominately from the acquisition-related expenses in the first quarter of 2026 noted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Loans held for investment were $3.10 billion as of March 31, 2026, compared to $3.14 billion as of December 31, 2025 and $3.08 billion as of March 31, 2025. The decrease of $41.0 million, or 1.3%, during the first quarter of 2026 as compared to the fourth quarter of 2025 occurred primarily as a result of the expected early payoff of a $29.7 million multi-family property loan and the seasonal net paydowns on agricultural operating loans of $24.4 million, partially offset by organic loan growth. As of March 31, 2026, loans held for investment increased $27.7 million as compared to March 31, 2025, primarily as a result of organic growth broadly across the loan portfolio, partially offset by a decrease of $111.0 million in multi-family property loans.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Deposits totaled $4.03 billion as of March 31, 2026, compared to $3.87 billion as of December 31, 2025 and $3.79 billion as of March 31, 2025. Deposits increased by $153.5 million, or 4.0%, in the first quarter of 2026 from December 31, 2025. Deposits increased by $235.1 million, or 6.2%, at March 31, 2026 as compared to March 31, 2025. Noninterest-bearing deposits were $1.03 billion as of March 31, 2026, compared to $1.0 billion as of December 31, 2025 and $966.5 million as of March 31, 2025. Noninterest-bearing deposits represented 25.7% of total deposits as of March 31, 2026. The quarterly and year-over-year change in total deposits was due to organic growth in both retail, commercial, and public fund deposits.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recorded a provision for credit losses in the first quarter of 2026 of $260 thousand, compared to $1.8 million in the fourth quarter of 2025 and $420 thousand in the first quarter of 2025. The decrease in provision for the first quarter of 2026 as compared to the fourth quarter of 2025 was largely attributable to the decrease in loan balances noted above, a decrease of $4.8 million in nonperforming loans, and a decrease of $460 thousand in loan net charge-offs during the compared quarters.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credit losses to loans held for investment was 1.44% as of March 31, 2026, compared to 1.44% as of December 31, 2025 and 1.40%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jc w:val="both"/>
        <w:spacing w:after="0" w:line="293" w:lineRule="auto"/>
        <w:rPr>
          <w:sz w:val="20"/>
          <w:szCs w:val="20"/>
          <w:color w:val="auto"/>
        </w:rPr>
      </w:pPr>
      <w:r>
        <w:rPr>
          <w:rFonts w:ascii="Times New Roman" w:cs="Times New Roman" w:eastAsia="Times New Roman" w:hAnsi="Times New Roman"/>
          <w:sz w:val="14"/>
          <w:szCs w:val="14"/>
          <w:color w:val="auto"/>
        </w:rPr>
        <w:t>The ratio of nonperforming assets to total assets was 0.13% as of March 31, 2026, compared to 0.26% as of December 31, 2025 and 0.16% as of March 31, 2025. Annualized net charge-offs were 0.04% for the first quarter of 2026, compared to 0.10% for the fourth quarter of 2025 and 0.07% for the first quarter of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Book value per share increased to $30.90 at March 31, 2026, compared to $30.31 at December 31, 2025. The change was primarily driven by $11.8 million of net income after dividends paid during the first quarter of 2026. The ratio of tangible common equity to tangible assets (non-GAAP) decreased 13 basis points to 10.48% at March 31, 2026 based on growth in assets during the first quarter of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first quarter 2026 financial results today, April 28, 2026,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13759880. The replay will be available until May 12,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slower economic growth rates or potential recession in the United States and our market areas uncertainty or perceived instability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our market areas; the uncertain impacts of current and future monetary policies of the Board of Governors of the Federal Reserve System; changes in unemployment rates in the United States and our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military conflicts (including the conflicts in the Middle East, the possible expansion of such conflicts and potential geopolitical and economic consequences), acts of terrorism, geopolitical instability, domestic civil unrest or other external events, including as a result of the impact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 potential costs related to the impacts of climate change; current or future litigation, regulatory examinations or other legal and/or regulatory actions; our ability to recognize the expected benefits and synergies of our completed acquisitions; changes in accounting principles and standards, including those related to loan loss recognition under the current expected credit loss, or CECL, methodology; and changes in applicable laws, regulations, or policies in the United States.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16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360" w:right="8740" w:firstLine="2"/>
        <w:spacing w:after="0" w:line="273" w:lineRule="auto"/>
        <w:tabs>
          <w:tab w:leader="none" w:pos="170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4"/>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4"/>
                <w:szCs w:val="14"/>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4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62,632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63,421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64,520</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64,135</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59,922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19,780</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20,471</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21,501</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21,632</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21,395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42,852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42,950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43,019</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42,503</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38,527</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260</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1,775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2,500</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11,295</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10,934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11,165</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12,165</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10,625</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35,526</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33,023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33,024</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33,543</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33,030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3,816</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3,832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4,342</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4,020</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14,545</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15,254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16,318</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14,605</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12,294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0.89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0.90</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0.85</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0.96</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0.86</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0.17</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0.16</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30.90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30.31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29.41</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27.98</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29.65</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29.05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28.14</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26.70</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16,318,570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16,248,336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16,241,695</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16,231,627</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16,415,862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17,036,334</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16,996,517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16,990,546</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16,886,993</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17,065,599</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16,342,219</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16,293,577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16,247,839</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16,230,475</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16,235,647</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722,000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552,439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635,046</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470,496</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536,300</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602,852</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567,540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571,138</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570,000</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571,527</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3,103,529</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3,144,502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3,053,503</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3,098,978</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3,075,860</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44,822</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45,131</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44,125</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45,010</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42,968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4,646,374</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4,480,500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4,479,437</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4,363,674</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4,405,209</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2,993,469</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2,850,560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2,831,642</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2,740,179</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2,826,055</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1,034,117</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1,023,517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1,049,501</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998,759</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966,464</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4,027,586</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3,874,077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3,881,143</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3,738,938</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3,792,519</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60,493</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60,493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60,493</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111,799</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110,400</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504,939</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493,837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477,802</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454,074</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443,743</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(annualized)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r>
      <w:tr>
        <w:trPr>
          <w:trHeight w:val="172"/>
        </w:trPr>
        <w:tc>
          <w:tcPr>
            <w:tcW w:w="406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65.33%</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60.69%</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4,995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9,805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9,709</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10,463</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0.21%</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1,827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535</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600</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300"/>
        </w:trPr>
        <w:tc>
          <w:tcPr>
            <w:tcW w:w="4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94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4620" w:type="dxa"/>
            <w:vAlign w:val="bottom"/>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tcBorders>
              <w:bottom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1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10.87%</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11.02%</w:t>
            </w:r>
          </w:p>
        </w:tc>
        <w:tc>
          <w:tcPr>
            <w:tcW w:w="16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10.67%</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10.48%</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10.61%</w:t>
            </w:r>
          </w:p>
        </w:tc>
        <w:tc>
          <w:tcPr>
            <w:tcW w:w="16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10.25%</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9.64%</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14.80%</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14.45%</w:t>
            </w:r>
          </w:p>
        </w:tc>
        <w:tc>
          <w:tcPr>
            <w:tcW w:w="16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14.41%</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12.68%</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12.53%</w:t>
            </w:r>
          </w:p>
        </w:tc>
        <w:tc>
          <w:tcPr>
            <w:tcW w:w="16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12.37%</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17.61%</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17.26%</w:t>
            </w:r>
          </w:p>
        </w:tc>
        <w:tc>
          <w:tcPr>
            <w:tcW w:w="16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17.34%</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18.17%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Loans </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3,130,166</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52,684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6.83%</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3,074,568</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50,577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490,111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3.55%</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510,354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153,265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153,229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3.51%</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386,979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4,330,081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62,866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5.89%</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4,125,130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60,142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171,683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4,296,813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2,467,478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15,054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2.47%</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2,302,344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15,511</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436,649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3.55%</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441,895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14,100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6.99%</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63,984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5.76%</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2,964,623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19,780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2.71%</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2,854,619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21,395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989,518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934,775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57,355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66,073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441,346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4,511,024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4,296,813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43,086</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38,747</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4.04%</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45,881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58,318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676,119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494,121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602,852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567,540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17,203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3,103,529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3,144,502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6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(44,822)</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(45,131)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3,058,707</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3,099,371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51,585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51,563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servicing rights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24,041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149,089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155,105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4,646,374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1,034,117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1,023,517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2,993,469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2,850,560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4,027,586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3,874,077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14,100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53,356</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52,093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4,141,435</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3,986,663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16,342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16,294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91,244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91,065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445,971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434,197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(48,618)</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(47,719)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504,939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493,837</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4,646,374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4,480,500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55"/>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34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52,677</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50,570</w:t>
            </w: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9,352</w:t>
            </w: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62,632</w:t>
            </w: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59,922</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19,827</w:t>
            </w: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835</w:t>
            </w: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733</w:t>
            </w: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38,527</w:t>
            </w: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38,107</w:t>
            </w: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2,141</w:t>
            </w: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2,113</w:t>
            </w: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3,379</w:t>
            </w: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10,625</w:t>
            </w: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19,441</w:t>
            </w: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4,027</w:t>
            </w: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1,730</w:t>
            </w: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905</w:t>
            </w: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6,927</w:t>
            </w: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35,526</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15,702</w:t>
            </w: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14,545</w:t>
            </w:r>
          </w:p>
        </w:tc>
        <w:tc>
          <w:tcPr>
            <w:tcW w:w="22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12,294</w:t>
            </w: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1,052,951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1,064,625</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Commercial - Specialized</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384,861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409,351</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 General</w:t>
            </w:r>
          </w:p>
        </w:tc>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654,634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659,323</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Family Residential</w:t>
            </w:r>
          </w:p>
        </w:tc>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589,026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589,851</w:t>
            </w: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Loans</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259,157</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62,557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62,092</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103,444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100,103</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held for investment</w:t>
            </w:r>
          </w:p>
        </w:tc>
        <w:tc>
          <w:tcPr>
            <w:tcW w:w="3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3,103,529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3,144,502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1"/>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1,034,117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1,023,517</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NOW &amp; other transaction accounts</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1,276,159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1,307,596</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MMDA &amp; other savings</w:t>
            </w:r>
          </w:p>
        </w:tc>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1,275,974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1,111,529</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431,435</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3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4,027,586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3,874,077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6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96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16,318</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14,605</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4,342</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4,020</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21,160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21,125</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504,939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493,837</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$ 477,802</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$ 454,074</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$ 443,743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(20,327)</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(20,448)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(20,580)</w:t>
            </w: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(20,732)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(20,884)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gridSpan w:val="2"/>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484,612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473,389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$ 457,222</w:t>
            </w:r>
          </w:p>
        </w:tc>
        <w:tc>
          <w:tcPr>
            <w:tcW w:w="24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$ 433,342</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$ 422,859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4,646,374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4,480,500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$ 4,479,437</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$ 4,363,674</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$ 4,405,209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(20,327)</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(20,448)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(20,580)</w:t>
            </w: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(20,732)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(20,884)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4,626,047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4,460,052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$ 4,458,857</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$ 4,342,942</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$ 4,384,325</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16,342,219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16,293,577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16,247,839</w:t>
            </w: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16,230,475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16,235,647</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10.87%</w:t>
            </w: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10.67%</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10.48%</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10.25%</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30.90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30.31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24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27.98</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29.65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29.05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26.70</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4" w:name="page15"/>
    <w:bookmarkEnd w:id="14"/>
    <w:p>
      <w:pPr>
        <w:ind w:left="9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209790" cy="5793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62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9790" cy="5862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66"/>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2026-04-28T16:59:39Z</dcterms:created>
  <dcterms:modified xsi:type="dcterms:W3CDTF">2026-04-28T16:59:39Z</dcterms:modified>
</cp:coreProperties>
</file>