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the Securities Exchange Act of 1934 (Amendment No.____)</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of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14s-6(e)(2))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-4030980</wp:posOffset>
            </wp:positionV>
            <wp:extent cx="6720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-3610610</wp:posOffset>
            </wp:positionV>
            <wp:extent cx="6720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-3053715</wp:posOffset>
            </wp:positionV>
            <wp:extent cx="6720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-2633345</wp:posOffset>
            </wp:positionV>
            <wp:extent cx="672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-2213610</wp:posOffset>
            </wp:positionV>
            <wp:extent cx="672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-1107440</wp:posOffset>
            </wp:positionV>
            <wp:extent cx="6720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-687705</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-267335</wp:posOffset>
            </wp:positionV>
            <wp:extent cx="6720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151765</wp:posOffset>
            </wp:positionV>
            <wp:extent cx="6720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2042795</wp:posOffset>
            </wp:positionH>
            <wp:positionV relativeFrom="page">
              <wp:posOffset>88900</wp:posOffset>
            </wp:positionV>
            <wp:extent cx="347154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471545" cy="531495"/>
                    </a:xfrm>
                    <a:prstGeom prst="rect">
                      <a:avLst/>
                    </a:prstGeom>
                    <a:noFill/>
                  </pic:spPr>
                </pic:pic>
              </a:graphicData>
            </a:graphic>
          </wp:anchor>
        </w:drawing>
        <w:t>April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behalf of our Board of Directors, I invite you to attend the 2020 annual meeting of shareholders to be held at the main office of City Bank, located at 5219 City Bank Parkway, Lubbock, Texas 79407, on Tuesday, May 19, 2020, at 2:00 pm Central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meeting are set forth in the accompanying Notice of Annual Meeting of Shareholders and Proxy Statement.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Whether or not you plan to attend the meeting, it is important that your shares be represented. Please take a moment to complete, date, sign and return the enclosed proxy card as soon as possible, or use Internet or telephone voting according to the instructions on the proxy card. You may also attend and vote in person at the meeting.</w:t>
      </w:r>
    </w:p>
    <w:p>
      <w:pPr>
        <w:spacing w:after="0" w:line="197"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We intend to hold our annual meeting in person as scheduled. However, we are actively monitoring the coronavirus (COVID-19); we are sensitive to the public health and travel concerns our shareholders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www.spfi.bank for updated information. If you are planning to attend our meeting, please check the website one week prior to the meeting date. As always, we encourage you to vote your shares prior to the annual meeting. Shareholders will have the same opportunities to participate in the virtual meeting as they would if they had attended the annual meeting in person. Shareholder votes by proxy will still be effective if the annual shareholder meeting is conducted by remote communication. Shareholder votes via remote communication will be treated effectively as if the votes occurred “in person” for purposes of the voting standards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-1255395</wp:posOffset>
            </wp:positionV>
            <wp:extent cx="7132320" cy="1251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your continued support of our company and look forward to seeing you at the 2020 annual meeting.</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Curtis C. Griffith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Curtis C. Griffith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2042795</wp:posOffset>
            </wp:positionH>
            <wp:positionV relativeFrom="page">
              <wp:posOffset>226060</wp:posOffset>
            </wp:positionV>
            <wp:extent cx="347154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471545" cy="531495"/>
                    </a:xfrm>
                    <a:prstGeom prst="rect">
                      <a:avLst/>
                    </a:prstGeom>
                    <a:noFill/>
                  </pic:spPr>
                </pic:pic>
              </a:graphicData>
            </a:graphic>
          </wp:anchor>
        </w:drawing>
        <w:t>5219 City Bank Parkway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Lubbock, Texas 79407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687-2265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 2020</w:t>
      </w:r>
    </w:p>
    <w:p>
      <w:pPr>
        <w:spacing w:after="0" w:line="2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NOTICE OF 2020 ANNUAL MEETING OF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shareholders of South Plains Financial, Inc.:</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2020 Annual Meeting of Shareholders (the “annual meeting”) of South Plains Financial, Inc. (the “Company”) will be held on Tuesday, May 19, 2020, at 2:00 pm Central Time, at the main office of City Bank, located at 5219 City Bank Parkway, Lubbock, Texas 79407, for the following purposes:</w:t>
      </w:r>
    </w:p>
    <w:p>
      <w:pPr>
        <w:spacing w:after="0" w:line="124" w:lineRule="exact"/>
        <w:rPr>
          <w:sz w:val="20"/>
          <w:szCs w:val="20"/>
          <w:color w:val="auto"/>
        </w:rPr>
      </w:pPr>
    </w:p>
    <w:p>
      <w:pPr>
        <w:ind w:left="130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(2) Class I directors to serve on the Company’s board of directors until the Company’s 2023 annual meeting of shareholders or each until their respective successor or successors are duly elected and qualified or until their earlier resignation or removal;</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Weaver and Tidwell, L.L.P. as the independent registered public accounting firm of the Company for the year ending December 31, 2020;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or postponement thereof.</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shareholders of record at the close of business on March 25, 2020,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 This list also will be available to shareholders at the annual meeting.</w:t>
      </w:r>
    </w:p>
    <w:p>
      <w:pPr>
        <w:spacing w:after="0" w:line="185"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We intend to hold our annual meeting in person as scheduled. However, we are actively monitoring the coronavirus (COVID-19); we are sensitive to the public health and travel concerns our shareholders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www.spfi.bank for updated information. If you are planning to attend our meeting, please check the website one week prior to the meeting date. As always, we encourage you to vote your shares prior to the annual meeting. Shareholders will have the same opportunities to participate in the virtual meeting as they would if they had attended the annual meeting in person. Shareholder votes by proxy will still be effective if the annual shareholder meeting is conducted by remote communication. Shareholder votes via remote communication will be treated effectively as if the votes occurred “in person” for purposes of the voting standards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-1255395</wp:posOffset>
            </wp:positionV>
            <wp:extent cx="7132320" cy="1251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Curtis C. Griffith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Curtis C. Griffith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jc w:val="both"/>
        <w:ind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2020 Annual Meeting of Shareholders To Be Held on May 19, 2020: This proxy statement and our 2019 Annual Report are available at www.proxyvote.com.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proxy card is included. Whether or not you plan to attend the annual meeting,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836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 FOR 2020 ANNUAL MEETING OF SHAREHOLDERS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ABOUT THE ANNUAL MEETING</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PROPOSAL 1. ELECTION OF DIRECTORS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2. RATIFICATION OF THE APPOINTMENT OF INDEPENDENT REGISTERED PUBLIC ACCOUNTING FIRM</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CORPORATE GOVERNANCE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CURRENT EXECUTIVE OFFICERS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EXECUTIVE COMPENSATION AND OTHER MATTERS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CERTAIN RELATIONSHIPS AND RELATED PERSON TRANSACTIONS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1"/>
        </w:trPr>
        <w:tc>
          <w:tcPr>
            <w:tcW w:w="9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BENEFICIAL OWNERSHIP OF THE COMPANY’S COMMON STOCK BY MANAGEMENT AND PRINCIPAL SHAREHOLDERS</w:t>
              </w:r>
            </w:hyperlink>
          </w:p>
        </w:tc>
        <w:tc>
          <w:tcPr>
            <w:tcW w:w="1320" w:type="dxa"/>
            <w:vAlign w:val="bottom"/>
          </w:tcPr>
          <w:p>
            <w:pPr>
              <w:spacing w:after="0"/>
              <w:rPr>
                <w:sz w:val="24"/>
                <w:szCs w:val="24"/>
                <w:color w:val="auto"/>
              </w:rPr>
            </w:pPr>
          </w:p>
        </w:tc>
      </w:tr>
      <w:tr>
        <w:trPr>
          <w:trHeight w:val="196"/>
        </w:trPr>
        <w:tc>
          <w:tcPr>
            <w:tcW w:w="9920" w:type="dxa"/>
            <w:vAlign w:val="bottom"/>
            <w:gridSpan w:val="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 THE COMPANY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56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53"/>
        </w:trPr>
        <w:tc>
          <w:tcPr>
            <w:tcW w:w="992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SECTION 16(a) BENEFICIAL OWNERSHIP REPORTING COMPLIANCE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AUDIT COMMITTEE REPORT</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DATE FOR SUBMISSION OF SHAREHOLDER PROPOSALS FOR 2021 ANNUAL MEETING</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920" w:type="dxa"/>
            <w:vAlign w:val="bottom"/>
            <w:gridSpan w:val="2"/>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MATTERS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4"/>
        </w:trPr>
        <w:tc>
          <w:tcPr>
            <w:tcW w:w="15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2042795</wp:posOffset>
            </wp:positionH>
            <wp:positionV relativeFrom="page">
              <wp:posOffset>88900</wp:posOffset>
            </wp:positionV>
            <wp:extent cx="347154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471545" cy="531495"/>
                    </a:xfrm>
                    <a:prstGeom prst="rect">
                      <a:avLst/>
                    </a:prstGeom>
                    <a:noFill/>
                  </pic:spPr>
                </pic:pic>
              </a:graphicData>
            </a:graphic>
          </wp:anchor>
        </w:drawing>
        <w:t>5219 City Bank Parkway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Lubbock, Texas 79407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687-2265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2020 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19, 2020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of the Company (the “board”) for use at the 2020 annual meeting of shareholders of the Company to be held on Tuesday, May 19, 2020 at 2:00 pm Central Time, at the main office of City Bank located at 5219 City Bank Parkway, Lubbock, Texas 79407, and any adjournments thereof (the “annual meeting”) for the purposes set forth in this proxy statement and the accompanying notice of the meeting. This proxy statement, the notice of the meeting, the annual report to shareholders on Form 10-K for the year ended December 31, 2019, and the enclosed proxy card (collectively, the “proxy materials”) are first being sent to shareholders on or about April 13, 2020. You should read the entire proxy statement carefully before voting.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Materials for the 2020 Annual Meeting of Shareholders To Be Held on May 19, 2020</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rules promulgated by the Securities and Exchange Commission (the “SEC”), the Company is providing access to its proxy materials both by sending you a full set of proxy materials and making copies of these materials available on the Internet at www.proxyvote.com. Shareholders are encouraged to access and review the proxy materials before voting. This site will also have directions to attend the meeting and vote in person.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annual meeting is scheduled to take place at 2:00 pm Central Time, on May 19, 2020, at the main office of City Bank located at 5219 City Bank Parkway, Lubbock, Texas 79407.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2020 annual meeting of shareholders, shareholders will act upon the matters outlined in the notice, including the following:</w:t>
      </w:r>
    </w:p>
    <w:p>
      <w:pPr>
        <w:spacing w:after="0" w:line="225" w:lineRule="exact"/>
        <w:rPr>
          <w:sz w:val="20"/>
          <w:szCs w:val="20"/>
          <w:color w:val="auto"/>
        </w:rPr>
      </w:pPr>
    </w:p>
    <w:p>
      <w:pPr>
        <w:ind w:left="13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two (2) Class I directors to serve on the Company’s board of directors until the Company’s 2023 annual meeting of shareholders or until their respective successor or successors are duly elected and qualified or until their earlier resignation or removal;</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Weaver and Tidwell, L.L.P. as the independent registered public accounting firm of the Company for the year ending December 31, 2020;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or postponement thereof.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 for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two (2) persons have been nominated for election as Class I directors of the Company:</w:t>
      </w:r>
    </w:p>
    <w:p>
      <w:pPr>
        <w:spacing w:after="0" w:line="22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Richard D. Campbell</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Cynthia B. Keith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holders of record of the Company’s outstanding common stock on March 25, 2020,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has 18,056,014 shares of outstanding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may vote your shares of common stock either in person at the annual meeting or by proxy. The process for voting your shares depends on how your shares are held as described below. If you are a record holder on the record date for the annual meeting, you may vote by proxy or you may attend the annual meeting and vote in person. If you are a record holder and want to vote your shares by proxy, you may vote using any of the following methods:</w:t>
      </w:r>
    </w:p>
    <w:p>
      <w:pPr>
        <w:spacing w:after="0" w:line="187" w:lineRule="exact"/>
        <w:rPr>
          <w:sz w:val="20"/>
          <w:szCs w:val="20"/>
          <w:color w:val="auto"/>
        </w:rPr>
      </w:pPr>
    </w:p>
    <w:p>
      <w:pPr>
        <w:ind w:left="1300" w:hanging="320"/>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indicate on the proxy card applicable to your common stock how you want to vote and sign, date and mail your proxy card in the enclosed pre-addressed postage-paid envelope as soon as possible to ensure that it will be received in advance of the annual meeting;</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 to the website www.proxyvote.com and follow the instructions for Internet voting on that website;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over the telephone by following the instructions in the proxy card.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rPr>
          <w:sz w:val="20"/>
          <w:szCs w:val="20"/>
          <w:color w:val="auto"/>
        </w:rPr>
      </w:pPr>
      <w:r>
        <w:rPr>
          <w:rFonts w:ascii="Arial" w:cs="Arial" w:eastAsia="Arial" w:hAnsi="Arial"/>
          <w:sz w:val="22"/>
          <w:szCs w:val="22"/>
          <w:color w:val="auto"/>
        </w:rPr>
        <w:t>The Company must receive your vote no later than the time the polls close for voting at the annual meeting for your vote to be counted at the annual meeting. Please note that Internet and telephone voting will close at 11:59 pm, Eastern Time on May 18, 2020.</w:t>
      </w:r>
    </w:p>
    <w:p>
      <w:pPr>
        <w:spacing w:after="0" w:line="30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Voting your shares by proxy will enable your shares of common stock to be represented and voted at the annual meeting if you do not attend the annual meeting and vote your shares in person.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of common stock are held in “street name,” your ability to vote over the Internet depends on your broker’s voting process. You should follow the instructions on your broker’s or intermediary’s voting instruction card.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vote the shares that you hold in “street name” in person at the annual meeting, you must bring a legal proxy from your broker, bank or other nominee, (1) confirming that you were the beneficial owner of those shares as of the close of business on the record date, (2) stating the number of shares of which you were the beneficial owner that were held for your benefit at that time by that broker, bank or other nominee, and (3) appointing you as the record holder’s proxy to vote the shares covered by that proxy at the annual meeting. If you fail to bring a nominee-issued proxy to the annual meeting, you will not be able to vote your nominee-held shares in person at the annual meeting.</w:t>
      </w:r>
    </w:p>
    <w:p>
      <w:pPr>
        <w:spacing w:after="0" w:line="201"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We intend to hold our annual meeting in person as scheduled. However, we are actively monitoring the coronavirus (COVID-19); we are sensitive to the public health and travel concerns our shareholders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www.spfi.bank for updated information. If you are planning to attend our meeting, please check the website one week prior to the meeting date. As always, we encourage you to vote your shares prior to the annual meeting. Shareholders will have the same opportunities to participate in the virtual meeting as they would if they had attended the annual meeting in person. Shareholder votes by proxy will still be effective if the annual shareholder meeting is conducted by remote communication. Shareholder votes via remote communication will be treated effectively as if the votes occurred “in person” for purposes of the voting standards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-1255395</wp:posOffset>
            </wp:positionV>
            <wp:extent cx="7132320" cy="1251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your shares are registered directly in your name with Broadridge Corporate Issuer Solutions, the Company’s stock transfer agent, you are considered the “shareholder of record” with respect to those shares.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 quorum will be present at a meeting of shareholders if the holders of shares having a majority of the voting power represented by all of the issued and outstanding shares entitled to vote at the meeting are present in person or represented by proxy at the meeting. Each record holder of shares of common stock is entitled to one vote for each share of common stock registered, on the record date, in such holder’s name on the books of the Company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on all matters to be acted upon at the annual meeting. The Company’s certificate of formation prohibits cumulative voting. Should the meeting be held via remote communication, participation by shareholders via remote communication constitutes presence for the determination of a quorum for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Weaver and Tidwell, L.L.P. as our independent registered public accounting firm (Proposal 2). In the absence of specific instructions from you, your broker does not have discretionary authority to vote your shares with respect to the election of directors to the board (Proposal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more than one set of voting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 on how I should vote my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recommends that you vote your shares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each nominee for director;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ratification of the appointment of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if I return a signed and dated proxy card, but don’t specify how my shares will be voted?</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you are a record holder who returns a completed proxy card that does not specify how you want to vote your shares on one or more proposals, the proxies will vote your shares for each proposal as to which you provide no voting instructions, and such shares will be voted in the following manner: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each nominee for director;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ratification of the appointment of Weaver and Tidwell, L.L.P.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are a “street name” holder and do not provide voting instructions on one or more proposals, your bank, broker or other nominee will be unable to vote those shares, except that such nominee will have discretion to vote on the ratification of the appointment of Weaver and Tidwell, L.L.P. (Proposal 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choices when voting?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election of directors, you may vote for, against or abstain from all director nominees or as to one director nominee. With respect to the proposal to ratify the appointment of Weaver and Tidwell, L.L.P., you may vote for the proposal, against the proposal or abstain from voting on the proposal.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May I change my vote after I have submitted my proxy card?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Yes, if you own common stock of record, you may revoke your proxy or change your voting instructions at any time before your shares are voted at the annual meeting by:</w:t>
      </w:r>
    </w:p>
    <w:p>
      <w:pPr>
        <w:spacing w:after="0" w:line="170"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delivering to the Company prior to the annual meeting a written notice of revocation addressed to: South Plains Financial, Inc., 5219 City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Bank Parkway, Lubbock, Texas 79407, Attn: Corporate Secretary;</w:t>
      </w:r>
    </w:p>
    <w:p>
      <w:pPr>
        <w:spacing w:after="0" w:line="210" w:lineRule="exact"/>
        <w:rPr>
          <w:rFonts w:ascii="Arial" w:cs="Arial" w:eastAsia="Arial" w:hAnsi="Arial"/>
          <w:sz w:val="16"/>
          <w:szCs w:val="16"/>
          <w:color w:val="auto"/>
        </w:rPr>
      </w:pPr>
    </w:p>
    <w:p>
      <w:pPr>
        <w:ind w:left="1300" w:right="2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signing and returning a new proxy card with a later date than your original proxy card, prior to such time that the proxy card for any such holder of common stock must be received, and any earlier proxy will be revoked automatically;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logging onto the Internet website specified on your proxy card in the same manner you would to submit your proxy electronically and following the instructions indicated on the proxy card; or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and any earlier proxy will be revoked. However, attending the annual meeting without voting in person will not revoke your proxy.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percentage of the vote is required to approve each proposal?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Assuming the presence of a quorum, the election of Directors (Proposal 1) will require the affirmative vote of the holders of a majority of the shares entitled to vote in the election of directors and represented in person or by proxy.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Assuming the presence of a quorum, the ratification of Weaver and Tidwell, L.L.P.’s appointment as the Company’s independent registered public accounting firm (Proposal 2) will require the affirmative vote of the majority of the shares entitled to vote and represented in person or by proxy.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broker non-votes and abstentions treated?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Broker non-votes, as long as there is one routine matter to be voted on at the meeting, such as the ratification of appointment of Weaver and Tidwell, L.L.P. here, and abstentions are counted for purposes of determining the presence or absence of a quorum. A broker non-vote with respect to one or more nominees for director will not have the effect of a vote against such nominee or nominees (Proposal 1). Abstentions with respect to one or more nominees for director will have the same effect as a vote against such nominee or nominees (Proposal 1). Because the ratification of the appointment of the independent registered public accounting firm is considered a routine matter and a broker or other nominee may generally vote on routine matters, no broker non-votes are expected to occur in connection with the proposal to ratify the appointment of Weaver and Tidwell, L.L.P. as the Company’s independent registered public accounting firm. Abstentions with respect to ratification of the appointment of Weaver and Tidwell, L.L.P. as the Company’s independent registered public accounting firm (Proposal 2) will have the effect of a vote against the proposal to ratify.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solicitation expenses and who pays the cost of this proxy solicitation?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Are there any other matters to be acted upon at the annual meeting?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does not intend to present any business at the annual meeting for a vote other than the matters set forth in the notice,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form of proxy to vote the shares represented by the proxies held by them in accordance with applicable law and their judgment on such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voting results?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will publish the voting results in a current report on Form 8-K, which will be filed with the SEC within four (4) business days following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communicate with the board?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Term of Office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board currently consists of seven (7) directors. Pursuant to our amended and restated certificate of formation, our directors are divided into three (3) classes and stand for election for a term expiring at the third annual meeting of shareholders following the annual meeting of shareholders at which such director was elected, or until each person’s successor is duly elected, or until such director’s earlier death, resignation or removal.</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elected, all nominees will serve for a term commencing on the date of the annual meeting and continuing until the third annual meeting of shareholders following the annual meeting of shareholders at which such director was elected or until each person’s successor is duly elected, or until such director’s earlier death, resignation or removal. Each of the nominees is currently serving as a director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name, age as of December 31, 2019, and positions with the Company for each nominee for election as a director of the Company: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3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Name of Nominee</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60" w:type="dxa"/>
            <w:vAlign w:val="bottom"/>
          </w:tcPr>
          <w:p>
            <w:pPr>
              <w:spacing w:after="0"/>
              <w:rPr>
                <w:sz w:val="20"/>
                <w:szCs w:val="20"/>
                <w:color w:val="auto"/>
              </w:rPr>
            </w:pPr>
          </w:p>
        </w:tc>
      </w:tr>
      <w:tr>
        <w:trPr>
          <w:trHeight w:val="216"/>
        </w:trPr>
        <w:tc>
          <w:tcPr>
            <w:tcW w:w="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Richard D. Campbell</w:t>
            </w:r>
          </w:p>
        </w:tc>
        <w:tc>
          <w:tcPr>
            <w:tcW w:w="9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39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4"/>
              </w:rPr>
              <w:t>2011</w:t>
            </w:r>
          </w:p>
        </w:tc>
        <w:tc>
          <w:tcPr>
            <w:tcW w:w="6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Cynthia B. Keith</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Director</w:t>
            </w:r>
          </w:p>
        </w:tc>
        <w:tc>
          <w:tcPr>
            <w:tcW w:w="3980" w:type="dxa"/>
            <w:vAlign w:val="bottom"/>
          </w:tcPr>
          <w:p>
            <w:pPr>
              <w:spacing w:after="0"/>
              <w:rPr>
                <w:sz w:val="20"/>
                <w:szCs w:val="20"/>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Richard “Danny” Campbell</w:t>
      </w:r>
      <w:r>
        <w:rPr>
          <w:rFonts w:ascii="Arial" w:cs="Arial" w:eastAsia="Arial" w:hAnsi="Arial"/>
          <w:sz w:val="16"/>
          <w:szCs w:val="16"/>
          <w:color w:val="auto"/>
        </w:rPr>
        <w:t>. Mr. Campbell serves as the Lead Independent Director on the board of directors of the Company and has served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Cynthia B. “Cindi” Keith. </w:t>
      </w:r>
      <w:r>
        <w:rPr>
          <w:rFonts w:ascii="Arial" w:cs="Arial" w:eastAsia="Arial" w:hAnsi="Arial"/>
          <w:sz w:val="17"/>
          <w:szCs w:val="17"/>
          <w:color w:val="auto"/>
        </w:rPr>
        <w:t>Ms. Keith joined the board of directors of the Company in 2019 and has served on the board of directors of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and audit committee of PCTEL, Inc., a publicly traded company that provides technology solutions to the wireless industry. Ms. Keith holds a degree from the University of Texas at Dallas, is a Certified Public Accountant and has served 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Procedures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Assuming the presence of a quorum, the election of directors will require the affirmative vote of the holders of a majority of the shares entitled to vote in the election of directors and represented in person or by proxy. This means that the two (2) director nominees who receive a majority of affirmative votes for their election at this year’s annual meeting will be elected.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Shares represented by proxy will be voted in accordance with instructions. In the absence of instructions to the contrary, completed proxy cards that do not specify how shares should be voted with respect to the election of directors will be voted FOR the election of each nominee listed above.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nominee becomes unavailable to serve as a director for any reason before the election, the shares represented by proxy will be voted for such other person, if any, as may be designated by the board. The board has no reason to believe that any nominee will be unavailable to serve as a director. All of the nominees have consented to being named herein and to serve if elected.</w:t>
      </w:r>
    </w:p>
    <w:p>
      <w:pPr>
        <w:spacing w:after="0" w:line="184" w:lineRule="exact"/>
        <w:rPr>
          <w:sz w:val="20"/>
          <w:szCs w:val="20"/>
          <w:color w:val="auto"/>
        </w:rPr>
      </w:pPr>
    </w:p>
    <w:p>
      <w:pPr>
        <w:jc w:val="center"/>
        <w:ind w:left="340" w:right="120"/>
        <w:spacing w:after="0" w:line="277" w:lineRule="auto"/>
        <w:rPr>
          <w:sz w:val="20"/>
          <w:szCs w:val="20"/>
          <w:color w:val="auto"/>
        </w:rPr>
      </w:pPr>
      <w:r>
        <w:rPr>
          <w:rFonts w:ascii="Arial" w:cs="Arial" w:eastAsia="Arial" w:hAnsi="Arial"/>
          <w:sz w:val="18"/>
          <w:szCs w:val="18"/>
          <w:b w:val="1"/>
          <w:bCs w:val="1"/>
          <w:i w:val="1"/>
          <w:iCs w:val="1"/>
          <w:color w:val="auto"/>
        </w:rPr>
        <w:t>THE BOARD RECOMMENDS A VOTE “FOR” THE ELECTION OF EACH OF THE NOMINEES LISTED ABOVE FOR ELECTION TO THE BOARD.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600"/>
        <w:spacing w:after="0"/>
        <w:rPr>
          <w:sz w:val="20"/>
          <w:szCs w:val="20"/>
          <w:color w:val="auto"/>
        </w:rPr>
      </w:pPr>
      <w:r>
        <w:rPr>
          <w:rFonts w:ascii="Arial" w:cs="Arial" w:eastAsia="Arial" w:hAnsi="Arial"/>
          <w:sz w:val="18"/>
          <w:szCs w:val="18"/>
          <w:b w:val="1"/>
          <w:bCs w:val="1"/>
          <w:color w:val="auto"/>
        </w:rPr>
        <w:t>PROPOSAL 2. RATIFICATION OF THE APPOINTMENT OF INDEPENDENT REGISTERED PUBLIC ACCOUNTING FIRM</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recommendation of the Audit Committee, the board has appointed Weaver and Tidwell, L.L.P. as the independent registered public accounting firm of the Company for the year ending December 31, 2020. The board is seeking ratification of the appointment of Weaver and Tidwell, L.L.P. for the 2020 fiscal year. Shareholder ratification of the selection of Weaver and Tidwell, L.L.P. as our independent registered public accounting firm for the 2020 fiscal year is not required by our bylaws, state law or otherwise. However, the board is submitting the selection of Weaver and Tidwell, L.L.P. to our shareholders for ratification as a matter of good corporate governance. If the shareholders fail to ratify the selection, the Audit Committee will consider this information when determining whether to retain Weaver and Tidwell, L.L.P. for future services.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annual meeting, shareholders will be asked to consider and act upon a proposal to ratify the appointment of Weaver and Tidwell, L.L.P. Assuming a quorum is present, the ratification of such appointment will require the affirmative vote of the majority of the shares entitled to vote and represented in person or by proxy. Shares represented by proxy will be voted in accordance with instructions. In the absence of instructions to the contrary, completed proxy cards that do not specify how shares should be voted with respect to the ratification of the appointment of Weaver and Tidwell, L.L.P. will be voted FOR the ratification.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Representatives of Weaver and Tidwell, L.L.P. are expected to be in attendance at the annual meeting and will be afforded the opportunity to make a statement. The representatives will also be available to respond to questions.</w:t>
      </w:r>
    </w:p>
    <w:p>
      <w:pPr>
        <w:spacing w:after="0" w:line="170" w:lineRule="exact"/>
        <w:rPr>
          <w:sz w:val="20"/>
          <w:szCs w:val="20"/>
          <w:color w:val="auto"/>
        </w:rPr>
      </w:pPr>
    </w:p>
    <w:p>
      <w:pPr>
        <w:jc w:val="center"/>
        <w:ind w:left="340" w:right="140"/>
        <w:spacing w:after="0" w:line="308" w:lineRule="auto"/>
        <w:rPr>
          <w:sz w:val="20"/>
          <w:szCs w:val="20"/>
          <w:color w:val="auto"/>
        </w:rPr>
      </w:pPr>
      <w:r>
        <w:rPr>
          <w:rFonts w:ascii="Arial" w:cs="Arial" w:eastAsia="Arial" w:hAnsi="Arial"/>
          <w:sz w:val="17"/>
          <w:szCs w:val="17"/>
          <w:b w:val="1"/>
          <w:bCs w:val="1"/>
          <w:i w:val="1"/>
          <w:iCs w:val="1"/>
          <w:color w:val="auto"/>
        </w:rPr>
        <w:t>THE BOARD RECOMMENDS A VOTE “FOR” THE PROPOSAL TO RATIFY THE APPOINTMENT OF WEAVER AND TIDWELL, L.L.P. AS THE COMPANY’S INDEPENDENT REGISTERED PUBLIC ACCOUNTING FIRM FOR THE YEAR ENDING DECEMBER 31,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board met fourteen (14) times during the 2019 fiscal year (including regularly scheduled and special meetings). During fiscal year 2019,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While the Company does not have a formal policy requiring the directors attendance, the board encourages all directors to attend the annual meeting of shareholders. All of our directors attended the 2019 annual meeting of shareholders, which occurred prior to our initial public offering.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size of our board is currently set at seven members divided into three classes. In accordance with the Company’s amended and restated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amended and restated bylaws, a director appointed to fill a vacancy will be appointed to serve until such director’s successor shall have been duly elected and qualified.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has seven members, divided into three classes, Class I, Class II and Class III as follows:</w:t>
      </w:r>
    </w:p>
    <w:p>
      <w:pPr>
        <w:spacing w:after="0" w:line="225" w:lineRule="exact"/>
        <w:rPr>
          <w:sz w:val="20"/>
          <w:szCs w:val="20"/>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 directors are Richard D. Campbell and Cynthia B. Keith, and their term will expire at the annual meeting of shareholders to be held in 2020;</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II directors are Cory T. Newsom, Allison S. Navitskas and Noe G. Valles, and their term will expire at the annual meeting of shareholders expected to be held in 2021;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III directors are Curtis C. Griffith and Kyle R. Wargo, and their term will expire at the annual meeting of shareholders expected to be held in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discussed in greater detail below, the board has affirmatively determined that each of Richard D. Campbell, Cynthia B. Keith, Noe G. Valles, Allison S. Navitskas and Kyle R. Wargo is an independent director, as defined under the applicable rules. The board determined that each of Curtis C. Griffith and Cory T. Newsom do not qualify as an independent director because each is an executive officer of the Company.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provides information about the directors. The board is divided into three classes, the terms of which expire at our annual shareholders’ meetings in 2020, 2021, and 2022. Ages are as of December 31, 2019.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Company</w:t>
            </w: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Company</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Director</w:t>
            </w: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Director</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Until /</w:t>
            </w:r>
          </w:p>
        </w:tc>
      </w:t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3360" w:type="dxa"/>
            <w:vAlign w:val="bottom"/>
            <w:gridSpan w:val="2"/>
          </w:tcPr>
          <w:p>
            <w:pPr>
              <w:ind w:left="80"/>
              <w:spacing w:after="0"/>
              <w:rPr>
                <w:sz w:val="20"/>
                <w:szCs w:val="20"/>
                <w:color w:val="auto"/>
              </w:rPr>
            </w:pPr>
            <w:r>
              <w:rPr>
                <w:rFonts w:ascii="Arial" w:cs="Arial" w:eastAsia="Arial" w:hAnsi="Arial"/>
                <w:sz w:val="18"/>
                <w:szCs w:val="18"/>
                <w:b w:val="1"/>
                <w:bCs w:val="1"/>
                <w:color w:val="auto"/>
              </w:rPr>
              <w:t>Position with the Company</w:t>
            </w:r>
          </w:p>
        </w:tc>
        <w:tc>
          <w:tcPr>
            <w:tcW w:w="2820" w:type="dxa"/>
            <w:vAlign w:val="bottom"/>
            <w:gridSpan w:val="2"/>
          </w:tcPr>
          <w:p>
            <w:pPr>
              <w:ind w:left="80"/>
              <w:spacing w:after="0"/>
              <w:rPr>
                <w:sz w:val="20"/>
                <w:szCs w:val="20"/>
                <w:color w:val="auto"/>
              </w:rPr>
            </w:pPr>
            <w:r>
              <w:rPr>
                <w:rFonts w:ascii="Arial" w:cs="Arial" w:eastAsia="Arial" w:hAnsi="Arial"/>
                <w:sz w:val="18"/>
                <w:szCs w:val="18"/>
                <w:b w:val="1"/>
                <w:bCs w:val="1"/>
                <w:color w:val="auto"/>
              </w:rPr>
              <w:t>Position with the Bank</w:t>
            </w: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Since</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Class</w:t>
            </w:r>
          </w:p>
        </w:tc>
      </w:tr>
      <w:tr>
        <w:trPr>
          <w:trHeight w:val="195"/>
        </w:trPr>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Curtis C. Griffith</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6"/>
                <w:szCs w:val="16"/>
                <w:color w:val="auto"/>
              </w:rPr>
            </w:pPr>
          </w:p>
        </w:tc>
        <w:tc>
          <w:tcPr>
            <w:tcW w:w="3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w:t>
            </w:r>
          </w:p>
        </w:tc>
        <w:tc>
          <w:tcPr>
            <w:tcW w:w="8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610"/>
              <w:spacing w:after="0" w:line="195" w:lineRule="exact"/>
              <w:rPr>
                <w:sz w:val="20"/>
                <w:szCs w:val="20"/>
                <w:color w:val="auto"/>
              </w:rPr>
            </w:pPr>
            <w:r>
              <w:rPr>
                <w:rFonts w:ascii="Arial" w:cs="Arial" w:eastAsia="Arial" w:hAnsi="Arial"/>
                <w:sz w:val="18"/>
                <w:szCs w:val="18"/>
                <w:color w:val="auto"/>
                <w:w w:val="79"/>
              </w:rPr>
              <w:t>1972</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2022</w:t>
            </w:r>
          </w:p>
        </w:tc>
        <w:tc>
          <w:tcPr>
            <w:tcW w:w="8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 III</w:t>
            </w: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Executive Officer</w:t>
            </w: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Cory T. Newsom</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52</w:t>
            </w: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Director; President</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Director; President; Chief</w:t>
            </w:r>
          </w:p>
        </w:tc>
        <w:tc>
          <w:tcPr>
            <w:tcW w:w="1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2008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2021</w:t>
            </w:r>
          </w:p>
        </w:tc>
        <w:tc>
          <w:tcPr>
            <w:tcW w:w="800" w:type="dxa"/>
            <w:vAlign w:val="bottom"/>
          </w:tcPr>
          <w:p>
            <w:pPr>
              <w:ind w:left="40"/>
              <w:spacing w:after="0"/>
              <w:rPr>
                <w:sz w:val="20"/>
                <w:szCs w:val="20"/>
                <w:color w:val="auto"/>
              </w:rPr>
            </w:pPr>
            <w:r>
              <w:rPr>
                <w:rFonts w:ascii="Arial" w:cs="Arial" w:eastAsia="Arial" w:hAnsi="Arial"/>
                <w:sz w:val="18"/>
                <w:szCs w:val="18"/>
                <w:color w:val="auto"/>
              </w:rPr>
              <w:t>/ II</w:t>
            </w: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Executive Officer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Richard D. Campbell</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62</w:t>
            </w: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2011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2020</w:t>
            </w:r>
          </w:p>
        </w:tc>
        <w:tc>
          <w:tcPr>
            <w:tcW w:w="800" w:type="dxa"/>
            <w:vAlign w:val="bottom"/>
          </w:tcPr>
          <w:p>
            <w:pPr>
              <w:ind w:left="40"/>
              <w:spacing w:after="0"/>
              <w:rPr>
                <w:sz w:val="20"/>
                <w:szCs w:val="20"/>
                <w:color w:val="auto"/>
              </w:rPr>
            </w:pPr>
            <w:r>
              <w:rPr>
                <w:rFonts w:ascii="Arial" w:cs="Arial" w:eastAsia="Arial" w:hAnsi="Arial"/>
                <w:sz w:val="18"/>
                <w:szCs w:val="18"/>
                <w:color w:val="auto"/>
              </w:rPr>
              <w:t>/ I</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Cynthia B. Keith</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62</w:t>
            </w: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2020</w:t>
            </w:r>
          </w:p>
        </w:tc>
        <w:tc>
          <w:tcPr>
            <w:tcW w:w="800" w:type="dxa"/>
            <w:vAlign w:val="bottom"/>
          </w:tcPr>
          <w:p>
            <w:pPr>
              <w:ind w:left="40"/>
              <w:spacing w:after="0"/>
              <w:rPr>
                <w:sz w:val="20"/>
                <w:szCs w:val="20"/>
                <w:color w:val="auto"/>
              </w:rPr>
            </w:pPr>
            <w:r>
              <w:rPr>
                <w:rFonts w:ascii="Arial" w:cs="Arial" w:eastAsia="Arial" w:hAnsi="Arial"/>
                <w:sz w:val="18"/>
                <w:szCs w:val="18"/>
                <w:color w:val="auto"/>
              </w:rPr>
              <w:t>/ I</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Allison S. Navitskas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2021</w:t>
            </w:r>
          </w:p>
        </w:tc>
        <w:tc>
          <w:tcPr>
            <w:tcW w:w="800" w:type="dxa"/>
            <w:vAlign w:val="bottom"/>
          </w:tcPr>
          <w:p>
            <w:pPr>
              <w:ind w:left="40"/>
              <w:spacing w:after="0"/>
              <w:rPr>
                <w:sz w:val="20"/>
                <w:szCs w:val="20"/>
                <w:color w:val="auto"/>
              </w:rPr>
            </w:pPr>
            <w:r>
              <w:rPr>
                <w:rFonts w:ascii="Arial" w:cs="Arial" w:eastAsia="Arial" w:hAnsi="Arial"/>
                <w:sz w:val="18"/>
                <w:szCs w:val="18"/>
                <w:color w:val="auto"/>
              </w:rPr>
              <w:t>/ II</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Noe G. Valles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53</w:t>
            </w: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2021</w:t>
            </w:r>
          </w:p>
        </w:tc>
        <w:tc>
          <w:tcPr>
            <w:tcW w:w="800" w:type="dxa"/>
            <w:vAlign w:val="bottom"/>
          </w:tcPr>
          <w:p>
            <w:pPr>
              <w:ind w:left="40"/>
              <w:spacing w:after="0"/>
              <w:rPr>
                <w:sz w:val="20"/>
                <w:szCs w:val="20"/>
                <w:color w:val="auto"/>
              </w:rPr>
            </w:pPr>
            <w:r>
              <w:rPr>
                <w:rFonts w:ascii="Arial" w:cs="Arial" w:eastAsia="Arial" w:hAnsi="Arial"/>
                <w:sz w:val="18"/>
                <w:szCs w:val="18"/>
                <w:color w:val="auto"/>
              </w:rPr>
              <w:t>/ II</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Kyle R. Wargo</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59</w:t>
            </w:r>
          </w:p>
        </w:tc>
        <w:tc>
          <w:tcPr>
            <w:tcW w:w="33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2016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2022</w:t>
            </w:r>
          </w:p>
        </w:tc>
        <w:tc>
          <w:tcPr>
            <w:tcW w:w="800" w:type="dxa"/>
            <w:vAlign w:val="bottom"/>
          </w:tcPr>
          <w:p>
            <w:pPr>
              <w:ind w:left="40"/>
              <w:spacing w:after="0"/>
              <w:rPr>
                <w:sz w:val="20"/>
                <w:szCs w:val="20"/>
                <w:color w:val="auto"/>
              </w:rPr>
            </w:pPr>
            <w:r>
              <w:rPr>
                <w:rFonts w:ascii="Arial" w:cs="Arial" w:eastAsia="Arial" w:hAnsi="Arial"/>
                <w:sz w:val="18"/>
                <w:szCs w:val="18"/>
                <w:color w:val="auto"/>
              </w:rPr>
              <w:t>/ III</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brief discussion of the business and banking background and experience of our directors.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Curtis C. Griffith – Chairman and Chief Executive Officer</w:t>
      </w:r>
      <w:r>
        <w:rPr>
          <w:rFonts w:ascii="Arial" w:cs="Arial" w:eastAsia="Arial" w:hAnsi="Arial"/>
          <w:sz w:val="17"/>
          <w:szCs w:val="17"/>
          <w:color w:val="auto"/>
        </w:rPr>
        <w:t>. Mr. Griffith has been with the Company since its inception and has worked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and its predecessor institutions for over 48 years. Mr. Griffith became our Chairman and President in 1993, with his title shifting to Chairman and Chief Executive Officer in 2019 in connection with a general update of our executive team’s titles. Mr. Griffith has also served as Chairman of the Bank since 1984. In 1972, he was elected to the board of directors of First State Bank of Morton, Texas, a predecessor institution to the Bank, and continues to serve on the board of directors of the Bank. Mr. Griffith also served as Vice President of the Bank beginning in 1979.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17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 xml:space="preserve">Cory T. Newsom – Director and President. </w:t>
      </w:r>
      <w:r>
        <w:rPr>
          <w:rFonts w:ascii="Arial" w:cs="Arial" w:eastAsia="Arial" w:hAnsi="Arial"/>
          <w:sz w:val="16"/>
          <w:szCs w:val="16"/>
          <w:color w:val="auto"/>
        </w:rPr>
        <w:t>Mr. Newsom was named President of the Company in 2019 and has served on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37-year career in banking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Richard “Danny” Campbell</w:t>
      </w:r>
      <w:r>
        <w:rPr>
          <w:rFonts w:ascii="Arial" w:cs="Arial" w:eastAsia="Arial" w:hAnsi="Arial"/>
          <w:sz w:val="18"/>
          <w:szCs w:val="18"/>
          <w:color w:val="auto"/>
        </w:rPr>
        <w:t>. Mr. Campbell serves as the Lead Independent Director on the board of directors of the Company and has served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right="20"/>
        <w:spacing w:after="0" w:line="244" w:lineRule="auto"/>
        <w:rPr>
          <w:sz w:val="20"/>
          <w:szCs w:val="20"/>
          <w:color w:val="auto"/>
        </w:rPr>
      </w:pPr>
      <w:r>
        <w:rPr>
          <w:rFonts w:ascii="Arial" w:cs="Arial" w:eastAsia="Arial" w:hAnsi="Arial"/>
          <w:sz w:val="21"/>
          <w:szCs w:val="21"/>
          <w:color w:val="auto"/>
        </w:rPr>
        <w:t>Henry Resources. Mr. Campbell joined Henry Resources in May 2007 after 26 years of oil and gas and banking experience. 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spacing w:after="0" w:line="3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Cynthia B. “Cindi” Keith. </w:t>
      </w:r>
      <w:r>
        <w:rPr>
          <w:rFonts w:ascii="Arial" w:cs="Arial" w:eastAsia="Arial" w:hAnsi="Arial"/>
          <w:sz w:val="17"/>
          <w:szCs w:val="17"/>
          <w:color w:val="auto"/>
        </w:rPr>
        <w:t>Ms. Keith joined the board of directors of the Company in 2019 and has served on the board of directors of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and audit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our board.</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Allison S. Navitskas</w:t>
      </w:r>
      <w:r>
        <w:rPr>
          <w:rFonts w:ascii="Arial" w:cs="Arial" w:eastAsia="Arial" w:hAnsi="Arial"/>
          <w:sz w:val="17"/>
          <w:szCs w:val="17"/>
          <w:color w:val="auto"/>
        </w:rPr>
        <w:t>. Ms. Navitskas joined the board of directors of each of the Company and the Bank during 2019. She currently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for Lantern Asset Management, a private equity firm in Dallas. Previously she had served as Managing Director, Global Business Development and Strategy, for Lone Star Funds, a global private equity fund investing in debt and equity. Ms. Navitskas was a Managing Director with Hudson Advisors L.P., an affiliate of Lone Star Funds, serving in a variety of roles including Head of Asset Management for LStar Capital, a corporate direct lending platform. During her time at Hudson, which began in 2012, Ms. Navitskas provided services in both business and legal capacities, which included negotiating and closing numerous acquisitions, asset sales and lending transactions as an in-house attorney, as well as heading the asset management and workout practice for LStar Capital. Ms. Navitskas has served on the board of directors for several of Lone Star’s private and public portfolio companies, including Forterra, Inc. (Nasdaq: FRTA) and Foundation Building Materials, Inc. (NYSE: FBM). Prior to joining Hudson, Ms. Navitskas was Vice President/Associate General Counsel at FelCor Lodging Trust Incorporated (NYSE: FCH), a real estate investment trust in the hospitality sector. Ms. Navitskas was engaged in the private practice of law with Jenkens &amp; Gilchrist P.C. and later at Hunton &amp; Williams LLP, specializing in financial institutions, mergers and acquisitions, corporate finance, and securities law. She is a graduate of Columbia College. She earned a juris doctor degree from the University of Michigan Law School and an MBA from the University of Michigan’s Ross School of Business. Ms. Navitskas holds the Chartered Financial Analyst designation. Her public company experience and prior service on multiple public boards of directors, together with her financial knowledge and experience, qualify Ms. Navitskas to serve on our board.</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Noe G. Valles</w:t>
      </w:r>
      <w:r>
        <w:rPr>
          <w:rFonts w:ascii="Arial" w:cs="Arial" w:eastAsia="Arial" w:hAnsi="Arial"/>
          <w:sz w:val="16"/>
          <w:szCs w:val="16"/>
          <w:color w:val="auto"/>
        </w:rPr>
        <w:t>. Mr. Valles joined the board of directors of the Company in 2019 and has served on the board of directors of the Bank since 2015.</w:t>
      </w:r>
      <w:r>
        <w:rPr>
          <w:rFonts w:ascii="Arial" w:cs="Arial" w:eastAsia="Arial" w:hAnsi="Arial"/>
          <w:sz w:val="16"/>
          <w:szCs w:val="16"/>
          <w:i w:val="1"/>
          <w:iCs w:val="1"/>
          <w:color w:val="auto"/>
        </w:rPr>
        <w:t xml:space="preserve"> </w:t>
      </w:r>
      <w:r>
        <w:rPr>
          <w:rFonts w:ascii="Arial" w:cs="Arial" w:eastAsia="Arial" w:hAnsi="Arial"/>
          <w:sz w:val="16"/>
          <w:szCs w:val="16"/>
          <w:color w:val="auto"/>
        </w:rPr>
        <w:t>He is an attorney and has acted as the pre-litigation managing partner of Glasheen, Valles and Inderman, LLP since 2004. Mr. Valles is experienced in handling cases involving all types of injuries and has provided personal injury services in English and Spanish for 25 years. He is licensed to practice law in Texas and New Mexico state courts as well as the U.S. District Court for the Northern and Eastern Districts of Texas. Mr. Valles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Kyle R. Wargo</w:t>
      </w:r>
      <w:r>
        <w:rPr>
          <w:rFonts w:ascii="Arial" w:cs="Arial" w:eastAsia="Arial" w:hAnsi="Arial"/>
          <w:sz w:val="16"/>
          <w:szCs w:val="16"/>
          <w:color w:val="auto"/>
        </w:rPr>
        <w:t>. Dr. Wargo has served on the board of directors of the Company since 2016 and on the board of directors of the Bank since 2013.</w:t>
      </w:r>
      <w:r>
        <w:rPr>
          <w:rFonts w:ascii="Arial" w:cs="Arial" w:eastAsia="Arial" w:hAnsi="Arial"/>
          <w:sz w:val="16"/>
          <w:szCs w:val="16"/>
          <w:i w:val="1"/>
          <w:iCs w:val="1"/>
          <w:color w:val="auto"/>
        </w:rPr>
        <w:t xml:space="preserve"> </w:t>
      </w:r>
      <w:r>
        <w:rPr>
          <w:rFonts w:ascii="Arial" w:cs="Arial" w:eastAsia="Arial" w:hAnsi="Arial"/>
          <w:sz w:val="16"/>
          <w:szCs w:val="16"/>
          <w:color w:val="auto"/>
        </w:rPr>
        <w:t>He also served as an advisory director to the Bank from 2002 to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a Bachelor of Science degree from Baylor University in 1982, a Masters of Education from the University of Houston in 1984, and a Doctorate in Education from the University of Houston in 1995. Dr. Wargo’s experience in administration and leadership, as well as his understanding of state and local government, qualify him to serve on our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has evaluated the independence of each director based upon the rules of the NASDAQ Stock Market and the SEC and has considered the relationships that each direct has with the Company, including the transactions described under the section titled “Certain Relationships and Related Person Transactions” in this proxy statement. Applying these standards, our board has affirmatively determined that each of Richard D. Campbell, Cynthia B. Keith, Noe G. Valles, Allison S. Navitskas and Kyle R. Wargo is an independent director, as defined under the applicable rules. The board determined that each of Curtis C. Griffith and Cory T. Newsom does not qualify as an independent director because each is an executive officer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Chairman</w:t>
      </w:r>
      <w:r>
        <w:rPr>
          <w:rFonts w:ascii="Arial" w:cs="Arial" w:eastAsia="Arial" w:hAnsi="Arial"/>
          <w:sz w:val="17"/>
          <w:szCs w:val="17"/>
          <w:color w:val="auto"/>
        </w:rPr>
        <w:t>. Curtis C. Griffith currently serves as our Chairman and Chief Executive Officer. Mr. Griffith has been with the Company since its</w:t>
      </w:r>
      <w:r>
        <w:rPr>
          <w:rFonts w:ascii="Arial" w:cs="Arial" w:eastAsia="Arial" w:hAnsi="Arial"/>
          <w:sz w:val="17"/>
          <w:szCs w:val="17"/>
          <w:i w:val="1"/>
          <w:iCs w:val="1"/>
          <w:color w:val="auto"/>
        </w:rPr>
        <w:t xml:space="preserve"> </w:t>
      </w:r>
      <w:r>
        <w:rPr>
          <w:rFonts w:ascii="Arial" w:cs="Arial" w:eastAsia="Arial" w:hAnsi="Arial"/>
          <w:sz w:val="17"/>
          <w:szCs w:val="17"/>
          <w:color w:val="auto"/>
        </w:rPr>
        <w:t>inception and has worked with the Bank and its predecessor institutions for over 48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Lead Independent Director</w:t>
      </w:r>
      <w:r>
        <w:rPr>
          <w:rFonts w:ascii="Arial" w:cs="Arial" w:eastAsia="Arial" w:hAnsi="Arial"/>
          <w:sz w:val="18"/>
          <w:szCs w:val="18"/>
          <w:color w:val="auto"/>
        </w:rPr>
        <w:t>. At any time that the Chairman is not independent, the independent directors elect a director to serve as the Lead</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 The Lead Independent Director serves as a liaison between the Chairman and the independent directors and has the authority to call and chair meetings or executive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spacing w:after="0" w:line="342" w:lineRule="auto"/>
        <w:rPr>
          <w:sz w:val="20"/>
          <w:szCs w:val="20"/>
          <w:color w:val="auto"/>
        </w:rPr>
      </w:pPr>
      <w:r>
        <w:rPr>
          <w:rFonts w:ascii="Arial" w:cs="Arial" w:eastAsia="Arial" w:hAnsi="Arial"/>
          <w:sz w:val="16"/>
          <w:szCs w:val="16"/>
          <w:color w:val="auto"/>
        </w:rPr>
        <w:t>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2021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Director Nominees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amended and restated certificate of formation, or the certificate of formation, and our amended and restated bylaws, or the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nine (9) times during the year 2019.</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responsibilities of the Audit Committee include the following:</w:t>
      </w:r>
    </w:p>
    <w:p>
      <w:pPr>
        <w:spacing w:after="0" w:line="225" w:lineRule="exact"/>
        <w:rPr>
          <w:sz w:val="20"/>
          <w:szCs w:val="20"/>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quality and integrity of regulatory and financial accounting, financial statements, financial reporting processes and systems of internal accounting and financial controls;</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and evaluating the performance of the internal audit function and review;</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effectiveness of the system for monitoring compliance with laws and regulations and the results of any investigation by management;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instituting and overseeing any special investigations;</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earnings releases and reports filed with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report;</w:t>
      </w:r>
    </w:p>
    <w:p>
      <w:pPr>
        <w:spacing w:after="0" w:line="225"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p>
      <w:pPr>
        <w:spacing w:after="0" w:line="165" w:lineRule="exact"/>
        <w:rPr>
          <w:rFonts w:ascii="Arial" w:cs="Arial" w:eastAsia="Arial" w:hAnsi="Arial"/>
          <w:sz w:val="17"/>
          <w:szCs w:val="17"/>
          <w:color w:val="auto"/>
        </w:rPr>
      </w:pPr>
    </w:p>
    <w:p>
      <w:pPr>
        <w:ind w:left="1300" w:hanging="320"/>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reports and recommendations provided by senior management or third party consultants retained by the committee related to the Company’s financial, operational, credit, strategic, market, investment, liquidity, reputational and compliance risks;</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from time to time.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members of the Audit Committee are Kyle R. Wargo (Committee Chairman), Richard D. Campbell, and Cynthia B. Keith.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board has determined that each of Richard D. Campbell and Cynthia B. Keith qualifies as an “audit committee financial expert,” as defined by the SEC.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four (4) times during the year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has the following responsibilities:</w:t>
      </w:r>
    </w:p>
    <w:p>
      <w:pPr>
        <w:spacing w:after="0" w:line="225" w:lineRule="exact"/>
        <w:rPr>
          <w:sz w:val="20"/>
          <w:szCs w:val="20"/>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determining, and recommending to the board for its confirmation, the annual compensation, annual incentive opportunities and any other matter relating to the compensation of the Company’s executive officers;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monitoring and evaluating the risks related to the Company’s compensation programs and practices;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comparing compensation practices of any relevant peer group in order to assist in the committee’s evaluation of the appropriateness of the Company’s compensation practices and programs;</w:t>
      </w:r>
    </w:p>
    <w:p>
      <w:pPr>
        <w:spacing w:after="0" w:line="170" w:lineRule="exact"/>
        <w:rPr>
          <w:rFonts w:ascii="Arial" w:cs="Arial" w:eastAsia="Arial" w:hAnsi="Arial"/>
          <w:sz w:val="18"/>
          <w:szCs w:val="18"/>
          <w:color w:val="auto"/>
        </w:rPr>
      </w:pPr>
    </w:p>
    <w:p>
      <w:pPr>
        <w:ind w:left="1300" w:right="20" w:hanging="320"/>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146"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performance of the executive officers for each fiscal year;</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producing the Compensation Committee Report on executive compensation if required for inclusion in the Company’s annual meeting proxy statement in compliance with the rules and regulations promulgated by the SEC;</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18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performing any other duties or responsibilities the board may expressly delegate to the committee from time to time on matters relating to the Company’s compensation programs.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members of the Compensation Committee are Richard D. Campbell (Committee Chairman), Noe G. Valles, and Allison S. Navitskas. Our board has evaluated the independence of each of the members of our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Compensation Committee and has affirmatively determined that each of the members of our Compensation Committee meets the definition of an “independent director” under NASDAQ Stock Market rules.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did not meet during the fiscal year of 2019.</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and Corporate Governance Committee has the following responsibilities:</w:t>
      </w:r>
    </w:p>
    <w:p>
      <w:pPr>
        <w:spacing w:after="0" w:line="225"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policies on the size and composition of our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to be considered in identifying and selecting nominees for director;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possible candidates for election to the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candidates for election or re-election to our board of directors;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committee structure, composition and assignments;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conducting an annual performance evaluation of the board and its committees;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committee’s performance and the adequacy of the Charter of the Nominating and Corporate Governance Committee on an annual basis.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members of the Nominating and Corporate Governance Committee are Richard D. Campbell (Committee Chairman), Kyle R. Wargo, and Noe G. Valles. Our board has evaluated the independence of each of the members of our Nominating and Corporate Governance Committee and has affirmatively determined that each of the members of our Compensation Committee meets the definition of an “independent director” under NASDAQ Stock Market rules.</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Nominating and Corporate Governance Committee will consider shareholder recommendations for nominees, provided that such shareholder complies with the procedures described in the section titled “—Date For Submission Of Shareholder Proposals For 2021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We expect that any amendments to the Code of Business Conduct and Ethics, or any waivers of their respective requirements, will be disclosed on our website, as well as any other means required by NASDAQ Global Select Market rules or the SEC.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CURRENT EXECUTIVE OFFICERS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name, age and position with the Company of each of our named executive officers. The business address for all of these individuals is 5219 City Bank Parkway, Lubbock, Texas 79407.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Name of Named Executive Officers</w:t>
            </w:r>
          </w:p>
        </w:tc>
        <w:tc>
          <w:tcPr>
            <w:tcW w:w="4780" w:type="dxa"/>
            <w:vAlign w:val="bottom"/>
            <w:gridSpan w:val="2"/>
          </w:tcPr>
          <w:p>
            <w:pPr>
              <w:ind w:left="1280"/>
              <w:spacing w:after="0"/>
              <w:rPr>
                <w:sz w:val="20"/>
                <w:szCs w:val="20"/>
                <w:color w:val="auto"/>
              </w:rPr>
            </w:pPr>
            <w:r>
              <w:rPr>
                <w:rFonts w:ascii="Arial" w:cs="Arial" w:eastAsia="Arial" w:hAnsi="Arial"/>
                <w:sz w:val="18"/>
                <w:szCs w:val="18"/>
                <w:b w:val="1"/>
                <w:bCs w:val="1"/>
                <w:color w:val="auto"/>
              </w:rPr>
              <w:t>Position with the Company</w:t>
            </w: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w w:val="95"/>
              </w:rPr>
              <w:t>Position with the Bank</w:t>
            </w: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Age</w:t>
            </w:r>
          </w:p>
        </w:tc>
      </w:tr>
      <w:tr>
        <w:trPr>
          <w:trHeight w:val="210"/>
        </w:trPr>
        <w:tc>
          <w:tcPr>
            <w:tcW w:w="3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Curtis C. Griffith</w:t>
            </w:r>
          </w:p>
        </w:tc>
        <w:tc>
          <w:tcPr>
            <w:tcW w:w="12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Chairman and 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Chairman of the Board</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67</w:t>
            </w:r>
          </w:p>
        </w:tc>
      </w:tr>
      <w:tr>
        <w:trPr>
          <w:trHeight w:val="202"/>
        </w:trPr>
        <w:tc>
          <w:tcPr>
            <w:tcW w:w="35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Cory T. Newsom</w:t>
            </w:r>
          </w:p>
        </w:tc>
        <w:tc>
          <w:tcPr>
            <w:tcW w:w="47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Director and President</w:t>
            </w:r>
          </w:p>
        </w:tc>
        <w:tc>
          <w:tcPr>
            <w:tcW w:w="18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Director; President;</w:t>
            </w:r>
          </w:p>
        </w:tc>
        <w:tc>
          <w:tcPr>
            <w:tcW w:w="1020" w:type="dxa"/>
            <w:vAlign w:val="bottom"/>
          </w:tcPr>
          <w:p>
            <w:pPr>
              <w:jc w:val="right"/>
              <w:ind w:right="750"/>
              <w:spacing w:after="0" w:line="201" w:lineRule="exact"/>
              <w:rPr>
                <w:sz w:val="20"/>
                <w:szCs w:val="20"/>
                <w:color w:val="auto"/>
              </w:rPr>
            </w:pPr>
            <w:r>
              <w:rPr>
                <w:rFonts w:ascii="Arial" w:cs="Arial" w:eastAsia="Arial" w:hAnsi="Arial"/>
                <w:sz w:val="18"/>
                <w:szCs w:val="18"/>
                <w:color w:val="auto"/>
                <w:w w:val="79"/>
              </w:rPr>
              <w:t>52</w:t>
            </w: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Chief Executive</w:t>
            </w:r>
          </w:p>
        </w:tc>
        <w:tc>
          <w:tcPr>
            <w:tcW w:w="102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20"/>
                <w:szCs w:val="20"/>
                <w:color w:val="auto"/>
              </w:rPr>
            </w:pPr>
          </w:p>
        </w:tc>
      </w:tr>
      <w:tr>
        <w:trPr>
          <w:trHeight w:val="216"/>
        </w:trPr>
        <w:tc>
          <w:tcPr>
            <w:tcW w:w="3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Steven B. Crockett</w:t>
            </w: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Treasurer</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0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48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of our Named Executive Officers who are not also Directors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Steven B. Crockett – Chief Financial Officer and Treasurer</w:t>
      </w:r>
      <w:r>
        <w:rPr>
          <w:rFonts w:ascii="Arial" w:cs="Arial" w:eastAsia="Arial" w:hAnsi="Arial"/>
          <w:sz w:val="17"/>
          <w:szCs w:val="17"/>
          <w:color w:val="auto"/>
        </w:rPr>
        <w:t>. Mr. Crockett has served as Chief Financial Officer and Treasurer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Leadership Team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other members of our bank’s senior leadership team who, in addition to Mr. Griffith and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Newsom, serve as officers of City Bank.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Name of Officer</w:t>
            </w:r>
          </w:p>
        </w:tc>
        <w:tc>
          <w:tcPr>
            <w:tcW w:w="4940" w:type="dxa"/>
            <w:vAlign w:val="bottom"/>
            <w:gridSpan w:val="2"/>
          </w:tcPr>
          <w:p>
            <w:pPr>
              <w:ind w:left="1460"/>
              <w:spacing w:after="0"/>
              <w:rPr>
                <w:sz w:val="20"/>
                <w:szCs w:val="20"/>
                <w:color w:val="auto"/>
              </w:rPr>
            </w:pPr>
            <w:r>
              <w:rPr>
                <w:rFonts w:ascii="Arial" w:cs="Arial" w:eastAsia="Arial" w:hAnsi="Arial"/>
                <w:sz w:val="18"/>
                <w:szCs w:val="18"/>
                <w:b w:val="1"/>
                <w:bCs w:val="1"/>
                <w:color w:val="auto"/>
              </w:rPr>
              <w:t>Position at the Company</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Position at the Bank</w:t>
            </w: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Age</w:t>
            </w:r>
          </w:p>
        </w:tc>
      </w:tr>
      <w:tr>
        <w:trPr>
          <w:trHeight w:val="209"/>
        </w:trPr>
        <w:tc>
          <w:tcPr>
            <w:tcW w:w="3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Mikella D. Newsom</w:t>
            </w:r>
          </w:p>
        </w:tc>
        <w:tc>
          <w:tcPr>
            <w:tcW w:w="1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Risk Officer; Secretary</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Chief Risk Officer</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46</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of our Senior Leadership Team who are not also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Mikella D. Newsom – Chief Risk Officer and Secretary</w:t>
      </w:r>
      <w:r>
        <w:rPr>
          <w:rFonts w:ascii="Arial" w:cs="Arial" w:eastAsia="Arial" w:hAnsi="Arial"/>
          <w:sz w:val="18"/>
          <w:szCs w:val="18"/>
          <w:color w:val="auto"/>
        </w:rPr>
        <w:t>. Ms. Newsom was named Chief Risk Officer of the Company in 2019 and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the Company since 2013. She previously served in a number of other capacities at the Company since 2013, including Senior Vice President, Chief Financial Officer, and Treasurer through 2015. She has a 24-year banking career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board of directors of the Frenship Foundation for Leadership. Ms. Newsom earned a Bachelor of Science degree in agricultural economics from Texas Tech University in 1996.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OTHER MATTERS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We are an “emerging growth company,” as defined in the Jumpstart Our Business Startups Act of 2012, or the JOBS Act and a “smaller reporting company,” as defined in Item 10(f)(1) of Regulation S-K. As such, we are eligible to take advantage of certain exemptions from various reporting requirements that are applicable to other public companies that are not emerging growth companies or smaller reporting companies. These include, but are not limited to, reduced disclosure obligations regarding executive compensation in our proxy statements, including the requirement to include a specific form of Compensation Discussion and Analysis, as well as exemptions from the requirement to hold a non-binding advisory vote on executive compensation and the requirement to obtain shareholder approval of any golden parachute payments not previously approved. We have elected to comply with the scaled disclosure requirements applicable to emerging growth companies and smaller reporting companies.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“named executive officers,” which consist of our principal executive officer and the two other most highly compensated executive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21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Curtis C. Griffith </w:t>
      </w:r>
      <w:r>
        <w:rPr>
          <w:rFonts w:ascii="Arial" w:cs="Arial" w:eastAsia="Arial" w:hAnsi="Arial"/>
          <w:sz w:val="18"/>
          <w:szCs w:val="18"/>
          <w:color w:val="auto"/>
        </w:rPr>
        <w:t>— Chairman and Chief Executive Officer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color w:val="auto"/>
        </w:rPr>
        <w:t>— President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color w:val="auto"/>
        </w:rPr>
        <w:t>—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information regarding the compensation paid, awarded to, or earned by each of our named executive officers for the fiscal years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Non-Equity</w:t>
            </w:r>
          </w:p>
        </w:tc>
        <w:tc>
          <w:tcPr>
            <w:tcW w:w="920" w:type="dxa"/>
            <w:vAlign w:val="bottom"/>
          </w:tcPr>
          <w:p>
            <w:pPr>
              <w:spacing w:after="0"/>
              <w:rPr>
                <w:sz w:val="20"/>
                <w:szCs w:val="20"/>
                <w:color w:val="auto"/>
              </w:rPr>
            </w:pPr>
            <w:r>
              <w:rPr>
                <w:rFonts w:ascii="Arial" w:cs="Arial" w:eastAsia="Arial" w:hAnsi="Arial"/>
                <w:sz w:val="14"/>
                <w:szCs w:val="14"/>
                <w:b w:val="1"/>
                <w:bCs w:val="1"/>
                <w:color w:val="auto"/>
              </w:rPr>
              <w:t>Nonqualified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Bonus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920" w:type="dxa"/>
            <w:vAlign w:val="bottom"/>
          </w:tcPr>
          <w:p>
            <w:pPr>
              <w:spacing w:after="0" w:line="149" w:lineRule="exact"/>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line="145" w:lineRule="exact"/>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Year</w:t>
            </w:r>
          </w:p>
        </w:tc>
        <w:tc>
          <w:tcPr>
            <w:tcW w:w="5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45" w:lineRule="exact"/>
              <w:rPr>
                <w:sz w:val="20"/>
                <w:szCs w:val="20"/>
                <w:color w:val="auto"/>
              </w:rPr>
            </w:pPr>
            <w:r>
              <w:rPr>
                <w:rFonts w:ascii="Arial" w:cs="Arial" w:eastAsia="Arial" w:hAnsi="Arial"/>
                <w:sz w:val="14"/>
                <w:szCs w:val="14"/>
                <w:b w:val="1"/>
                <w:bCs w:val="1"/>
                <w:color w:val="auto"/>
                <w:w w:val="94"/>
              </w:rPr>
              <w:t>Awards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920" w:type="dxa"/>
            <w:vAlign w:val="bottom"/>
          </w:tcPr>
          <w:p>
            <w:pP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1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line="17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line="17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r>
              <w:rPr>
                <w:rFonts w:ascii="Arial" w:cs="Arial" w:eastAsia="Arial" w:hAnsi="Arial"/>
                <w:sz w:val="13"/>
                <w:szCs w:val="13"/>
                <w:b w:val="1"/>
                <w:bCs w:val="1"/>
                <w:color w:val="auto"/>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line="17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160" w:type="dxa"/>
            <w:vAlign w:val="bottom"/>
            <w:tcBorders>
              <w:top w:val="single" w:sz="8" w:color="auto"/>
            </w:tcBorders>
            <w:shd w:val="clear" w:color="auto" w:fill="CCEEFF"/>
          </w:tcPr>
          <w:p>
            <w:pPr>
              <w:ind w:left="40"/>
              <w:spacing w:after="0" w:line="123" w:lineRule="exact"/>
              <w:rPr>
                <w:sz w:val="20"/>
                <w:szCs w:val="20"/>
                <w:color w:val="auto"/>
              </w:rPr>
            </w:pPr>
            <w:r>
              <w:rPr>
                <w:rFonts w:ascii="Arial" w:cs="Arial" w:eastAsia="Arial" w:hAnsi="Arial"/>
                <w:sz w:val="14"/>
                <w:szCs w:val="14"/>
                <w:b w:val="1"/>
                <w:bCs w:val="1"/>
                <w:color w:val="auto"/>
              </w:rPr>
              <w:t>Curtis C. Griffith</w:t>
            </w:r>
          </w:p>
        </w:tc>
        <w:tc>
          <w:tcPr>
            <w:tcW w:w="1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Chairman of the Board and Chief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Executive Officer</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2019</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366,088</w:t>
            </w:r>
          </w:p>
        </w:tc>
        <w:tc>
          <w:tcPr>
            <w:tcW w:w="4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121,367</w:t>
            </w: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307,800</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49,751</w:t>
            </w: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845,006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2018</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402,796</w:t>
            </w:r>
          </w:p>
        </w:tc>
        <w:tc>
          <w:tcPr>
            <w:tcW w:w="4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47,790</w:t>
            </w: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60,391</w:t>
            </w: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510,997</w:t>
            </w:r>
          </w:p>
        </w:tc>
        <w:tc>
          <w:tcPr>
            <w:tcW w:w="0" w:type="dxa"/>
            <w:vAlign w:val="bottom"/>
          </w:tcPr>
          <w:p>
            <w:pPr>
              <w:spacing w:after="0"/>
              <w:rPr>
                <w:sz w:val="1"/>
                <w:szCs w:val="1"/>
                <w:color w:val="auto"/>
              </w:rPr>
            </w:pPr>
          </w:p>
        </w:tc>
      </w:tr>
      <w:tr>
        <w:trPr>
          <w:trHeight w:val="130"/>
        </w:trPr>
        <w:tc>
          <w:tcPr>
            <w:tcW w:w="2160" w:type="dxa"/>
            <w:vAlign w:val="bottom"/>
          </w:tcPr>
          <w:p>
            <w:pPr>
              <w:ind w:left="40"/>
              <w:spacing w:after="0" w:line="130" w:lineRule="exact"/>
              <w:rPr>
                <w:sz w:val="20"/>
                <w:szCs w:val="20"/>
                <w:color w:val="auto"/>
              </w:rPr>
            </w:pPr>
            <w:r>
              <w:rPr>
                <w:rFonts w:ascii="Arial" w:cs="Arial" w:eastAsia="Arial" w:hAnsi="Arial"/>
                <w:sz w:val="14"/>
                <w:szCs w:val="14"/>
                <w:b w:val="1"/>
                <w:bCs w:val="1"/>
                <w:color w:val="auto"/>
              </w:rPr>
              <w:t>Cory T. Newsom</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40"/>
              <w:spacing w:after="0"/>
              <w:rPr>
                <w:sz w:val="20"/>
                <w:szCs w:val="20"/>
                <w:color w:val="auto"/>
              </w:rPr>
            </w:pPr>
            <w:r>
              <w:rPr>
                <w:rFonts w:ascii="Arial" w:cs="Arial" w:eastAsia="Arial" w:hAnsi="Arial"/>
                <w:sz w:val="14"/>
                <w:szCs w:val="14"/>
                <w:color w:val="auto"/>
              </w:rPr>
              <w:t>President</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2019</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700,474</w:t>
            </w:r>
          </w:p>
        </w:tc>
        <w:tc>
          <w:tcPr>
            <w:tcW w:w="46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148,698</w:t>
            </w: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472,500</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63,117</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2,384,782</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2018</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766,956</w:t>
            </w:r>
          </w:p>
        </w:tc>
        <w:tc>
          <w:tcPr>
            <w:tcW w:w="46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104,215</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62,022</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933,193</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40"/>
              <w:spacing w:after="0" w:line="130" w:lineRule="exact"/>
              <w:rPr>
                <w:sz w:val="20"/>
                <w:szCs w:val="20"/>
                <w:color w:val="auto"/>
              </w:rPr>
            </w:pPr>
            <w:r>
              <w:rPr>
                <w:rFonts w:ascii="Arial" w:cs="Arial" w:eastAsia="Arial" w:hAnsi="Arial"/>
                <w:sz w:val="10"/>
                <w:szCs w:val="10"/>
                <w:b w:val="1"/>
                <w:bCs w:val="1"/>
                <w:color w:val="auto"/>
              </w:rPr>
              <w:t>Steven B. Crockett</w:t>
            </w:r>
            <w:r>
              <w:rPr>
                <w:rFonts w:ascii="Arial" w:cs="Arial" w:eastAsia="Arial" w:hAnsi="Arial"/>
                <w:sz w:val="15"/>
                <w:szCs w:val="15"/>
                <w:b w:val="1"/>
                <w:bCs w:val="1"/>
                <w:color w:val="auto"/>
                <w:vertAlign w:val="superscript"/>
              </w:rPr>
              <w:t>(4)</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Financial Officer</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2019</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303,384</w:t>
            </w:r>
          </w:p>
        </w:tc>
        <w:tc>
          <w:tcPr>
            <w:tcW w:w="4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3,480</w:t>
            </w: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125,778</w:t>
            </w: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170,520</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30,131</w:t>
            </w: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778,284</w:t>
            </w:r>
          </w:p>
        </w:tc>
        <w:tc>
          <w:tcPr>
            <w:tcW w:w="0" w:type="dxa"/>
            <w:vAlign w:val="bottom"/>
          </w:tcPr>
          <w:p>
            <w:pPr>
              <w:spacing w:after="0"/>
              <w:rPr>
                <w:sz w:val="1"/>
                <w:szCs w:val="1"/>
                <w:color w:val="auto"/>
              </w:rPr>
            </w:pPr>
          </w:p>
        </w:tc>
      </w:tr>
      <w:tr>
        <w:trPr>
          <w:trHeight w:val="130"/>
        </w:trPr>
        <w:tc>
          <w:tcPr>
            <w:tcW w:w="2160" w:type="dxa"/>
            <w:vAlign w:val="bottom"/>
          </w:tcPr>
          <w:p>
            <w:pPr>
              <w:ind w:left="40"/>
              <w:spacing w:after="0" w:line="130" w:lineRule="exact"/>
              <w:rPr>
                <w:sz w:val="20"/>
                <w:szCs w:val="20"/>
                <w:color w:val="auto"/>
              </w:rPr>
            </w:pPr>
            <w:r>
              <w:rPr>
                <w:rFonts w:ascii="Arial" w:cs="Arial" w:eastAsia="Arial" w:hAnsi="Arial"/>
                <w:sz w:val="10"/>
                <w:szCs w:val="10"/>
                <w:b w:val="1"/>
                <w:bCs w:val="1"/>
                <w:color w:val="auto"/>
              </w:rPr>
              <w:t>Kelly L. Deterding</w:t>
            </w:r>
            <w:r>
              <w:rPr>
                <w:rFonts w:ascii="Arial" w:cs="Arial" w:eastAsia="Arial" w:hAnsi="Arial"/>
                <w:sz w:val="15"/>
                <w:szCs w:val="15"/>
                <w:b w:val="1"/>
                <w:bCs w:val="1"/>
                <w:color w:val="auto"/>
                <w:vertAlign w:val="superscript"/>
              </w:rPr>
              <w:t>(4)</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40"/>
              <w:spacing w:after="0"/>
              <w:rPr>
                <w:sz w:val="20"/>
                <w:szCs w:val="20"/>
                <w:color w:val="auto"/>
              </w:rPr>
            </w:pPr>
            <w:r>
              <w:rPr>
                <w:rFonts w:ascii="Arial" w:cs="Arial" w:eastAsia="Arial" w:hAnsi="Arial"/>
                <w:sz w:val="14"/>
                <w:szCs w:val="14"/>
                <w:color w:val="auto"/>
              </w:rPr>
              <w:t>President of Windmark Insurance</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2018</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110,893</w:t>
            </w:r>
          </w:p>
        </w:tc>
        <w:tc>
          <w:tcPr>
            <w:tcW w:w="46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12,370</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507,298</w:t>
            </w:r>
          </w:p>
        </w:tc>
        <w:tc>
          <w:tcPr>
            <w:tcW w:w="92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11,791</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642,352</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right="40" w:hanging="652"/>
        <w:spacing w:after="0" w:line="192"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Reflects the aggregate grant date fair value, determined in accordance with applicable FASB ASC Topic 718 and the Black-Scholes option pricing model, of stock option awards made during the 2019 fiscal year. The discussion of the assumptions used in calculating the aggregate grant date fair value of the stock option awards can be found in Footnote 10 of the Notes to Consolidated Financial Statements included in the Company’s Form 10-K for the year ended December 31, 2019.</w:t>
      </w:r>
    </w:p>
    <w:p>
      <w:pPr>
        <w:spacing w:after="0" w:line="44"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3"/>
          <w:szCs w:val="13"/>
          <w:color w:val="auto"/>
        </w:rPr>
        <w:t>Amounts represent annual incentive bonuses that were earned in 2019. For a description of annual incentive bonuses for 2019, see “Annual Cash Incentive Compensation” below.</w:t>
      </w:r>
    </w:p>
    <w:p>
      <w:pPr>
        <w:spacing w:after="0" w:line="126" w:lineRule="exact"/>
        <w:rPr>
          <w:rFonts w:ascii="Arial" w:cs="Arial" w:eastAsia="Arial" w:hAnsi="Arial"/>
          <w:sz w:val="22"/>
          <w:szCs w:val="22"/>
          <w:color w:val="auto"/>
          <w:vertAlign w:val="superscript"/>
        </w:rPr>
      </w:pPr>
    </w:p>
    <w:p>
      <w:pPr>
        <w:ind w:left="660" w:hanging="652"/>
        <w:spacing w:after="0" w:line="190"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3"/>
          <w:szCs w:val="13"/>
          <w:color w:val="auto"/>
        </w:rPr>
        <w:t>We provide our NEOs with other benefits that we believe are reasonable, competitive and consistent with our overall executive compensation structure. The amounts in this column for fiscal year 2019 include:</w:t>
      </w:r>
    </w:p>
    <w:p>
      <w:pPr>
        <w:spacing w:after="0" w:line="114" w:lineRule="exact"/>
        <w:rPr>
          <w:rFonts w:ascii="Arial" w:cs="Arial" w:eastAsia="Arial" w:hAnsi="Arial"/>
          <w:sz w:val="22"/>
          <w:szCs w:val="22"/>
          <w:color w:val="auto"/>
          <w:vertAlign w:val="superscript"/>
        </w:rPr>
      </w:pPr>
    </w:p>
    <w:p>
      <w:pPr>
        <w:ind w:left="1300" w:right="520" w:hanging="644"/>
        <w:spacing w:after="0" w:line="253" w:lineRule="auto"/>
        <w:tabs>
          <w:tab w:leader="none" w:pos="13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For Mr. Griffith: director fees of $14,866, vehicle expenses of $14,985, Company-paid health incentives of $24, a contribution for our ESOP of $14,131 and excess contributions of $2,969 paid in cash and Company-paid premiums for group insurance of $2,776.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1300" w:hanging="644"/>
        <w:spacing w:after="0" w:line="230" w:lineRule="auto"/>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For Mr. Newsom: director fees of $14,866, vehicle expenses of $6,352, a contribution for our ESOP of $11,550 and excess contributions of $18,375 paid in cash, Company-paid premiums for group insurance of $1,232 and home security and country-club dues of $10,742.</w:t>
      </w:r>
    </w:p>
    <w:p>
      <w:pPr>
        <w:ind w:left="1300" w:hanging="644"/>
        <w:spacing w:after="0" w:line="231" w:lineRule="auto"/>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For Mr. Crockett: vehicle expenses of $15,000, a contribution for our ESOP of $13,255 and excess contributions of 500 paid in cash, Company-paid premiums for group insurance of $836 and home security of $520.</w:t>
      </w:r>
    </w:p>
    <w:p>
      <w:pPr>
        <w:ind w:left="660" w:hanging="652"/>
        <w:spacing w:after="0" w:line="190"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3"/>
          <w:szCs w:val="13"/>
          <w:color w:val="auto"/>
        </w:rPr>
        <w:t>Mr. Crockett was newly designated as a Named Executive Officer for the fiscal year 2019. Mr. Deterding was not a Named Executive Officer for the fiscal year 2019, but was a Named Executive Officer in the fiscal year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Discussion of Summary Compensation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originally established our executive compensation philosophy and practices to fit our status as a privately held 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adapted our philosophy and practices following our initial public offering. We will continue to review, evaluate and modify our compensation framework in an effort to maintain a competitive total compensation package. As such, and as a result of our becoming a publicly traded company, the compensation program moving forward could vary from our historical practices.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the current mix and value of these compensation elements provide our named executive officers with total annual compensation that is both reasonable and competitive within our markets, appropriately reflects our performance and the executive’s particular contributions to that performance, and takes into account applicable regulatory guidelines and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2019,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Company’s return on equity, measured in relation to other peer group financial institutions (weighted at 20%); and (iv) the metrics of completed acquisitions (weighted at 40%). For fiscal year end December 31, 2019,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For fiscal year end December 31, 2019,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45%); (ii) the Bank’s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jc w:val="both"/>
        <w:ind w:right="20"/>
        <w:spacing w:after="0" w:line="263" w:lineRule="auto"/>
        <w:rPr>
          <w:sz w:val="20"/>
          <w:szCs w:val="20"/>
          <w:color w:val="auto"/>
        </w:rPr>
      </w:pPr>
      <w:r>
        <w:rPr>
          <w:rFonts w:ascii="Arial" w:cs="Arial" w:eastAsia="Arial" w:hAnsi="Arial"/>
          <w:sz w:val="18"/>
          <w:szCs w:val="18"/>
          <w:color w:val="auto"/>
        </w:rPr>
        <w:t>efficiency ratio (weighted at 15%); (iii) the Bank’s asset quality, measured in relation to other peer group financial institutions (weighted at 15%); and (iv) individual performance as determined in the discretion of the Chief Executive Officer (weighted at 25%). The following table sets forth information regarding the results of the 2019 annual cash incentive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2140" w:type="dxa"/>
            <w:vAlign w:val="bottom"/>
            <w:gridSpan w:val="2"/>
          </w:tcPr>
          <w:p>
            <w:pPr>
              <w:ind w:left="360"/>
              <w:spacing w:after="0"/>
              <w:rPr>
                <w:sz w:val="20"/>
                <w:szCs w:val="20"/>
                <w:color w:val="auto"/>
              </w:rPr>
            </w:pPr>
            <w:r>
              <w:rPr>
                <w:rFonts w:ascii="Arial" w:cs="Arial" w:eastAsia="Arial" w:hAnsi="Arial"/>
                <w:sz w:val="14"/>
                <w:szCs w:val="14"/>
                <w:b w:val="1"/>
                <w:bCs w:val="1"/>
                <w:color w:val="auto"/>
              </w:rPr>
              <w:t>Steven B. Crockett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 Specific</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Variance</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Performance</w:t>
            </w: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Level</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Target</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Weight</w:t>
            </w:r>
          </w:p>
        </w:tc>
        <w:tc>
          <w:tcPr>
            <w:tcW w:w="10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Capped</w:t>
            </w:r>
          </w:p>
        </w:tc>
        <w:tc>
          <w:tcPr>
            <w:tcW w:w="0" w:type="dxa"/>
            <w:vAlign w:val="bottom"/>
          </w:tcPr>
          <w:p>
            <w:pPr>
              <w:spacing w:after="0"/>
              <w:rPr>
                <w:sz w:val="1"/>
                <w:szCs w:val="1"/>
                <w:color w:val="auto"/>
              </w:rPr>
            </w:pPr>
          </w:p>
        </w:tc>
      </w:tr>
      <w:tr>
        <w:trPr>
          <w:trHeight w:val="178"/>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Metric</w:t>
            </w:r>
          </w:p>
        </w:tc>
        <w:tc>
          <w:tcPr>
            <w:tcW w:w="10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Excess</w:t>
            </w:r>
          </w:p>
        </w:tc>
        <w:tc>
          <w:tcPr>
            <w:tcW w:w="100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Adjustment</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1)</w:t>
            </w:r>
          </w:p>
        </w:tc>
        <w:tc>
          <w:tcPr>
            <w:tcW w:w="20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Profitability</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SPFI</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24,500</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29,220</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119.27%</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8"/>
        </w:trPr>
        <w:tc>
          <w:tcPr>
            <w:tcW w:w="140" w:type="dxa"/>
            <w:vAlign w:val="bottom"/>
          </w:tcPr>
          <w:p>
            <w:pPr>
              <w:spacing w:after="0" w:line="149" w:lineRule="exact"/>
              <w:rPr>
                <w:sz w:val="20"/>
                <w:szCs w:val="20"/>
                <w:color w:val="auto"/>
              </w:rPr>
            </w:pPr>
            <w:r>
              <w:rPr>
                <w:rFonts w:ascii="Arial" w:cs="Arial" w:eastAsia="Arial" w:hAnsi="Arial"/>
                <w:sz w:val="14"/>
                <w:szCs w:val="14"/>
                <w:color w:val="auto"/>
                <w:w w:val="96"/>
              </w:rPr>
              <w:t>2)</w:t>
            </w:r>
          </w:p>
        </w:tc>
        <w:tc>
          <w:tcPr>
            <w:tcW w:w="2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Efficiency</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Bank</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71.23%</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96"/>
              </w:rPr>
              <w:t>3)</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 Quality</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Bank</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0.61</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0.35</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0.26</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0.06</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1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37"/>
        </w:trPr>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 Individual Performance</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31"/>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 $174,000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Overall Cap</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2140" w:type="dxa"/>
            <w:vAlign w:val="bottom"/>
            <w:gridSpan w:val="2"/>
          </w:tcPr>
          <w:p>
            <w:pPr>
              <w:ind w:left="420"/>
              <w:spacing w:after="0"/>
              <w:rPr>
                <w:sz w:val="20"/>
                <w:szCs w:val="20"/>
                <w:color w:val="auto"/>
              </w:rPr>
            </w:pPr>
            <w:r>
              <w:rPr>
                <w:rFonts w:ascii="Arial" w:cs="Arial" w:eastAsia="Arial" w:hAnsi="Arial"/>
                <w:sz w:val="14"/>
                <w:szCs w:val="14"/>
                <w:b w:val="1"/>
                <w:bCs w:val="1"/>
                <w:color w:val="auto"/>
              </w:rPr>
              <w:t>Cory T. Newsom</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 Specific</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Variance</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Performance</w:t>
            </w: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Level</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Target</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Weight</w:t>
            </w:r>
          </w:p>
        </w:tc>
        <w:tc>
          <w:tcPr>
            <w:tcW w:w="10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Capped</w:t>
            </w:r>
          </w:p>
        </w:tc>
        <w:tc>
          <w:tcPr>
            <w:tcW w:w="0" w:type="dxa"/>
            <w:vAlign w:val="bottom"/>
          </w:tcPr>
          <w:p>
            <w:pPr>
              <w:spacing w:after="0"/>
              <w:rPr>
                <w:sz w:val="1"/>
                <w:szCs w:val="1"/>
                <w:color w:val="auto"/>
              </w:rPr>
            </w:pPr>
          </w:p>
        </w:tc>
      </w:tr>
      <w:tr>
        <w:trPr>
          <w:trHeight w:val="178"/>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Metric</w:t>
            </w:r>
          </w:p>
        </w:tc>
        <w:tc>
          <w:tcPr>
            <w:tcW w:w="10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Excess</w:t>
            </w:r>
          </w:p>
        </w:tc>
        <w:tc>
          <w:tcPr>
            <w:tcW w:w="100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Adjustment</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1)</w:t>
            </w:r>
          </w:p>
        </w:tc>
        <w:tc>
          <w:tcPr>
            <w:tcW w:w="20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Profitability</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SPFI</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24,500</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29,220</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119.27%</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140" w:type="dxa"/>
            <w:vAlign w:val="bottom"/>
          </w:tcPr>
          <w:p>
            <w:pPr>
              <w:spacing w:after="0" w:line="149" w:lineRule="exact"/>
              <w:rPr>
                <w:sz w:val="20"/>
                <w:szCs w:val="20"/>
                <w:color w:val="auto"/>
              </w:rPr>
            </w:pPr>
            <w:r>
              <w:rPr>
                <w:rFonts w:ascii="Arial" w:cs="Arial" w:eastAsia="Arial" w:hAnsi="Arial"/>
                <w:sz w:val="14"/>
                <w:szCs w:val="14"/>
                <w:color w:val="auto"/>
                <w:w w:val="96"/>
              </w:rPr>
              <w:t>2)</w:t>
            </w:r>
          </w:p>
        </w:tc>
        <w:tc>
          <w:tcPr>
            <w:tcW w:w="2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Efficiency</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Bank</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71.23%</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96"/>
              </w:rPr>
              <w:t>3)</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 Quality</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Bank</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0.61</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0.35</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0.26</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0.06</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 $472,500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Overall Cap</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Curtis C. Griffith</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Specific</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Variance</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Variance</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Performance</w:t>
            </w: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Level</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Target</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Weight</w:t>
            </w:r>
          </w:p>
        </w:tc>
        <w:tc>
          <w:tcPr>
            <w:tcW w:w="10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Capped</w:t>
            </w:r>
          </w:p>
        </w:tc>
        <w:tc>
          <w:tcPr>
            <w:tcW w:w="0" w:type="dxa"/>
            <w:vAlign w:val="bottom"/>
          </w:tcPr>
          <w:p>
            <w:pPr>
              <w:spacing w:after="0"/>
              <w:rPr>
                <w:sz w:val="1"/>
                <w:szCs w:val="1"/>
                <w:color w:val="auto"/>
              </w:rPr>
            </w:pPr>
          </w:p>
        </w:tc>
      </w:tr>
      <w:tr>
        <w:trPr>
          <w:trHeight w:val="178"/>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Metric</w:t>
            </w:r>
          </w:p>
        </w:tc>
        <w:tc>
          <w:tcPr>
            <w:tcW w:w="10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Excess</w:t>
            </w:r>
          </w:p>
        </w:tc>
        <w:tc>
          <w:tcPr>
            <w:tcW w:w="1000" w:type="dxa"/>
            <w:vAlign w:val="bottom"/>
            <w:gridSpan w:val="3"/>
            <w:vMerge w:val="continue"/>
          </w:tcPr>
          <w:p>
            <w:pPr>
              <w:spacing w:after="0"/>
              <w:rPr>
                <w:sz w:val="15"/>
                <w:szCs w:val="15"/>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Adjustment</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6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1) Profitability</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SPFI</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24,500</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29,220</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119.27%</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280" w:type="dxa"/>
            <w:vAlign w:val="bottom"/>
            <w:gridSpan w:val="3"/>
          </w:tcPr>
          <w:p>
            <w:pPr>
              <w:spacing w:after="0" w:line="149" w:lineRule="exact"/>
              <w:rPr>
                <w:sz w:val="20"/>
                <w:szCs w:val="20"/>
                <w:color w:val="auto"/>
              </w:rPr>
            </w:pPr>
            <w:r>
              <w:rPr>
                <w:rFonts w:ascii="Arial" w:cs="Arial" w:eastAsia="Arial" w:hAnsi="Arial"/>
                <w:sz w:val="14"/>
                <w:szCs w:val="14"/>
                <w:color w:val="auto"/>
              </w:rPr>
              <w:t>2) Efficiency</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Bank</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71.23%</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3) ROE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SPFI</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8.80</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10.94</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21.4</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1"/>
                <w:szCs w:val="11"/>
                <w:color w:val="auto"/>
              </w:rPr>
              <w:t>2.14</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B. Acquisitions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6"/>
        </w:trPr>
        <w:tc>
          <w:tcPr>
            <w:tcW w:w="3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Total Compensation: $307,800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Overall Cap</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Plains Financial, Inc. 2019 Equity Incentive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has adopted the South Plains Financial, Inc. 2019 Equity Incentive Plan for the purpose of attracting and retaining employees by providing them with additional incentives, and to promote the success of our company’s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or one or more committees appointed by our board will administer the 2019 Plan. The Compensation Committee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appointed by our board to administer the 2019 Plan.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Eligibilit</w:t>
      </w:r>
      <w:r>
        <w:rPr>
          <w:rFonts w:ascii="Arial" w:cs="Arial" w:eastAsia="Arial" w:hAnsi="Arial"/>
          <w:sz w:val="17"/>
          <w:szCs w:val="17"/>
          <w:b w:val="1"/>
          <w:bCs w:val="1"/>
          <w:i w:val="1"/>
          <w:iCs w:val="1"/>
          <w:color w:val="auto"/>
        </w:rPr>
        <w:t>y</w:t>
      </w:r>
      <w:r>
        <w:rPr>
          <w:rFonts w:ascii="Arial" w:cs="Arial" w:eastAsia="Arial" w:hAnsi="Arial"/>
          <w:sz w:val="17"/>
          <w:szCs w:val="17"/>
          <w:color w:val="auto"/>
        </w:rPr>
        <w:t>. Persons eligible to receive awards under the 2019 Plan include our officers, employees, consultants and members of our board.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or one or more committees appointed by our board will determine from time to time the participants to whom awards will be granted.</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Authorized Shares; Limits on Awards</w:t>
      </w:r>
      <w:r>
        <w:rPr>
          <w:rFonts w:ascii="Arial" w:cs="Arial" w:eastAsia="Arial" w:hAnsi="Arial"/>
          <w:sz w:val="18"/>
          <w:szCs w:val="18"/>
          <w:color w:val="auto"/>
        </w:rPr>
        <w:t>. The maximum number of common shares that may be issued or transferred pursuant to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2019 Plan as of December 31, 2019 equals 568,303,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Adjustments or Changes in Capitalization</w:t>
      </w:r>
      <w:r>
        <w:rPr>
          <w:rFonts w:ascii="Arial" w:cs="Arial" w:eastAsia="Arial" w:hAnsi="Arial"/>
          <w:sz w:val="18"/>
          <w:szCs w:val="18"/>
          <w:color w:val="auto"/>
        </w:rPr>
        <w:t>. In the event of any change in the outstanding common shares by reason of a stock split,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deems necessary or appropriate.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Incentive Awards</w:t>
      </w:r>
      <w:r>
        <w:rPr>
          <w:rFonts w:ascii="Arial" w:cs="Arial" w:eastAsia="Arial" w:hAnsi="Arial"/>
          <w:sz w:val="18"/>
          <w:szCs w:val="18"/>
          <w:color w:val="auto"/>
        </w:rPr>
        <w:t>. The 2019 Plan authorizes stock options, stock appreciation rights (“SARs”), restricted stock,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188" w:lineRule="exact"/>
        <w:rPr>
          <w:sz w:val="20"/>
          <w:szCs w:val="20"/>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 stock option is the right to purchase common shares at a future date at a specified price per share generally equal to, but</w:t>
      </w:r>
      <w:r>
        <w:rPr>
          <w:rFonts w:ascii="Arial" w:cs="Arial" w:eastAsia="Arial" w:hAnsi="Arial"/>
          <w:sz w:val="18"/>
          <w:szCs w:val="18"/>
          <w:i w:val="1"/>
          <w:iCs w:val="1"/>
          <w:color w:val="auto"/>
        </w:rPr>
        <w:t xml:space="preserve"> </w:t>
      </w:r>
      <w:r>
        <w:rPr>
          <w:rFonts w:ascii="Arial" w:cs="Arial" w:eastAsia="Arial" w:hAnsi="Arial"/>
          <w:sz w:val="18"/>
          <w:szCs w:val="18"/>
          <w:color w:val="auto"/>
        </w:rPr>
        <w:t>no less than, the fair market value of a share on the date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7" w:name="page28"/>
    <w:bookmarkEnd w:id="27"/>
    <w:p>
      <w:pPr>
        <w:jc w:val="both"/>
        <w:ind w:left="320"/>
        <w:spacing w:after="0" w:line="279" w:lineRule="auto"/>
        <w:rPr>
          <w:sz w:val="20"/>
          <w:szCs w:val="20"/>
          <w:color w:val="auto"/>
        </w:rPr>
      </w:pPr>
      <w:r>
        <w:rPr>
          <w:rFonts w:ascii="Arial" w:cs="Arial" w:eastAsia="Arial" w:hAnsi="Arial"/>
          <w:sz w:val="17"/>
          <w:szCs w:val="17"/>
          <w:color w:val="auto"/>
        </w:rPr>
        <w:t>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Code and the 2019 Plan. Full payment for shares purchased on the exercise of any option must be made at the time of such exercise in a manner approved by our board.</w:t>
      </w:r>
    </w:p>
    <w:p>
      <w:pPr>
        <w:spacing w:after="0" w:line="171" w:lineRule="exact"/>
        <w:rPr>
          <w:sz w:val="20"/>
          <w:szCs w:val="20"/>
          <w:color w:val="auto"/>
        </w:rPr>
      </w:pPr>
    </w:p>
    <w:p>
      <w:pPr>
        <w:jc w:val="both"/>
        <w:ind w:left="320" w:hanging="320"/>
        <w:spacing w:after="0" w:line="259"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An SAR is the right to receive payment of an amount equal to the excess of the fair market value of a common share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the SAR over the base price of the SAR. The base price will be established by our board at the time of grant of the SAR but will not be less than the fair market value of a share on the date of grant. SARs may be granted in connection with other awards or independently.</w:t>
      </w:r>
    </w:p>
    <w:p>
      <w:pPr>
        <w:spacing w:after="0" w:line="186" w:lineRule="exact"/>
        <w:rPr>
          <w:rFonts w:ascii="Arial" w:cs="Arial" w:eastAsia="Arial" w:hAnsi="Arial"/>
          <w:sz w:val="18"/>
          <w:szCs w:val="18"/>
          <w:color w:val="auto"/>
        </w:rPr>
      </w:pPr>
    </w:p>
    <w:p>
      <w:pPr>
        <w:jc w:val="both"/>
        <w:ind w:left="320" w:hanging="320"/>
        <w:spacing w:after="0" w:line="255"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restricted stock award is typically for a fixed number of common shares subject to restrictions. Our board specifies</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if any; the participant must pay for such shares and the restrictions (which may include, for example, continued service and/or performance standards) imposed on such shares. A stock bonus may be granted by our board to any eligible person to reward exceptional or special services, contributions or achievements in the manner and on such terms and conditions (including any restrictions on such shares) as determined from time to time by our board. The number of shares so awarded shall be determined by our board and may be granted independently or in lieu of a cash bonus.</w:t>
      </w:r>
    </w:p>
    <w:p>
      <w:pPr>
        <w:spacing w:after="0" w:line="192"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is similar to an SAR except that it entitles the recipient to receive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common share.</w:t>
      </w:r>
    </w:p>
    <w:p>
      <w:pPr>
        <w:spacing w:after="0" w:line="170" w:lineRule="exact"/>
        <w:rPr>
          <w:rFonts w:ascii="Arial" w:cs="Arial" w:eastAsia="Arial" w:hAnsi="Arial"/>
          <w:sz w:val="18"/>
          <w:szCs w:val="18"/>
          <w:color w:val="auto"/>
        </w:rPr>
      </w:pPr>
    </w:p>
    <w:p>
      <w:pPr>
        <w:jc w:val="both"/>
        <w:ind w:left="320" w:hanging="320"/>
        <w:spacing w:after="0" w:line="284"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Our board may designate any award, the exercisability or settlement of which is subject to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performance conditions, as a performance-based award. The performance goals set forth in the 2019 Plan are such goals as established by our board or a committee of the board in connection with an award and will be based upon one or more criteria. Our board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w:t>
      </w:r>
    </w:p>
    <w:p>
      <w:pPr>
        <w:spacing w:after="0" w:line="200" w:lineRule="exact"/>
        <w:rPr>
          <w:sz w:val="20"/>
          <w:szCs w:val="20"/>
          <w:color w:val="auto"/>
        </w:rPr>
      </w:pPr>
    </w:p>
    <w:p>
      <w:pPr>
        <w:spacing w:after="0" w:line="38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5" w:right="339" w:bottom="1440" w:gutter="0" w:footer="0" w:header="0"/>
        </w:sectPr>
      </w:pPr>
    </w:p>
    <w:bookmarkStart w:id="28" w:name="page29"/>
    <w:bookmarkEnd w:id="28"/>
    <w:p>
      <w:pPr>
        <w:jc w:val="both"/>
        <w:ind w:left="1300"/>
        <w:spacing w:after="0" w:line="286" w:lineRule="auto"/>
        <w:rPr>
          <w:sz w:val="20"/>
          <w:szCs w:val="20"/>
          <w:color w:val="auto"/>
        </w:rPr>
      </w:pPr>
      <w:r>
        <w:rPr>
          <w:rFonts w:ascii="Arial" w:cs="Arial" w:eastAsia="Arial" w:hAnsi="Arial"/>
          <w:sz w:val="17"/>
          <w:szCs w:val="17"/>
          <w:color w:val="auto"/>
        </w:rPr>
        <w:t>sales; net asset value per share; the accomplishment of mergers, acquisitions, dispositions, public offerings or similar extraordinary business transactions; sales growth; price of the Company’s Shares; return on investment; equity or shareholder equity; market share; inventory levels, inventory turn or shrinkage; customer satisfaction; or total shareholder return.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Acceleration of Awards; Possible Early Termination of Awards</w:t>
      </w:r>
      <w:r>
        <w:rPr>
          <w:rFonts w:ascii="Arial" w:cs="Arial" w:eastAsia="Arial" w:hAnsi="Arial"/>
          <w:sz w:val="18"/>
          <w:szCs w:val="18"/>
          <w:color w:val="auto"/>
        </w:rPr>
        <w:t>. Upon a change in control of our Company, outstanding awards under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Termination of or Changes to the 2019 Plan</w:t>
      </w:r>
      <w:r>
        <w:rPr>
          <w:rFonts w:ascii="Arial" w:cs="Arial" w:eastAsia="Arial" w:hAnsi="Arial"/>
          <w:sz w:val="18"/>
          <w:szCs w:val="18"/>
          <w:color w:val="auto"/>
        </w:rPr>
        <w:t>. Our board may amend or terminate the 2019 Plan at any time and in any manner. Unless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or listing agency rule, stockholder approval for any amendment will not be required. Unless previously terminated by our board, the 2019 Plan will terminate on January 16, 2029. Generally speaking, outstanding awards may be amended, subject, however, to the consent of the holder if the amendment materially and adversely affects the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established an employee stock ownership plan for the benefit of all employees who meet the eligibility requirements of the ESOP (the plan generally covers all employees who have completed one month of service). The Company has contributed cash annually into the plan, which was used to buy new shares of common stock of South Plains Financial, to service ESOP debt (which the ESOP does not currently have outstanding), or maintained by the plan for liquidity purposes. The Company’s contributions in excess of debt service requirements were completely discretionary. Shares in the ESOP were allocated to individual employee accounts. Employees are fully vested in amounts contributed by the Company on their behalf after six years. When employment is terminated, employees are eligible to receive cash or, effective as of May 31, 2018, a distribution of stock, based on the value of their ESOP account.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Non-qualified Deferred Compensation Plan</w:t>
      </w:r>
      <w:r>
        <w:rPr>
          <w:rFonts w:ascii="Arial" w:cs="Arial" w:eastAsia="Arial" w:hAnsi="Arial"/>
          <w:sz w:val="16"/>
          <w:szCs w:val="16"/>
          <w:color w:val="auto"/>
        </w:rPr>
        <w:t>. We sponsor a non-qualified, non-contributory deferred compensation plan, or the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2008, the Company entered into a restated agreement under the Deferred Compensation Plan with Mr. Crockett. Mr. Crockett is currently 100% vested in his benefits. His benefit will be paid in cash only. Mr. Crockett’s agreement provides that he will receive an annual benefit of $50,000 on the earlier to occur of (i) 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be entitled to a lump sum benefit equal to his benefit liability balance as set forth in the Deferred Compensation Plan. In the event Mr. Crockett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Split Dollar Life Insurance Benefits</w:t>
      </w:r>
      <w:r>
        <w:rPr>
          <w:rFonts w:ascii="Arial" w:cs="Arial" w:eastAsia="Arial" w:hAnsi="Arial"/>
          <w:sz w:val="17"/>
          <w:szCs w:val="17"/>
          <w:color w:val="auto"/>
        </w:rPr>
        <w:t>. The Company has purchased life insurance policies on Mr. Newsom, Mr. Crockett and Mr. Griffith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Joint Beneficial Designation Agreements with Mr. Newsom, Mr. Crockett and Mr. Griffith regarding such policies. The agreements provide certain death benefits to Mr. Newsom, Mr. Crockett and Mr. Griffith’s beneficiaries upon their death. If Mr. Newsom, Mr. Crockett or Mr. Griffith’s death occurs: (i) while employed by the Company; (ii) after retirement with the Company; (iii) after a change in control (as defined in the life insurance policy documents); or (iv) or after a determination of disability, they are entitled to a certain percentage of the value of the policies less the cash value of the policies. Mr. Newsom and Mr. Griffith are 100% vested in their benefits under the agreements. At December 31, 2019, the value of the split dollar life insurance benefits for Mr. Newsom’s beneficiaries would have been approximately $2,782,000, the value of the split dollar life insurance benefits for Mr. Crockett’s beneficiaries would have been approximately $1,574,000 and the value of the split dollar life insurance benefits for Mr. Griffith’s beneficiaries would have been approximately $1,097,000.</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Independent Compensation Consultant</w:t>
      </w:r>
      <w:r>
        <w:rPr>
          <w:rFonts w:ascii="Arial" w:cs="Arial" w:eastAsia="Arial" w:hAnsi="Arial"/>
          <w:sz w:val="16"/>
          <w:szCs w:val="16"/>
          <w:color w:val="auto"/>
        </w:rPr>
        <w:t>. Pursuant to the Charter of the Compensation Committee, the Compensation Committee is authorized to</w:t>
      </w:r>
      <w:r>
        <w:rPr>
          <w:rFonts w:ascii="Arial" w:cs="Arial" w:eastAsia="Arial" w:hAnsi="Arial"/>
          <w:sz w:val="16"/>
          <w:szCs w:val="16"/>
          <w:i w:val="1"/>
          <w:iCs w:val="1"/>
          <w:color w:val="auto"/>
        </w:rPr>
        <w:t xml:space="preserve"> </w:t>
      </w:r>
      <w:r>
        <w:rPr>
          <w:rFonts w:ascii="Arial" w:cs="Arial" w:eastAsia="Arial" w:hAnsi="Arial"/>
          <w:sz w:val="16"/>
          <w:szCs w:val="16"/>
          <w:color w:val="auto"/>
        </w:rPr>
        <w:t>retain compensation consultants as it deems necessary or appropriate to carry out its duties. Prior to retaining, or seeking advice from, a compensation consultant, the Compensation Committee must consider the independence of such compensation consultant, taking into consideration the factors set forth in the Charter of the Compensation Committee. The Compensation Committee did not retain a compensation consultant in fiscal year 2019 for purposes of determining or recommending the amount or form of executive or director compensation. The management team of the Bank retained Pearl Meyer, an independent compensation consultant, in the fiscal year 2019 to assist in developing a broad-based key employee annual incentive plan for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employment agreements with Mr. Cory T. Newsom and Mr. Curtis C. Griffith. The following is a summary of the material terms of each such agreement. None of the other NEOs have additional agreements governing payments in connection with a termination of employment or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Cory T. Newsom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March 6, 2019, the Company and the Bank entered into an employment agreement with Mr. Newsom. The key terms of the agreement are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employment agreement has an initial three-year term and will automatically renew for additional three-year terms, unless we or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Newsom provide 90-days’ advance notice of non-renewal.</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Service on the Board</w:t>
      </w:r>
      <w:r>
        <w:rPr>
          <w:rFonts w:ascii="Arial" w:cs="Arial" w:eastAsia="Arial" w:hAnsi="Arial"/>
          <w:sz w:val="18"/>
          <w:szCs w:val="18"/>
          <w:color w:val="auto"/>
        </w:rPr>
        <w:t>. Pursuant to the employment agreement, our board will nominate Mr. Newsom for re-election as a member of our board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expiration of each then-current term and the board of the Bank will nominate Mr. Newsom for re-election as a member of its board at the expiration of each then-current term.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Mr. Newsom’s base salary will be not less than $630,000 annually. He is eligible for an annual cash incentive bonus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amount equal to 50% of his base salary, and a maximum not to exceed 75% of his base salary.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Mr. Newsom is eligible to receive benefits that are substantially similar to those of our other senior executive officers. In addition,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Mr. Newsom is not able to fully participate in contributions of the 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Equity Grants - RSU Award</w:t>
      </w:r>
      <w:r>
        <w:rPr>
          <w:rFonts w:ascii="Arial" w:cs="Arial" w:eastAsia="Arial" w:hAnsi="Arial"/>
          <w:sz w:val="18"/>
          <w:szCs w:val="18"/>
          <w:color w:val="auto"/>
        </w:rPr>
        <w:t>. Mr. Newsom received a stock-settled restricted stock unit award on March 20, 2019, having a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Equity Grants - Stock Option Award</w:t>
      </w:r>
      <w:r>
        <w:rPr>
          <w:rFonts w:ascii="Arial" w:cs="Arial" w:eastAsia="Arial" w:hAnsi="Arial"/>
          <w:sz w:val="17"/>
          <w:szCs w:val="17"/>
          <w:color w:val="auto"/>
        </w:rPr>
        <w:t>. Mr. Newsom received a grant of incentive stock options to purchase Company common stock on March 20,</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August 21, 2019 and, Mr. Newsom will continue to receive an annual grant of incentive stock options to purchase Company common stock. The grant date aggregate fair value of such stock options was and will be approximately equal to 35% of his base salary. The initial stock option grant was on March 20, 2019 covering 10,342 common shares with an exercise price equal to $21.32 per share. Due to administrative error, the initial grant covered an incorrect number of shares, therefore, Mr. Newsom received a corrective grant of stock options on August 21, 2019 covering an additional 25,505 common shares with an exercise price equal to $21.32 per share. The options will vest over a 4-year period, with 25% becoming vested on the first anniversary of January 1, 2019, and the remainder vesting pro rata on a monthly basis over the next three years following January 1, 2020. This grant is in lieu of the cash-settled stock appreciation rights that the Company had historically granted to Mr. Newsom on January 1st of every year. The initial grant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Mr. Newsom’s employment agreement provides that, in the event his employment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 termination of Mr. Newsom’s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Curtis C. Griffith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18, 2019, the Company and the Bank entered into an employment agreement with Mr. Griffith. The key terms of the agreement are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employment agreement has an initial three-year term and will automatically renew for additional three-year terms, unless we or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Griffith provide 90-days’ advance notice of non-renewal.</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Service on the Board</w:t>
      </w:r>
      <w:r>
        <w:rPr>
          <w:rFonts w:ascii="Arial" w:cs="Arial" w:eastAsia="Arial" w:hAnsi="Arial"/>
          <w:sz w:val="18"/>
          <w:szCs w:val="18"/>
          <w:color w:val="auto"/>
        </w:rPr>
        <w:t>. Pursuant to the employment agreement, our board will nominate Mr. Griffith for re-election as a member of our board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each then-current term and the board of the Bank will nominate Mr. Griffith for re-election as a member of its board at the expiration of each then-current term.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Mr. Griffith’s base salary will be not less than $360,000 annually. He is eligible for an annual cash incentive bonus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amount equal to 50% of his base salary, and a maximum not to exceed 100% of his base salary.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Benefits</w:t>
      </w:r>
      <w:r>
        <w:rPr>
          <w:rFonts w:ascii="Arial" w:cs="Arial" w:eastAsia="Arial" w:hAnsi="Arial"/>
          <w:sz w:val="17"/>
          <w:szCs w:val="17"/>
          <w:color w:val="auto"/>
        </w:rPr>
        <w:t>. Mr. Griffith is eligible to receive benefits that are substantially similar to those of our other senior executive officers. In addition,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Mr. Griffith is not able to fully participate in contributions of the Company to the ESOP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 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Equity Grants - Stock Option Award</w:t>
      </w:r>
      <w:r>
        <w:rPr>
          <w:rFonts w:ascii="Arial" w:cs="Arial" w:eastAsia="Arial" w:hAnsi="Arial"/>
          <w:sz w:val="18"/>
          <w:szCs w:val="18"/>
          <w:color w:val="auto"/>
        </w:rPr>
        <w:t>. Mr. Griffith will receive an annual grant of incentive stock options to purchase Company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aggregate fair value of such stock options was and will be approximately equal to 35% of his base salary, which resulted in a grant on December 18, 2019 covering 21,955 common shares with an exercise price equal to $19.98 per share. The options will vest over a 4-year period, with 25% becoming vested on the first anniversary of January 1, 2019, and the remainder vesting pro rata on a monthly basis over the next three years following January 1, 2020. The initial grant of stock options will vest in full upon the earlier of: (i) Mr. Griffith’s “disability” (as defined in the employment agreement), (ii) Mr. Griffith’s death, (iii) immediately prior to a “change in control” (as defined in the 2019 Plan), (iv) Mr. Griffith terminating his service with the Bank for “good reason” (as defined in the employment agreement), or (v) the Company terminating Mr. Griffith’s employment with “cause” (as defined in the employment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Mr. Griffith’s employment agreement provides that, in the event his employment is terminated by us without “cause”</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ind w:firstLine="8"/>
        <w:spacing w:after="0" w:line="259" w:lineRule="auto"/>
        <w:tabs>
          <w:tab w:leader="none" w:pos="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full vesting of equity and phantom awards, with performance goals, if applicable, deemed met at target; and (iii) a lump sum payment equal to 36 months’ of the monthly premiums to continue existing healthcare coverage under COBRA, grossed-up for any 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for each of our named executive officers regarding outstanding equity awards held by the named executive officers at December 31, 2019.</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Option awards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8"/>
              </w:rPr>
              <w:t>Equity</w:t>
            </w:r>
          </w:p>
        </w:tc>
        <w:tc>
          <w:tcPr>
            <w:tcW w:w="9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plan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number of</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unearned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or other</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gridSpan w:val="3"/>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have not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8"/>
        </w:trPr>
        <w:tc>
          <w:tcPr>
            <w:tcW w:w="3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5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vested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78"/>
        </w:trPr>
        <w:tc>
          <w:tcPr>
            <w:tcW w:w="3280" w:type="dxa"/>
            <w:vAlign w:val="bottom"/>
            <w:gridSpan w:val="3"/>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Steven B. Crockett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26,014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8/21/2029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9,062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189,124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Curtis C. Griffith</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21,955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12/18/2029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60"/>
              <w:spacing w:after="0"/>
              <w:rPr>
                <w:sz w:val="20"/>
                <w:szCs w:val="20"/>
                <w:color w:val="auto"/>
              </w:rPr>
            </w:pPr>
            <w:r>
              <w:rPr>
                <w:rFonts w:ascii="Arial" w:cs="Arial" w:eastAsia="Arial" w:hAnsi="Arial"/>
                <w:sz w:val="18"/>
                <w:szCs w:val="18"/>
                <w:color w:val="auto"/>
              </w:rPr>
              <w:t>Cory T. Newsom</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35,847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3/20/2029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12,000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12,000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46,904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978,886</w:t>
            </w:r>
          </w:p>
        </w:tc>
        <w:tc>
          <w:tcPr>
            <w:tcW w:w="0" w:type="dxa"/>
            <w:vAlign w:val="bottom"/>
          </w:tcPr>
          <w:p>
            <w:pPr>
              <w:spacing w:after="0"/>
              <w:rPr>
                <w:sz w:val="1"/>
                <w:szCs w:val="1"/>
                <w:color w:val="auto"/>
              </w:rPr>
            </w:pPr>
          </w:p>
        </w:tc>
      </w:tr>
      <w:tr>
        <w:trPr>
          <w:trHeight w:val="377"/>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636"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to Mr. Newsom and Mr. Griffith in the event of a termination of employment with the Bank or upon a “change in control” (as defined in the employment agreements) are described above in “Employment Agreement with Cory T. Newsom,” “Employment Agreement with Curtis C. Griffith,” and payments for Mr. Newsom, Mr. Griffith and Mr. Crockett are described above in “Deferred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reviewed non-employee independent director compensation paid by our peers to establish the appropriate mix and amount of compensation payable to our non-employee directors. The following table sets forth information regarding 2019 compensation for each of our non-employee directors, including for director services at the Bank.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Fees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center"/>
              <w:ind w:left="7"/>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7"/>
              <w:spacing w:after="0"/>
              <w:rPr>
                <w:sz w:val="20"/>
                <w:szCs w:val="20"/>
                <w:color w:val="auto"/>
              </w:rPr>
            </w:pPr>
            <w:r>
              <w:rPr>
                <w:rFonts w:ascii="Arial" w:cs="Arial" w:eastAsia="Arial" w:hAnsi="Arial"/>
                <w:sz w:val="14"/>
                <w:szCs w:val="14"/>
                <w:b w:val="1"/>
                <w:bCs w:val="1"/>
                <w:color w:val="auto"/>
                <w:w w:val="94"/>
              </w:rPr>
              <w:t>Nonqualified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Earned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 in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00"/>
              <w:spacing w:after="0" w:line="172"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color w:val="auto"/>
                <w:vertAlign w:val="superscript"/>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ind w:left="27"/>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D. Campbell</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color w:val="auto"/>
              </w:rPr>
              <w:t>Cynthia B. Keith</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66,000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24,987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98,166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Allison Navitskas</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94,644</w:t>
            </w: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color w:val="auto"/>
              </w:rPr>
              <w:t>Noe G. Valles</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68,500</w:t>
            </w:r>
          </w:p>
        </w:tc>
        <w:tc>
          <w:tcPr>
            <w:tcW w:w="12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24,987</w:t>
            </w:r>
          </w:p>
        </w:tc>
        <w:tc>
          <w:tcPr>
            <w:tcW w:w="140" w:type="dxa"/>
            <w:vAlign w:val="bottom"/>
          </w:tcPr>
          <w:p>
            <w:pPr>
              <w:spacing w:after="0"/>
              <w:rPr>
                <w:sz w:val="18"/>
                <w:szCs w:val="18"/>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Kyle R. Wargo</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color w:val="auto"/>
              </w:rPr>
              <w:t>Kevin R. Bass*</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Larry T. Beseda*</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color w:val="auto"/>
              </w:rPr>
              <w:t>Bobby G. Neal*</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Jodie E. Riley*</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300" w:right="12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Individuals were directors of the Company until the March annual meeting in 2019.Amounts noted here were paid during the time they</w:t>
      </w:r>
      <w:r>
        <w:rPr>
          <w:rFonts w:ascii="Arial" w:cs="Arial" w:eastAsia="Arial" w:hAnsi="Arial"/>
          <w:sz w:val="18"/>
          <w:szCs w:val="18"/>
          <w:b w:val="1"/>
          <w:bCs w:val="1"/>
          <w:color w:val="auto"/>
        </w:rPr>
        <w:t xml:space="preserve"> </w:t>
      </w:r>
      <w:r>
        <w:rPr>
          <w:rFonts w:ascii="Arial" w:cs="Arial" w:eastAsia="Arial" w:hAnsi="Arial"/>
          <w:sz w:val="18"/>
          <w:szCs w:val="18"/>
          <w:color w:val="auto"/>
        </w:rPr>
        <w:t>were on the board.</w:t>
      </w:r>
    </w:p>
    <w:p>
      <w:pPr>
        <w:spacing w:after="0" w:line="161" w:lineRule="exact"/>
        <w:rPr>
          <w:sz w:val="20"/>
          <w:szCs w:val="20"/>
          <w:color w:val="auto"/>
        </w:rPr>
      </w:pPr>
    </w:p>
    <w:p>
      <w:pPr>
        <w:ind w:left="340" w:right="20" w:hanging="332"/>
        <w:spacing w:after="0" w:line="181"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Grant date fair value, as computed in accordance with ASC Topic 718 and the 2019 Equity Incentive Plan, of stock awards granted during 2019 to each non-employee director based on the per share closing price of the Company’s common stock on the date of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and Risk Management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do not believe any risks arise from our compensation policies and practices for our executive officers and other employees that are reasonably likely to have a material adverse effect on our operations,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compensation plan information as of December 31, 2019.</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Number of Shares to be</w:t>
            </w:r>
          </w:p>
        </w:tc>
        <w:tc>
          <w:tcPr>
            <w:tcW w:w="2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Remaining</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8"/>
        </w:trPr>
        <w:tc>
          <w:tcPr>
            <w:tcW w:w="4740" w:type="dxa"/>
            <w:vAlign w:val="bottom"/>
            <w:gridSpan w:val="2"/>
            <w:vMerge w:val="continue"/>
          </w:tcPr>
          <w:p>
            <w:pPr>
              <w:spacing w:after="0"/>
              <w:rPr>
                <w:sz w:val="12"/>
                <w:szCs w:val="12"/>
                <w:color w:val="auto"/>
              </w:rPr>
            </w:pPr>
          </w:p>
        </w:tc>
        <w:tc>
          <w:tcPr>
            <w:tcW w:w="2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78"/>
        </w:trPr>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Warrants and Rights</w:t>
            </w:r>
          </w:p>
        </w:tc>
        <w:tc>
          <w:tcPr>
            <w:tcW w:w="2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Warrants and Rights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(excluding column (a))</w:t>
            </w:r>
          </w:p>
        </w:tc>
        <w:tc>
          <w:tcPr>
            <w:tcW w:w="0" w:type="dxa"/>
            <w:vAlign w:val="bottom"/>
          </w:tcPr>
          <w:p>
            <w:pPr>
              <w:spacing w:after="0"/>
              <w:rPr>
                <w:sz w:val="1"/>
                <w:szCs w:val="1"/>
                <w:color w:val="auto"/>
              </w:rPr>
            </w:pPr>
          </w:p>
        </w:tc>
      </w:tr>
      <w:tr>
        <w:trPr>
          <w:trHeight w:val="230"/>
        </w:trPr>
        <w:tc>
          <w:tcPr>
            <w:tcW w:w="4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1"/>
              </w:rPr>
              <w:t>1,544,197</w:t>
            </w:r>
            <w:r>
              <w:rPr>
                <w:rFonts w:ascii="Arial" w:cs="Arial" w:eastAsia="Arial" w:hAnsi="Arial"/>
                <w:sz w:val="11"/>
                <w:szCs w:val="11"/>
                <w:color w:val="auto"/>
                <w:w w:val="91"/>
              </w:rPr>
              <w:t>(1)</w:t>
            </w:r>
          </w:p>
        </w:tc>
        <w:tc>
          <w:tcPr>
            <w:tcW w:w="2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1"/>
              </w:rPr>
              <w:t>$12.72</w:t>
            </w:r>
          </w:p>
        </w:tc>
        <w:tc>
          <w:tcPr>
            <w:tcW w:w="2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8"/>
              </w:rPr>
              <w:t>568,303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jc w:val="both"/>
        <w:ind w:left="340" w:right="40" w:hanging="332"/>
        <w:spacing w:after="0" w:line="192"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The maximum aggregate number of Shares that may be issued pursuant to all awards under this Plan will increase annually on the first day of each fiscal year after the adoption of this Plan by the number of Shares equal to the lesser of (i) three percent (3%) of the total issued and outstanding common shares of the Company on the first day of such fiscal year, or (ii) such lesser amount determined by the board.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between any of our directors or executive officers, as defined in Item 401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Transactions by us or the Bank with related persons are subject to regulatory requirements and restrictions. These requirements and restrictions include the Affiliates Act and the Federal Reserve’s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that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compensation arrangements with directors and executive officers described in “Executive Compensation” above, the following is a description of each transaction since January 1, 2018, and each proposed transaction in which:</w:t>
      </w:r>
    </w:p>
    <w:p>
      <w:pPr>
        <w:spacing w:after="0" w:line="170"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involved exceeds or will exceed the lesser of (1) $120,000 or (2) 1% of the average of the Company’s total assets at year end for the last two completed fiscal years; and</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Representation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Sales of Subordinated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 director, and his spouse exchanged $250,000 in principal amount of existing subordinated debt securities, due 2024, for $250,000 in principal amount of newly issued debt securities, due 2030 on the same terms and conditions as offered to other qualified investors. Certain of our directors also participated in the exchange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offering in principal amounts less than $120,000 and on the same terms and conditions as offered to other qualified 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1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The Company has purchased office furniture, fixtures and equipment for various bank locations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an entity in which Kim Newsom, the wife of Cory T. Newsom, a director and the President of the Company, has a majority ownership interest. Mr. Newsom also owns a minority interest in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The purchases by the Company totaled approximately $158,000 and $335,000 in the years ended December 31, 2019 and 2018, respectively. All purchases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Cory T. Newsom, our President, has no familial relationship with Mikella D. Newsom, our Chief Risk Officer and Secretary.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8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BENEFICIAL OWNERSHIP OF THE COMPANY’S COMMON STOCK BY MANAGEMENT AND PRINCIPAL SHAREHOLDERS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the beneficial ownership of our common stock as of March 25, 2020 for:</w:t>
      </w:r>
    </w:p>
    <w:p>
      <w:pPr>
        <w:spacing w:after="0" w:line="22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shareholder who beneficially owns more than 5% of our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property laws, we believe that each person identified in the table has sole voting and investment power over all of the shares shown opposite such person’s name.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of beneficial ownership is based on 18,056,014 shares of our common stock outstanding as of March 25, 2020.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indicated below, the address for each shareholder listed in the table below is: South Plains Financial, Inc., 5219 City Bank Parkway, Lubbock, Texas 79407.</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Name of Beneficial Owner</w:t>
            </w:r>
          </w:p>
        </w:tc>
        <w:tc>
          <w:tcPr>
            <w:tcW w:w="326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Number of Shares Beneficially Owned</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Percentage Beneficially Owned</w:t>
            </w:r>
          </w:p>
        </w:tc>
      </w:tr>
      <w:tr>
        <w:trPr>
          <w:trHeight w:val="216"/>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2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Richard D. Campbell</w:t>
            </w:r>
            <w:r>
              <w:rPr>
                <w:rFonts w:ascii="Arial" w:cs="Arial" w:eastAsia="Arial" w:hAnsi="Arial"/>
                <w:sz w:val="25"/>
                <w:szCs w:val="25"/>
                <w:color w:val="auto"/>
                <w:vertAlign w:val="superscript"/>
              </w:rPr>
              <w:t>(1)</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1,747,686</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r>
      <w:tr>
        <w:trPr>
          <w:trHeight w:val="216"/>
        </w:trPr>
        <w:tc>
          <w:tcPr>
            <w:tcW w:w="5440" w:type="dxa"/>
            <w:vAlign w:val="bottom"/>
          </w:tcPr>
          <w:p>
            <w:pPr>
              <w:ind w:left="40"/>
              <w:spacing w:after="0" w:line="216" w:lineRule="exact"/>
              <w:rPr>
                <w:sz w:val="20"/>
                <w:szCs w:val="20"/>
                <w:color w:val="auto"/>
              </w:rPr>
            </w:pPr>
            <w:r>
              <w:rPr>
                <w:rFonts w:ascii="Arial" w:cs="Arial" w:eastAsia="Arial" w:hAnsi="Arial"/>
                <w:sz w:val="16"/>
                <w:szCs w:val="16"/>
                <w:color w:val="auto"/>
              </w:rPr>
              <w:t>Steven B. Crockett</w:t>
            </w:r>
            <w:r>
              <w:rPr>
                <w:rFonts w:ascii="Arial" w:cs="Arial" w:eastAsia="Arial" w:hAnsi="Arial"/>
                <w:sz w:val="25"/>
                <w:szCs w:val="25"/>
                <w:color w:val="auto"/>
                <w:vertAlign w:val="superscript"/>
              </w:rPr>
              <w:t>(2)</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112,012</w:t>
            </w:r>
          </w:p>
        </w:tc>
        <w:tc>
          <w:tcPr>
            <w:tcW w:w="220" w:type="dxa"/>
            <w:vAlign w:val="bottom"/>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Kelly L. Deterding</w:t>
            </w:r>
            <w:r>
              <w:rPr>
                <w:rFonts w:ascii="Arial" w:cs="Arial" w:eastAsia="Arial" w:hAnsi="Arial"/>
                <w:sz w:val="25"/>
                <w:szCs w:val="25"/>
                <w:color w:val="auto"/>
                <w:vertAlign w:val="superscript"/>
              </w:rPr>
              <w:t>(3)</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33,729</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40"/>
              <w:spacing w:after="0" w:line="216" w:lineRule="exact"/>
              <w:rPr>
                <w:sz w:val="20"/>
                <w:szCs w:val="20"/>
                <w:color w:val="auto"/>
              </w:rPr>
            </w:pPr>
            <w:r>
              <w:rPr>
                <w:rFonts w:ascii="Arial" w:cs="Arial" w:eastAsia="Arial" w:hAnsi="Arial"/>
                <w:sz w:val="16"/>
                <w:szCs w:val="16"/>
                <w:color w:val="auto"/>
              </w:rPr>
              <w:t>Curtis C. Griffith</w:t>
            </w:r>
            <w:r>
              <w:rPr>
                <w:rFonts w:ascii="Arial" w:cs="Arial" w:eastAsia="Arial" w:hAnsi="Arial"/>
                <w:sz w:val="25"/>
                <w:szCs w:val="25"/>
                <w:color w:val="auto"/>
                <w:vertAlign w:val="superscript"/>
              </w:rPr>
              <w:t>(4)</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2,534,114</w:t>
            </w:r>
          </w:p>
        </w:tc>
        <w:tc>
          <w:tcPr>
            <w:tcW w:w="220" w:type="dxa"/>
            <w:vAlign w:val="bottom"/>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13.99%</w:t>
            </w:r>
          </w:p>
        </w:tc>
      </w:tr>
      <w:tr>
        <w:trPr>
          <w:trHeight w:val="216"/>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Cynthia B. Keith</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3,672</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40"/>
              <w:spacing w:after="0"/>
              <w:rPr>
                <w:sz w:val="20"/>
                <w:szCs w:val="20"/>
                <w:color w:val="auto"/>
              </w:rPr>
            </w:pPr>
            <w:r>
              <w:rPr>
                <w:rFonts w:ascii="Arial" w:cs="Arial" w:eastAsia="Arial" w:hAnsi="Arial"/>
                <w:sz w:val="18"/>
                <w:szCs w:val="18"/>
                <w:color w:val="auto"/>
              </w:rPr>
              <w:t>Allison S. Navitskas</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3,672</w:t>
            </w:r>
          </w:p>
        </w:tc>
        <w:tc>
          <w:tcPr>
            <w:tcW w:w="220" w:type="dxa"/>
            <w:vAlign w:val="bottom"/>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Cory T. Newsom</w:t>
            </w:r>
            <w:r>
              <w:rPr>
                <w:rFonts w:ascii="Arial" w:cs="Arial" w:eastAsia="Arial" w:hAnsi="Arial"/>
                <w:sz w:val="25"/>
                <w:szCs w:val="25"/>
                <w:color w:val="auto"/>
                <w:vertAlign w:val="superscript"/>
              </w:rPr>
              <w:t>(5)</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323,940</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r>
      <w:tr>
        <w:trPr>
          <w:trHeight w:val="216"/>
        </w:trPr>
        <w:tc>
          <w:tcPr>
            <w:tcW w:w="5440" w:type="dxa"/>
            <w:vAlign w:val="bottom"/>
          </w:tcPr>
          <w:p>
            <w:pPr>
              <w:ind w:left="40"/>
              <w:spacing w:after="0" w:line="216" w:lineRule="exact"/>
              <w:rPr>
                <w:sz w:val="20"/>
                <w:szCs w:val="20"/>
                <w:color w:val="auto"/>
              </w:rPr>
            </w:pPr>
            <w:r>
              <w:rPr>
                <w:rFonts w:ascii="Arial" w:cs="Arial" w:eastAsia="Arial" w:hAnsi="Arial"/>
                <w:sz w:val="16"/>
                <w:szCs w:val="16"/>
                <w:color w:val="auto"/>
              </w:rPr>
              <w:t>Mikella D. Newsom</w:t>
            </w:r>
            <w:r>
              <w:rPr>
                <w:rFonts w:ascii="Arial" w:cs="Arial" w:eastAsia="Arial" w:hAnsi="Arial"/>
                <w:sz w:val="25"/>
                <w:szCs w:val="25"/>
                <w:color w:val="auto"/>
                <w:vertAlign w:val="superscript"/>
              </w:rPr>
              <w:t>(6)</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35,822</w:t>
            </w:r>
          </w:p>
        </w:tc>
        <w:tc>
          <w:tcPr>
            <w:tcW w:w="220" w:type="dxa"/>
            <w:vAlign w:val="bottom"/>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Noe G. Valles</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83,272</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40"/>
              <w:spacing w:after="0"/>
              <w:rPr>
                <w:sz w:val="20"/>
                <w:szCs w:val="20"/>
                <w:color w:val="auto"/>
              </w:rPr>
            </w:pPr>
            <w:r>
              <w:rPr>
                <w:rFonts w:ascii="Arial" w:cs="Arial" w:eastAsia="Arial" w:hAnsi="Arial"/>
                <w:sz w:val="18"/>
                <w:szCs w:val="18"/>
                <w:color w:val="auto"/>
              </w:rPr>
              <w:t>Kyle R. Wargo</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6,872</w:t>
            </w:r>
          </w:p>
        </w:tc>
        <w:tc>
          <w:tcPr>
            <w:tcW w:w="220" w:type="dxa"/>
            <w:vAlign w:val="bottom"/>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Directors &amp; executive officers as a group (10 individuals)</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4,884,791</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26.66%</w:t>
            </w:r>
          </w:p>
        </w:tc>
      </w:tr>
      <w:tr>
        <w:trPr>
          <w:trHeight w:val="216"/>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Principal shareholders:</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South Plains Financial, Inc. ESOP</w:t>
            </w:r>
            <w:r>
              <w:rPr>
                <w:rFonts w:ascii="Arial" w:cs="Arial" w:eastAsia="Arial" w:hAnsi="Arial"/>
                <w:sz w:val="25"/>
                <w:szCs w:val="25"/>
                <w:color w:val="auto"/>
                <w:vertAlign w:val="superscript"/>
              </w:rPr>
              <w:t>(7)</w:t>
            </w:r>
          </w:p>
        </w:tc>
        <w:tc>
          <w:tcPr>
            <w:tcW w:w="3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2,911,840</w:t>
            </w:r>
          </w:p>
        </w:tc>
        <w:tc>
          <w:tcPr>
            <w:tcW w:w="2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16.13%</w:t>
            </w:r>
          </w:p>
        </w:tc>
      </w:tr>
      <w:tr>
        <w:trPr>
          <w:trHeight w:val="390"/>
        </w:trPr>
        <w:tc>
          <w:tcPr>
            <w:tcW w:w="5440" w:type="dxa"/>
            <w:vAlign w:val="bottom"/>
          </w:tcPr>
          <w:p>
            <w:pPr>
              <w:ind w:left="40"/>
              <w:spacing w:after="0"/>
              <w:rPr>
                <w:sz w:val="20"/>
                <w:szCs w:val="20"/>
                <w:color w:val="auto"/>
              </w:rPr>
            </w:pPr>
            <w:r>
              <w:rPr>
                <w:rFonts w:ascii="Arial" w:cs="Arial" w:eastAsia="Arial" w:hAnsi="Arial"/>
                <w:sz w:val="18"/>
                <w:szCs w:val="18"/>
                <w:color w:val="auto"/>
              </w:rPr>
              <w:t>Henry TAW LP</w:t>
            </w:r>
            <w:r>
              <w:rPr>
                <w:rFonts w:ascii="Arial" w:cs="Arial" w:eastAsia="Arial" w:hAnsi="Arial"/>
                <w:sz w:val="29"/>
                <w:szCs w:val="29"/>
                <w:color w:val="auto"/>
                <w:vertAlign w:val="superscript"/>
              </w:rPr>
              <w:t>(8)</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1,703,787</w:t>
            </w:r>
          </w:p>
        </w:tc>
        <w:tc>
          <w:tcPr>
            <w:tcW w:w="220" w:type="dxa"/>
            <w:vAlign w:val="bottom"/>
          </w:tcPr>
          <w:p>
            <w:pPr>
              <w:spacing w:after="0"/>
              <w:rPr>
                <w:sz w:val="24"/>
                <w:szCs w:val="24"/>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r>
    </w:tbl>
    <w:p>
      <w:pPr>
        <w:spacing w:after="0" w:line="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ownership of less than 1%</w:t>
      </w:r>
    </w:p>
    <w:p>
      <w:pPr>
        <w:spacing w:after="0" w:line="132" w:lineRule="exact"/>
        <w:rPr>
          <w:sz w:val="20"/>
          <w:szCs w:val="20"/>
          <w:color w:val="auto"/>
        </w:rPr>
      </w:pPr>
    </w:p>
    <w:p>
      <w:pPr>
        <w:ind w:left="660" w:hanging="328"/>
        <w:spacing w:after="0" w:line="238" w:lineRule="auto"/>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(i) 43,899 shares held individually by Mr. Campbell and (ii) 1,703,787 shares owned by Henry TAW LP. All of the shares owned by Henry TAW LP are subject to a voting agreement and irrevocable proxy pursuant to which Mr. Campbell exercises voting authority. Includes 1,703,787 shares pledged to J.P. Morgan Chase.</w:t>
      </w:r>
    </w:p>
    <w:p>
      <w:pPr>
        <w:spacing w:after="0" w:line="117" w:lineRule="exact"/>
        <w:rPr>
          <w:rFonts w:ascii="Arial" w:cs="Arial" w:eastAsia="Arial" w:hAnsi="Arial"/>
          <w:sz w:val="12"/>
          <w:szCs w:val="12"/>
          <w:color w:val="auto"/>
        </w:rPr>
      </w:pPr>
    </w:p>
    <w:p>
      <w:pPr>
        <w:ind w:left="660" w:hanging="328"/>
        <w:spacing w:after="0"/>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(i) 18,335 shares held individually by Mr. Crockett, (ii) 64,500 shares underlying vested options and (iii) 29,177 shares held by the ESOP and allocated to Mr. Crockett’s account.</w:t>
      </w:r>
    </w:p>
    <w:p>
      <w:pPr>
        <w:spacing w:after="0" w:line="132" w:lineRule="exact"/>
        <w:rPr>
          <w:rFonts w:ascii="Arial" w:cs="Arial" w:eastAsia="Arial" w:hAnsi="Arial"/>
          <w:sz w:val="12"/>
          <w:szCs w:val="12"/>
          <w:color w:val="auto"/>
        </w:rPr>
      </w:pPr>
    </w:p>
    <w:p>
      <w:pPr>
        <w:ind w:left="660" w:hanging="328"/>
        <w:spacing w:after="0"/>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(i) 2,243 shares held individual by Mr. Deterding, (ii) 12,000 shares underlying vested options and (iii) 19,486 shares held by the ESOP and allocated to Mr. Deterding’s account.</w:t>
      </w:r>
    </w:p>
    <w:p>
      <w:pPr>
        <w:spacing w:after="0" w:line="132" w:lineRule="exact"/>
        <w:rPr>
          <w:rFonts w:ascii="Arial" w:cs="Arial" w:eastAsia="Arial" w:hAnsi="Arial"/>
          <w:sz w:val="12"/>
          <w:szCs w:val="12"/>
          <w:color w:val="auto"/>
        </w:rPr>
      </w:pPr>
    </w:p>
    <w:p>
      <w:pPr>
        <w:ind w:left="660" w:hanging="328"/>
        <w:spacing w:after="0" w:line="238" w:lineRule="auto"/>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(i) 2,382,521 shares held by Mr. Griffith, (ii) 57,000 shares underlying vested options and (iii) 94,593 shares held by the ESOP and allocated to Mr. Griffith’s account. Includes 1,095,000 shares pledged to Waggoner National Bank as security for a personal loan.</w:t>
      </w:r>
    </w:p>
    <w:p>
      <w:pPr>
        <w:spacing w:after="0" w:line="117" w:lineRule="exact"/>
        <w:rPr>
          <w:rFonts w:ascii="Arial" w:cs="Arial" w:eastAsia="Arial" w:hAnsi="Arial"/>
          <w:sz w:val="12"/>
          <w:szCs w:val="12"/>
          <w:color w:val="auto"/>
        </w:rPr>
      </w:pPr>
    </w:p>
    <w:p>
      <w:pPr>
        <w:ind w:left="660" w:hanging="328"/>
        <w:spacing w:after="0" w:line="238" w:lineRule="auto"/>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(i) 129,339 shares held individually by Mr. Newsom, (ii) 750 shares held for the benefit of Mr. Newsom’s minor child, (iii) 117,000 shares underlying vested, and (iv) 76,851 shares held by the ESOP and allocated to Mr. Newsom’s account. Includes 109,500 pledged shares as collateral to Alliance Credit Union.</w:t>
      </w:r>
    </w:p>
    <w:p>
      <w:pPr>
        <w:spacing w:after="0" w:line="117" w:lineRule="exact"/>
        <w:rPr>
          <w:rFonts w:ascii="Arial" w:cs="Arial" w:eastAsia="Arial" w:hAnsi="Arial"/>
          <w:sz w:val="12"/>
          <w:szCs w:val="12"/>
          <w:color w:val="auto"/>
        </w:rPr>
      </w:pPr>
    </w:p>
    <w:p>
      <w:pPr>
        <w:ind w:left="660" w:hanging="328"/>
        <w:spacing w:after="0"/>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(i) 5,050 shares held individually by Ms. Newsom, (ii) 18,000 shares underlying vested options and (iii) 12,772 shares held by the ESOP and allocated to Ms. Newsom’s account.</w:t>
      </w:r>
    </w:p>
    <w:p>
      <w:pPr>
        <w:spacing w:after="0" w:line="132" w:lineRule="exact"/>
        <w:rPr>
          <w:rFonts w:ascii="Arial" w:cs="Arial" w:eastAsia="Arial" w:hAnsi="Arial"/>
          <w:sz w:val="12"/>
          <w:szCs w:val="12"/>
          <w:color w:val="auto"/>
        </w:rPr>
      </w:pPr>
    </w:p>
    <w:p>
      <w:pPr>
        <w:ind w:left="660" w:hanging="328"/>
        <w:spacing w:after="0"/>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business address for our ESOP is 5219 City Bank Parkway, Lubbock, Texas 79407.</w:t>
      </w:r>
    </w:p>
    <w:p>
      <w:pPr>
        <w:spacing w:after="0" w:line="132" w:lineRule="exact"/>
        <w:rPr>
          <w:rFonts w:ascii="Arial" w:cs="Arial" w:eastAsia="Arial" w:hAnsi="Arial"/>
          <w:sz w:val="12"/>
          <w:szCs w:val="12"/>
          <w:color w:val="auto"/>
        </w:rPr>
      </w:pPr>
    </w:p>
    <w:p>
      <w:pPr>
        <w:ind w:left="660" w:hanging="328"/>
        <w:spacing w:after="0"/>
        <w:tabs>
          <w:tab w:leader="none" w:pos="6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All of the 1,703,787 shares held by Henry TAW LP are subject to a voting agreement and irrevocable proxy pursuant to which Richard D. Campbell exercises voting authority.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our outstanding common stock to file reports of ownership and changes in ownership of our equity securities, including our common stock with the SEC. Such persons are required by the SEC’s regulations to furnish us with copies of all reports they file pursuant to Section 16.</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Based solely on a review of the reports furnished to us, or written representations from reporting persons that all reportable transactions were reported, we believe that during the fiscal year ended December 31, 2019, our officers, directors and greater than 10% owners timely filed all reports they were required to file under Section 16(a), except that Kevin R. Bass, Richard D. Campbell, Steven B. Crockett, Curtis C. Griffith, Cynthia B. Keith, Mikella D. Newsom, Allison Navitskas, Noe G. Valles, Kyle R. Wargo and Cory T. Newsom filed Form 3/A’s on May 15, 2019 to correct a Form 3 filed on May 9, 2019 with respect to a transaction occurring on May 8, 2019. In each case, the failure to timely file was inadvertent and has been corrected.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Audit Committee of the board of South Plains Financial, Inc. (the “Company”)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 (2) satisfies the additional independence standards under applicable SEC rules for Audit Committee service, and (3) 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Committee absent actual knowledge to the contrary and (iii) statements made by management or third parties as to any information technology, internal audit, and other non-audit services provided by Weaver and Tidwell to the Company. In fulfilling its oversight responsibilities, the Audit Committee:</w:t>
      </w:r>
    </w:p>
    <w:p>
      <w:pPr>
        <w:spacing w:after="0" w:line="179"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for the year ended December 31, 2019;</w:t>
      </w:r>
    </w:p>
    <w:p>
      <w:pPr>
        <w:spacing w:after="0" w:line="225"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oversaw the annual independent audit of the Company’s financial statements and internal control over the City Bank’s financial reporting, the engagement, compensation and retention of the independent registered public accounting firm and the evaluation of the independent registered public accounting firm’s qualifications, independence and performance;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discussed with the Company’s independent registered public accounting firm, Weaver and Tidwell L.L.P. (“Weaver and Tidwell”) the matters required to be discussed by the applicable requirements of the Public Company Accounting Oversight Board (“PCAOB”) and the Securities and Exchange Commission (“SEC”);</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left="9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Weaver and Tidwell required by applicable requirements of the PCAOB regarding Weaver and Tidwell’s communications with the Audit Committee concerning independence, and discussed with Weaver and Tidwell its independence;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reviewed and discussed the adequacy of the internal controls of the Company with management and the internal audit department.</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that the audited financial statements for the year ended December 31, 2019 be included in the Company’s Annual Report on Form 10-K for filing with the SEC.</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Audit Committee of the board: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Richard D. Campbell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Cynthia B. Keith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Kyle R. Wargo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 Committee has recommended, and the board appointed, Weaver and Tidwell, L.L.P. as our independent auditors to audit the consolidated financial statements of the Company for the 2020 fiscal year. Weaver and Tidwell, L.L.P. served as our independent auditors for the 2019 fiscal year and reported on the Company’s consolidated financial statements for that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Independent Registered Public Accounting Firm</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Audit Committee has reviewed the following audit and non-audit fees billed to the Company by Weaver and Tidwell, L.L.P. for 2019 and 2018 for purposes of considering whether such fees are compatible with maintaining the auditor’s independence, and concluded that such fees did not impair Weaver and Tidwell, L.L.P.’s independence. The policy of the Audit Committee is to pre-approve all audit and non-audit services performed by Weaver and Tidwell, L.L.P. for the benefit of the Company before the services are performed, including all of the services described under “Audit Fees” and “Audit-Related Fees,” “Tax Fees” and “All Other Fees” below. The Audit Committee has pre-approved all of the services provided by Weaver and Tidwell, L.L.P. to the Company in accordance with the policies and procedures described in the section titled “—Audit Committee Pre-Approval.”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tbl>
      <w:tblPr>
        <w:tblLayout w:type="fixed"/>
        <w:tblInd w:w="58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3"/>
              </w:rPr>
              <w:t>For the Year Ended December 31,</w:t>
            </w:r>
          </w:p>
        </w:tc>
      </w:tr>
      <w:tr>
        <w:trPr>
          <w:trHeight w:val="209"/>
        </w:trPr>
        <w:tc>
          <w:tcPr>
            <w:tcW w:w="7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9"/>
        </w:trPr>
        <w:tc>
          <w:tcPr>
            <w:tcW w:w="7280" w:type="dxa"/>
            <w:vAlign w:val="bottom"/>
            <w:shd w:val="clear" w:color="auto" w:fill="CCEEFF"/>
          </w:tcPr>
          <w:p>
            <w:pPr>
              <w:ind w:left="40"/>
              <w:spacing w:after="0" w:line="210" w:lineRule="exact"/>
              <w:rPr>
                <w:sz w:val="20"/>
                <w:szCs w:val="20"/>
                <w:color w:val="auto"/>
              </w:rPr>
            </w:pPr>
            <w:r>
              <w:rPr>
                <w:rFonts w:ascii="Arial" w:cs="Arial" w:eastAsia="Arial" w:hAnsi="Arial"/>
                <w:sz w:val="15"/>
                <w:szCs w:val="15"/>
                <w:color w:val="auto"/>
              </w:rPr>
              <w:t>Audit Fees</w:t>
            </w:r>
            <w:r>
              <w:rPr>
                <w:rFonts w:ascii="Arial" w:cs="Arial" w:eastAsia="Arial" w:hAnsi="Arial"/>
                <w:sz w:val="24"/>
                <w:szCs w:val="24"/>
                <w:color w:val="auto"/>
                <w:vertAlign w:val="superscript"/>
              </w:rPr>
              <w:t>(1)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365,057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171,449</w:t>
            </w:r>
          </w:p>
        </w:tc>
      </w:tr>
      <w:tr>
        <w:trPr>
          <w:trHeight w:val="216"/>
        </w:trPr>
        <w:tc>
          <w:tcPr>
            <w:tcW w:w="728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Tax Fees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All Other Fees</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438,187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171,449</w:t>
            </w:r>
          </w:p>
        </w:tc>
      </w:tr>
    </w:tbl>
    <w:p>
      <w:pPr>
        <w:spacing w:after="0" w:line="215" w:lineRule="exact"/>
        <w:rPr>
          <w:sz w:val="20"/>
          <w:szCs w:val="20"/>
          <w:color w:val="auto"/>
        </w:rPr>
      </w:pPr>
    </w:p>
    <w:p>
      <w:pPr>
        <w:ind w:left="660" w:right="20" w:hanging="328"/>
        <w:spacing w:after="0" w:line="30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2019 audit fees include fees for professional services performed by Weaver and Tidwell L.L.P. for the audit of the Company's consolidated financial statements and review of the interim condensed consolidated financial statements included in quarterly reports on Form 10-Q.</w:t>
      </w:r>
    </w:p>
    <w:p>
      <w:pPr>
        <w:spacing w:after="0" w:line="150" w:lineRule="exact"/>
        <w:rPr>
          <w:rFonts w:ascii="Arial" w:cs="Arial" w:eastAsia="Arial" w:hAnsi="Arial"/>
          <w:sz w:val="16"/>
          <w:szCs w:val="16"/>
          <w:color w:val="auto"/>
        </w:rPr>
      </w:pPr>
    </w:p>
    <w:p>
      <w:pPr>
        <w:jc w:val="both"/>
        <w:ind w:left="660" w:hanging="328"/>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fees consist of services provided by Weaver and Tidwell, L.L.P. to West Texas State Bank, pursuant to an engagement with West Texas State Bank prior to its merger with City Bank, which were accrued by West Texas State Bank prior to the merger but that were paid by City Bank after the merger</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fees consist of services related to the initial public offering.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FOR SUBMISSION OF SHAREHOLDER PROPOSALS FOR 2021 ANNUAL MEETING</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a shareholder desires to submit a shareholder proposal pursuant to Rule 14a-8 under the Exchange Act for inclusion in the proxy statement for the 2021 annual meeting of shareholders, such proposal and supporting statements, if any, must be received by us at the Company’s principal executive office no later than January 19, 2021 unless the date of the Company’s 2021 annual meeting of shareholders is changed by more than 30 days from May 19, 2021 (the one-year anniversary date of the 2020 annual meeting), in which case the proposal must be received a reasonable time before the Company begins to print and mail its proxy materials. Any such proposal must comply with the requirements of Rule 14a-8 under the Exchange Act.</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our amended and restated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thirty (30) days nor more than sixty (60)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(10th) day following the day on which such notice of the date of the meeting was mailed or such disclosure was made.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notices to us must also provide certain information set forth in the Company’s amended and restated bylaws. A copy of the Company’s amended and restated bylaws may be obtained upon written request to the Secretary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shareholder proposals and nominations should be submitted to the Secretary of the Company at South Plains Financial, Inc., 5219 City Bank Parkway, Lubbock, Texas 79407, Attention: Corporate Secretary.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does not intend to bring any other matter before the annual meeting and does not know of any other matters that are to be presented for action at the annual meeting. However, if any other matter does properly come before the annual meeting or any adjournment or postponement thereof, the proxies will be voted in accordance with the discretion of the person or persons voting the proxies.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are cordially invited to attend the annual meeting. Regardless of whether you plan to attend the annual meeting, you are urged to complete, date, sign and return the enclosed proxy in the accompanying envelope at your earliest convenience.</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Curtis C. Griffith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Curtis C. Griffith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Lubbock, Texas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April 1,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356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735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lvl w:ilvl="1">
      <w:lvlJc w:val="left"/>
      <w:lvlText w:val="●"/>
      <w:numFmt w:val="bullet"/>
      <w:start w:val="1"/>
    </w:lvl>
  </w:abstractNum>
  <w:abstractNum w:abstractNumId="16">
    <w:nsid w:val="2D1D5AE9"/>
    <w:multiLevelType w:val="hybridMultilevel"/>
    <w:lvl w:ilvl="0">
      <w:lvlJc w:val="left"/>
      <w:lvlText w:val="(%1)"/>
      <w:numFmt w:val="decimal"/>
      <w:start w:val="3"/>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2"/>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4"/>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2020-04-02T05:05:16Z</dcterms:created>
  <dcterms:modified xsi:type="dcterms:W3CDTF">2020-04-02T05:05:16Z</dcterms:modified>
</cp:coreProperties>
</file>