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Proxy Statement Pursuant to Section 14(a) of the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Exchange Act of 1934 (Amendment No. 1)</w:t>
      </w:r>
    </w:p>
    <w:p>
      <w:pPr>
        <w:spacing w:after="0" w:line="189"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7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14s-6(e)(2))</w:t>
      </w:r>
    </w:p>
    <w:p>
      <w:pPr>
        <w:spacing w:after="0" w:line="25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340" w:hanging="332"/>
        <w:spacing w:after="0" w:line="207" w:lineRule="exact"/>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Registrant as Specified In Its Charter)</w:t>
      </w:r>
    </w:p>
    <w:p>
      <w:pPr>
        <w:spacing w:after="0" w:line="23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line="207" w:lineRule="exact"/>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225" w:lineRule="exact"/>
        <w:rPr>
          <w:rFonts w:ascii="MS PGothic" w:cs="MS PGothic" w:eastAsia="MS PGothic" w:hAnsi="MS PGothic"/>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680" w:right="20" w:hanging="335"/>
        <w:spacing w:after="0" w:line="223" w:lineRule="exact"/>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43"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23" w:lineRule="exact"/>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680" w:hanging="335"/>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160655</wp:posOffset>
            </wp:positionV>
            <wp:extent cx="67036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-139065</wp:posOffset>
            </wp:positionV>
            <wp:extent cx="6703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-438785</wp:posOffset>
            </wp:positionV>
            <wp:extent cx="6703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-739140</wp:posOffset>
            </wp:positionV>
            <wp:extent cx="67036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-1716405</wp:posOffset>
            </wp:positionV>
            <wp:extent cx="67036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-2016125</wp:posOffset>
            </wp:positionV>
            <wp:extent cx="67036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-2316480</wp:posOffset>
            </wp:positionV>
            <wp:extent cx="670369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-2753360</wp:posOffset>
            </wp:positionV>
            <wp:extent cx="670369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-3053715</wp:posOffset>
            </wp:positionV>
            <wp:extent cx="67036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369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320"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This proxy statement amendment, dated April 2, 2020 (this “Amendment No 1.”), amends the definitive proxy statement (the “proxy statement”) of South Plains Financial, Inc. (the “Company”), which was filed with the Securities and Exchange Commission on April 1, 2020, relating to the Company’s Annual Meeting of Shareholders (the “annual meeting”) to be held on May 19, 2020. The Company is providing this Amendment No. 1 solely to correct, in the “Summary Compensation Table,” the inadvertent omission of the “Stock Awards” column and the values set forth in the “Option Awards” column and to make corresponding changes to the explanatory footnotes following the table. The Summary Compensation Table and its explanatory footnotes were included in the proxy statement beginning on page 19.</w:t>
      </w:r>
    </w:p>
    <w:p>
      <w:pPr>
        <w:spacing w:after="0" w:line="179"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No other changes have been made to the proxy statement or to the matters to be considered by the Company’s shareholders at the annual meeting. All other items of the proxy statement are incorporated herein by reference without change. Capitalized terms used but not otherwise defined in this Amendment No. 1 shall have the meanings assigned to such terms in the proxy statement. This Amendment No. 1 should be read in conjunction with the proxy statement. From and after the date of this Amendment No. 1, any references to the “proxy statement” are to the proxy statement as amended hereby.</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changes to the proxy statement reflected in this Amendment No. 1 are incorporated in the copy of the proxy statement sent to shareholders and also available at www.spfi.bank.</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Amendment to the Summary Compensation Table</w:t>
      </w:r>
    </w:p>
    <w:p>
      <w:pPr>
        <w:spacing w:after="0" w:line="239" w:lineRule="exact"/>
        <w:rPr>
          <w:sz w:val="20"/>
          <w:szCs w:val="20"/>
          <w:color w:val="auto"/>
        </w:rPr>
      </w:pPr>
    </w:p>
    <w:p>
      <w:pPr>
        <w:ind w:right="340"/>
        <w:spacing w:after="0" w:line="274" w:lineRule="auto"/>
        <w:rPr>
          <w:sz w:val="20"/>
          <w:szCs w:val="20"/>
          <w:color w:val="auto"/>
        </w:rPr>
      </w:pPr>
      <w:r>
        <w:rPr>
          <w:rFonts w:ascii="Arial" w:cs="Arial" w:eastAsia="Arial" w:hAnsi="Arial"/>
          <w:sz w:val="21"/>
          <w:szCs w:val="21"/>
          <w:color w:val="auto"/>
        </w:rPr>
        <w:t>Beginning on page 19 of the proxy statement, under the heading “Summary Compensation Table,” the following revised table and explanatory footnotes replace the previously-filed table and explanatory footnotes in their entirety:</w:t>
      </w:r>
    </w:p>
    <w:p>
      <w:pPr>
        <w:spacing w:after="0" w:line="178"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table sets forth information regarding the compensation paid, awarded to, or earned by each of our named executive officers for the fiscal years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Non-Equity</w:t>
            </w: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Nonqualified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b w:val="1"/>
                <w:bCs w:val="1"/>
                <w:color w:val="auto"/>
              </w:rPr>
              <w:t>Name and</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ind w:left="80"/>
              <w:spacing w:after="0"/>
              <w:rPr>
                <w:sz w:val="20"/>
                <w:szCs w:val="20"/>
                <w:color w:val="auto"/>
              </w:rPr>
            </w:pPr>
            <w:r>
              <w:rPr>
                <w:rFonts w:ascii="Arial" w:cs="Arial" w:eastAsia="Arial" w:hAnsi="Arial"/>
                <w:sz w:val="18"/>
                <w:szCs w:val="18"/>
                <w:b w:val="1"/>
                <w:bCs w:val="1"/>
                <w:color w:val="auto"/>
              </w:rPr>
              <w:t>Stock</w:t>
            </w:r>
          </w:p>
        </w:tc>
        <w:tc>
          <w:tcPr>
            <w:tcW w:w="640" w:type="dxa"/>
            <w:vAlign w:val="bottom"/>
          </w:tcPr>
          <w:p>
            <w:pPr>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Incentive Plan</w:t>
            </w: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b w:val="1"/>
                <w:bCs w:val="1"/>
                <w:color w:val="auto"/>
              </w:rPr>
              <w:t>Principal</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Salary</w:t>
            </w:r>
          </w:p>
        </w:tc>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Bonus</w:t>
            </w:r>
          </w:p>
        </w:tc>
        <w:tc>
          <w:tcPr>
            <w:tcW w:w="1020" w:type="dxa"/>
            <w:vAlign w:val="bottom"/>
            <w:gridSpan w:val="4"/>
          </w:tcPr>
          <w:p>
            <w:pPr>
              <w:ind w:left="80"/>
              <w:spacing w:after="0"/>
              <w:rPr>
                <w:sz w:val="20"/>
                <w:szCs w:val="20"/>
                <w:color w:val="auto"/>
              </w:rPr>
            </w:pPr>
            <w:r>
              <w:rPr>
                <w:rFonts w:ascii="Arial" w:cs="Arial" w:eastAsia="Arial" w:hAnsi="Arial"/>
                <w:sz w:val="18"/>
                <w:szCs w:val="18"/>
                <w:b w:val="1"/>
                <w:bCs w:val="1"/>
                <w:color w:val="auto"/>
              </w:rPr>
              <w:t>Awards</w:t>
            </w:r>
          </w:p>
        </w:tc>
        <w:tc>
          <w:tcPr>
            <w:tcW w:w="640" w:type="dxa"/>
            <w:vAlign w:val="bottom"/>
          </w:tcPr>
          <w:p>
            <w:pPr>
              <w:spacing w:after="0"/>
              <w:rPr>
                <w:sz w:val="20"/>
                <w:szCs w:val="20"/>
                <w:color w:val="auto"/>
              </w:rPr>
            </w:pPr>
            <w:r>
              <w:rPr>
                <w:rFonts w:ascii="Arial" w:cs="Arial" w:eastAsia="Arial" w:hAnsi="Arial"/>
                <w:sz w:val="18"/>
                <w:szCs w:val="18"/>
                <w:b w:val="1"/>
                <w:bCs w:val="1"/>
                <w:color w:val="auto"/>
                <w:w w:val="95"/>
              </w:rPr>
              <w:t>Awards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Compensation</w:t>
            </w:r>
          </w:p>
        </w:tc>
        <w:tc>
          <w:tcPr>
            <w:tcW w:w="128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Compensation</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Compensation</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Compensation</w:t>
            </w: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8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18"/>
                <w:szCs w:val="18"/>
                <w:b w:val="1"/>
                <w:bCs w:val="1"/>
                <w:color w:val="auto"/>
              </w:rPr>
              <w:t>Year</w:t>
            </w: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90"/>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ind w:left="8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Earnings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b w:val="1"/>
                <w:bCs w:val="1"/>
                <w:color w:val="auto"/>
              </w:rPr>
              <w:t>($)(3)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Curtis C. Griffith</w:t>
            </w:r>
          </w:p>
        </w:tc>
        <w:tc>
          <w:tcPr>
            <w:tcW w:w="8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9"/>
              </w:rPr>
              <w:t>$ 366,088</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$ 121,367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307,800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80"/>
              <w:spacing w:after="0" w:line="201" w:lineRule="exact"/>
              <w:rPr>
                <w:sz w:val="20"/>
                <w:szCs w:val="20"/>
                <w:color w:val="auto"/>
              </w:rPr>
            </w:pPr>
            <w:r>
              <w:rPr>
                <w:rFonts w:ascii="Arial" w:cs="Arial" w:eastAsia="Arial" w:hAnsi="Arial"/>
                <w:sz w:val="18"/>
                <w:szCs w:val="18"/>
                <w:color w:val="auto"/>
                <w:w w:val="83"/>
              </w:rPr>
              <w:t>49,751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845,006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Board and Chief</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62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04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$ 402,796</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0"/>
              </w:rPr>
              <w:t>47,790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60,391</w:t>
            </w:r>
          </w:p>
        </w:tc>
        <w:tc>
          <w:tcPr>
            <w:tcW w:w="4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510,997</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b w:val="1"/>
                <w:bCs w:val="1"/>
                <w:color w:val="auto"/>
              </w:rPr>
              <w:t>Cory T. Newsom</w:t>
            </w:r>
          </w:p>
        </w:tc>
        <w:tc>
          <w:tcPr>
            <w:tcW w:w="6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2019</w:t>
            </w:r>
          </w:p>
        </w:tc>
        <w:tc>
          <w:tcPr>
            <w:tcW w:w="104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$ 700,474</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2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2"/>
              </w:rPr>
              <w:t>999,993</w:t>
            </w:r>
          </w:p>
        </w:tc>
        <w:tc>
          <w:tcPr>
            <w:tcW w:w="840" w:type="dxa"/>
            <w:vAlign w:val="bottom"/>
            <w:gridSpan w:val="3"/>
          </w:tcPr>
          <w:p>
            <w:pPr>
              <w:spacing w:after="0" w:line="201" w:lineRule="exact"/>
              <w:rPr>
                <w:sz w:val="20"/>
                <w:szCs w:val="20"/>
                <w:color w:val="auto"/>
              </w:rPr>
            </w:pPr>
            <w:r>
              <w:rPr>
                <w:rFonts w:ascii="Arial" w:cs="Arial" w:eastAsia="Arial" w:hAnsi="Arial"/>
                <w:sz w:val="18"/>
                <w:szCs w:val="18"/>
                <w:color w:val="auto"/>
              </w:rPr>
              <w:t>$ 148,698</w:t>
            </w:r>
          </w:p>
        </w:tc>
        <w:tc>
          <w:tcPr>
            <w:tcW w:w="560" w:type="dxa"/>
            <w:vAlign w:val="bottom"/>
            <w:gridSpan w:val="2"/>
          </w:tcPr>
          <w:p>
            <w:pPr>
              <w:jc w:val="right"/>
              <w:ind w:right="307"/>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5"/>
              </w:rPr>
              <w:t>472,500</w:t>
            </w:r>
          </w:p>
        </w:tc>
        <w:tc>
          <w:tcPr>
            <w:tcW w:w="11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9"/>
              </w:rPr>
              <w:t>-</w:t>
            </w:r>
          </w:p>
        </w:tc>
        <w:tc>
          <w:tcPr>
            <w:tcW w:w="6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63,117</w:t>
            </w:r>
          </w:p>
        </w:tc>
        <w:tc>
          <w:tcPr>
            <w:tcW w:w="4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7"/>
              </w:rPr>
              <w:t>2,384,782</w:t>
            </w: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President</w:t>
            </w:r>
          </w:p>
        </w:tc>
        <w:tc>
          <w:tcPr>
            <w:tcW w:w="620" w:type="dxa"/>
            <w:vAlign w:val="bottom"/>
            <w:gridSpan w:val="2"/>
            <w:vMerge w:val="restart"/>
          </w:tcPr>
          <w:p>
            <w:pPr>
              <w:ind w:left="180"/>
              <w:spacing w:after="0"/>
              <w:rPr>
                <w:sz w:val="20"/>
                <w:szCs w:val="20"/>
                <w:color w:val="auto"/>
              </w:rPr>
            </w:pPr>
            <w:r>
              <w:rPr>
                <w:rFonts w:ascii="Arial" w:cs="Arial" w:eastAsia="Arial" w:hAnsi="Arial"/>
                <w:sz w:val="18"/>
                <w:szCs w:val="18"/>
                <w:color w:val="auto"/>
              </w:rPr>
              <w:t>2018</w:t>
            </w:r>
          </w:p>
        </w:tc>
        <w:tc>
          <w:tcPr>
            <w:tcW w:w="1040" w:type="dxa"/>
            <w:vAlign w:val="bottom"/>
            <w:gridSpan w:val="3"/>
            <w:vMerge w:val="restart"/>
          </w:tcPr>
          <w:p>
            <w:pPr>
              <w:ind w:left="100"/>
              <w:spacing w:after="0"/>
              <w:rPr>
                <w:sz w:val="20"/>
                <w:szCs w:val="20"/>
                <w:color w:val="auto"/>
              </w:rPr>
            </w:pPr>
            <w:r>
              <w:rPr>
                <w:rFonts w:ascii="Arial" w:cs="Arial" w:eastAsia="Arial" w:hAnsi="Arial"/>
                <w:sz w:val="18"/>
                <w:szCs w:val="18"/>
                <w:color w:val="auto"/>
              </w:rPr>
              <w:t>$ 766,956</w:t>
            </w:r>
          </w:p>
        </w:tc>
        <w:tc>
          <w:tcPr>
            <w:tcW w:w="840" w:type="dxa"/>
            <w:vAlign w:val="bottom"/>
            <w:gridSpan w:val="3"/>
            <w:vMerge w:val="restart"/>
          </w:tcPr>
          <w:p>
            <w:pPr>
              <w:spacing w:after="0"/>
              <w:rPr>
                <w:sz w:val="20"/>
                <w:szCs w:val="20"/>
                <w:color w:val="auto"/>
              </w:rPr>
            </w:pPr>
            <w:r>
              <w:rPr>
                <w:rFonts w:ascii="Arial" w:cs="Arial" w:eastAsia="Arial" w:hAnsi="Arial"/>
                <w:sz w:val="18"/>
                <w:szCs w:val="18"/>
                <w:color w:val="auto"/>
              </w:rPr>
              <w:t>$ 104,215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307"/>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660" w:type="dxa"/>
            <w:vAlign w:val="bottom"/>
            <w:gridSpan w:val="2"/>
            <w:vMerge w:val="restart"/>
          </w:tcPr>
          <w:p>
            <w:pPr>
              <w:ind w:left="80"/>
              <w:spacing w:after="0"/>
              <w:rPr>
                <w:sz w:val="20"/>
                <w:szCs w:val="20"/>
                <w:color w:val="auto"/>
              </w:rPr>
            </w:pPr>
            <w:r>
              <w:rPr>
                <w:rFonts w:ascii="Arial" w:cs="Arial" w:eastAsia="Arial" w:hAnsi="Arial"/>
                <w:sz w:val="18"/>
                <w:szCs w:val="18"/>
                <w:color w:val="auto"/>
              </w:rPr>
              <w:t>62,022</w:t>
            </w:r>
          </w:p>
        </w:tc>
        <w:tc>
          <w:tcPr>
            <w:tcW w:w="40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933,193</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Steven B.</w:t>
            </w:r>
          </w:p>
        </w:tc>
        <w:tc>
          <w:tcPr>
            <w:tcW w:w="620" w:type="dxa"/>
            <w:vAlign w:val="bottom"/>
            <w:gridSpan w:val="2"/>
            <w:shd w:val="clear" w:color="auto" w:fill="CCEEFF"/>
          </w:tcPr>
          <w:p>
            <w:pPr>
              <w:ind w:left="180"/>
              <w:spacing w:after="0" w:line="188" w:lineRule="exact"/>
              <w:rPr>
                <w:sz w:val="20"/>
                <w:szCs w:val="20"/>
                <w:color w:val="auto"/>
              </w:rPr>
            </w:pPr>
            <w:r>
              <w:rPr>
                <w:rFonts w:ascii="Arial" w:cs="Arial" w:eastAsia="Arial" w:hAnsi="Arial"/>
                <w:sz w:val="18"/>
                <w:szCs w:val="18"/>
                <w:color w:val="auto"/>
              </w:rPr>
              <w:t>2019</w:t>
            </w:r>
          </w:p>
        </w:tc>
        <w:tc>
          <w:tcPr>
            <w:tcW w:w="1040" w:type="dxa"/>
            <w:vAlign w:val="bottom"/>
            <w:gridSpan w:val="3"/>
            <w:shd w:val="clear" w:color="auto" w:fill="CCEEFF"/>
          </w:tcPr>
          <w:p>
            <w:pPr>
              <w:ind w:left="100"/>
              <w:spacing w:after="0" w:line="188" w:lineRule="exact"/>
              <w:rPr>
                <w:sz w:val="20"/>
                <w:szCs w:val="20"/>
                <w:color w:val="auto"/>
              </w:rPr>
            </w:pPr>
            <w:r>
              <w:rPr>
                <w:rFonts w:ascii="Arial" w:cs="Arial" w:eastAsia="Arial" w:hAnsi="Arial"/>
                <w:sz w:val="18"/>
                <w:szCs w:val="18"/>
                <w:color w:val="auto"/>
              </w:rPr>
              <w:t>$ 303,384</w:t>
            </w:r>
          </w:p>
        </w:tc>
        <w:tc>
          <w:tcPr>
            <w:tcW w:w="22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8"/>
                <w:szCs w:val="18"/>
                <w:color w:val="auto"/>
              </w:rPr>
              <w:t>3,480</w:t>
            </w:r>
          </w:p>
        </w:tc>
        <w:tc>
          <w:tcPr>
            <w:tcW w:w="220" w:type="dxa"/>
            <w:vAlign w:val="bottom"/>
            <w:gridSpan w:val="2"/>
            <w:shd w:val="clear" w:color="auto" w:fill="CCEEFF"/>
          </w:tcPr>
          <w:p>
            <w:pPr>
              <w:ind w:left="80"/>
              <w:spacing w:after="0" w:line="188"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line="188" w:lineRule="exact"/>
              <w:rPr>
                <w:sz w:val="20"/>
                <w:szCs w:val="20"/>
                <w:color w:val="auto"/>
              </w:rPr>
            </w:pPr>
            <w:r>
              <w:rPr>
                <w:rFonts w:ascii="Arial" w:cs="Arial" w:eastAsia="Arial" w:hAnsi="Arial"/>
                <w:sz w:val="18"/>
                <w:szCs w:val="18"/>
                <w:color w:val="auto"/>
                <w:w w:val="92"/>
              </w:rPr>
              <w:t>144,992</w:t>
            </w:r>
          </w:p>
        </w:tc>
        <w:tc>
          <w:tcPr>
            <w:tcW w:w="84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color w:val="auto"/>
              </w:rPr>
              <w:t>$ 125,778</w:t>
            </w:r>
          </w:p>
        </w:tc>
        <w:tc>
          <w:tcPr>
            <w:tcW w:w="560" w:type="dxa"/>
            <w:vAlign w:val="bottom"/>
            <w:gridSpan w:val="2"/>
            <w:shd w:val="clear" w:color="auto" w:fill="CCEEFF"/>
          </w:tcPr>
          <w:p>
            <w:pPr>
              <w:jc w:val="right"/>
              <w:ind w:right="307"/>
              <w:spacing w:after="0" w:line="188"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8"/>
                <w:szCs w:val="18"/>
                <w:color w:val="auto"/>
                <w:w w:val="95"/>
              </w:rPr>
              <w:t>170,520</w:t>
            </w:r>
          </w:p>
        </w:tc>
        <w:tc>
          <w:tcPr>
            <w:tcW w:w="1120" w:type="dxa"/>
            <w:vAlign w:val="bottom"/>
            <w:gridSpan w:val="2"/>
            <w:shd w:val="clear" w:color="auto" w:fill="CCEEFF"/>
          </w:tcPr>
          <w:p>
            <w:pPr>
              <w:ind w:left="80"/>
              <w:spacing w:after="0" w:line="188" w:lineRule="exact"/>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80"/>
              <w:spacing w:after="0" w:line="188" w:lineRule="exact"/>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100"/>
              <w:spacing w:after="0" w:line="188"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80"/>
              <w:spacing w:after="0" w:line="188" w:lineRule="exact"/>
              <w:rPr>
                <w:sz w:val="20"/>
                <w:szCs w:val="20"/>
                <w:color w:val="auto"/>
              </w:rPr>
            </w:pPr>
            <w:r>
              <w:rPr>
                <w:rFonts w:ascii="Arial" w:cs="Arial" w:eastAsia="Arial" w:hAnsi="Arial"/>
                <w:sz w:val="18"/>
                <w:szCs w:val="18"/>
                <w:color w:val="auto"/>
              </w:rPr>
              <w:t>30,131</w:t>
            </w:r>
          </w:p>
        </w:tc>
        <w:tc>
          <w:tcPr>
            <w:tcW w:w="400" w:type="dxa"/>
            <w:vAlign w:val="bottom"/>
            <w:gridSpan w:val="2"/>
            <w:shd w:val="clear" w:color="auto" w:fill="CCEEFF"/>
          </w:tcPr>
          <w:p>
            <w:pPr>
              <w:ind w:left="100"/>
              <w:spacing w:after="0" w:line="188"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8"/>
                <w:szCs w:val="18"/>
                <w:color w:val="auto"/>
              </w:rPr>
              <w:t>778,285</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spacing w:after="0" w:line="230" w:lineRule="exact"/>
              <w:rPr>
                <w:sz w:val="20"/>
                <w:szCs w:val="20"/>
                <w:color w:val="auto"/>
              </w:rPr>
            </w:pPr>
            <w:r>
              <w:rPr>
                <w:rFonts w:ascii="Arial" w:cs="Arial" w:eastAsia="Arial" w:hAnsi="Arial"/>
                <w:sz w:val="16"/>
                <w:szCs w:val="16"/>
                <w:b w:val="1"/>
                <w:bCs w:val="1"/>
                <w:color w:val="auto"/>
              </w:rPr>
              <w:t>Crockett</w:t>
            </w:r>
            <w:r>
              <w:rPr>
                <w:rFonts w:ascii="Arial" w:cs="Arial" w:eastAsia="Arial" w:hAnsi="Arial"/>
                <w:sz w:val="26"/>
                <w:szCs w:val="26"/>
                <w:b w:val="1"/>
                <w:bCs w:val="1"/>
                <w:color w:val="auto"/>
                <w:vertAlign w:val="superscript"/>
              </w:rPr>
              <w:t>(4)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Officer</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1700" w:type="dxa"/>
            <w:vAlign w:val="bottom"/>
          </w:tcPr>
          <w:p>
            <w:pPr>
              <w:spacing w:after="0" w:line="204" w:lineRule="exact"/>
              <w:rPr>
                <w:sz w:val="20"/>
                <w:szCs w:val="20"/>
                <w:color w:val="auto"/>
              </w:rPr>
            </w:pPr>
            <w:r>
              <w:rPr>
                <w:rFonts w:ascii="Arial" w:cs="Arial" w:eastAsia="Arial" w:hAnsi="Arial"/>
                <w:sz w:val="18"/>
                <w:szCs w:val="18"/>
                <w:b w:val="1"/>
                <w:bCs w:val="1"/>
                <w:color w:val="auto"/>
              </w:rPr>
              <w:t>Kelly L.</w:t>
            </w:r>
          </w:p>
        </w:tc>
        <w:tc>
          <w:tcPr>
            <w:tcW w:w="620" w:type="dxa"/>
            <w:vAlign w:val="bottom"/>
            <w:gridSpan w:val="2"/>
          </w:tcPr>
          <w:p>
            <w:pPr>
              <w:ind w:left="180"/>
              <w:spacing w:after="0" w:line="204" w:lineRule="exact"/>
              <w:rPr>
                <w:sz w:val="20"/>
                <w:szCs w:val="20"/>
                <w:color w:val="auto"/>
              </w:rPr>
            </w:pPr>
            <w:r>
              <w:rPr>
                <w:rFonts w:ascii="Arial" w:cs="Arial" w:eastAsia="Arial" w:hAnsi="Arial"/>
                <w:sz w:val="18"/>
                <w:szCs w:val="18"/>
                <w:color w:val="auto"/>
              </w:rPr>
              <w:t>2018</w:t>
            </w:r>
          </w:p>
        </w:tc>
        <w:tc>
          <w:tcPr>
            <w:tcW w:w="1040" w:type="dxa"/>
            <w:vAlign w:val="bottom"/>
            <w:gridSpan w:val="3"/>
          </w:tcPr>
          <w:p>
            <w:pPr>
              <w:ind w:left="100"/>
              <w:spacing w:after="0" w:line="204" w:lineRule="exact"/>
              <w:rPr>
                <w:sz w:val="20"/>
                <w:szCs w:val="20"/>
                <w:color w:val="auto"/>
              </w:rPr>
            </w:pPr>
            <w:r>
              <w:rPr>
                <w:rFonts w:ascii="Arial" w:cs="Arial" w:eastAsia="Arial" w:hAnsi="Arial"/>
                <w:sz w:val="18"/>
                <w:szCs w:val="18"/>
                <w:color w:val="auto"/>
              </w:rPr>
              <w:t>$ 110,893</w:t>
            </w:r>
          </w:p>
        </w:tc>
        <w:tc>
          <w:tcPr>
            <w:tcW w:w="22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w w:val="90"/>
              </w:rPr>
              <w:t>12,370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line="204" w:lineRule="exact"/>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7"/>
              <w:spacing w:after="0" w:line="204"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w w:val="95"/>
              </w:rPr>
              <w:t>507,298</w:t>
            </w:r>
          </w:p>
        </w:tc>
        <w:tc>
          <w:tcPr>
            <w:tcW w:w="1120" w:type="dxa"/>
            <w:vAlign w:val="bottom"/>
            <w:gridSpan w:val="2"/>
          </w:tcPr>
          <w:p>
            <w:pPr>
              <w:ind w:left="80"/>
              <w:spacing w:after="0" w:line="204"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80"/>
              <w:spacing w:after="0" w:line="204" w:lineRule="exact"/>
              <w:rPr>
                <w:sz w:val="20"/>
                <w:szCs w:val="20"/>
                <w:color w:val="auto"/>
              </w:rPr>
            </w:pPr>
            <w:r>
              <w:rPr>
                <w:rFonts w:ascii="Arial" w:cs="Arial" w:eastAsia="Arial" w:hAnsi="Arial"/>
                <w:sz w:val="18"/>
                <w:szCs w:val="18"/>
                <w:color w:val="auto"/>
                <w:w w:val="99"/>
              </w:rPr>
              <w:t>-</w:t>
            </w:r>
          </w:p>
        </w:tc>
        <w:tc>
          <w:tcPr>
            <w:tcW w:w="640" w:type="dxa"/>
            <w:vAlign w:val="bottom"/>
            <w:gridSpan w:val="2"/>
          </w:tcPr>
          <w:p>
            <w:pPr>
              <w:ind w:left="100"/>
              <w:spacing w:after="0" w:line="204" w:lineRule="exact"/>
              <w:rPr>
                <w:sz w:val="20"/>
                <w:szCs w:val="20"/>
                <w:color w:val="auto"/>
              </w:rPr>
            </w:pPr>
            <w:r>
              <w:rPr>
                <w:rFonts w:ascii="Arial" w:cs="Arial" w:eastAsia="Arial" w:hAnsi="Arial"/>
                <w:sz w:val="18"/>
                <w:szCs w:val="18"/>
                <w:color w:val="auto"/>
              </w:rPr>
              <w:t>$</w:t>
            </w:r>
          </w:p>
        </w:tc>
        <w:tc>
          <w:tcPr>
            <w:tcW w:w="660" w:type="dxa"/>
            <w:vAlign w:val="bottom"/>
            <w:gridSpan w:val="2"/>
          </w:tcPr>
          <w:p>
            <w:pPr>
              <w:ind w:left="80"/>
              <w:spacing w:after="0" w:line="204" w:lineRule="exact"/>
              <w:rPr>
                <w:sz w:val="20"/>
                <w:szCs w:val="20"/>
                <w:color w:val="auto"/>
              </w:rPr>
            </w:pPr>
            <w:r>
              <w:rPr>
                <w:rFonts w:ascii="Arial" w:cs="Arial" w:eastAsia="Arial" w:hAnsi="Arial"/>
                <w:sz w:val="18"/>
                <w:szCs w:val="18"/>
                <w:color w:val="auto"/>
              </w:rPr>
              <w:t>11,791</w:t>
            </w:r>
          </w:p>
        </w:tc>
        <w:tc>
          <w:tcPr>
            <w:tcW w:w="400" w:type="dxa"/>
            <w:vAlign w:val="bottom"/>
            <w:gridSpan w:val="2"/>
          </w:tcPr>
          <w:p>
            <w:pPr>
              <w:ind w:left="100"/>
              <w:spacing w:after="0" w:line="204"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642,352</w:t>
            </w:r>
          </w:p>
        </w:tc>
        <w:tc>
          <w:tcPr>
            <w:tcW w:w="0" w:type="dxa"/>
            <w:vAlign w:val="bottom"/>
          </w:tcPr>
          <w:p>
            <w:pPr>
              <w:spacing w:after="0"/>
              <w:rPr>
                <w:sz w:val="1"/>
                <w:szCs w:val="1"/>
                <w:color w:val="auto"/>
              </w:rPr>
            </w:pPr>
          </w:p>
        </w:tc>
      </w:tr>
    </w:tbl>
    <w:p>
      <w:pPr>
        <w:spacing w:after="0" w:line="184" w:lineRule="auto"/>
        <w:rPr>
          <w:sz w:val="20"/>
          <w:szCs w:val="20"/>
          <w:color w:val="auto"/>
        </w:rPr>
      </w:pPr>
      <w:r>
        <w:rPr>
          <w:rFonts w:ascii="Arial" w:cs="Arial" w:eastAsia="Arial" w:hAnsi="Arial"/>
          <w:sz w:val="16"/>
          <w:szCs w:val="16"/>
          <w:b w:val="1"/>
          <w:bCs w:val="1"/>
          <w:color w:val="auto"/>
        </w:rPr>
        <w:t>Deterding</w:t>
      </w:r>
      <w:r>
        <w:rPr>
          <w:rFonts w:ascii="Arial" w:cs="Arial" w:eastAsia="Arial" w:hAnsi="Arial"/>
          <w:sz w:val="26"/>
          <w:szCs w:val="26"/>
          <w:b w:val="1"/>
          <w:bCs w:val="1"/>
          <w:color w:val="auto"/>
          <w:vertAlign w:val="superscript"/>
        </w:rPr>
        <w:t>(4)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President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Windmark</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jc w:val="both"/>
        <w:ind w:left="500" w:hanging="455"/>
        <w:spacing w:after="0" w:line="217" w:lineRule="auto"/>
        <w:tabs>
          <w:tab w:leader="none" w:pos="500" w:val="left"/>
        </w:tabs>
        <w:numPr>
          <w:ilvl w:val="1"/>
          <w:numId w:val="6"/>
        </w:numPr>
        <w:rPr>
          <w:rFonts w:ascii="Arial" w:cs="Arial" w:eastAsia="Arial" w:hAnsi="Arial"/>
          <w:sz w:val="30"/>
          <w:szCs w:val="30"/>
          <w:color w:val="auto"/>
          <w:vertAlign w:val="superscript"/>
        </w:rPr>
      </w:pPr>
      <w:r>
        <w:rPr>
          <w:rFonts w:ascii="Arial" w:cs="Arial" w:eastAsia="Arial" w:hAnsi="Arial"/>
          <w:sz w:val="18"/>
          <w:szCs w:val="18"/>
          <w:color w:val="auto"/>
        </w:rPr>
        <w:t>Reflects the aggregate grant date fair value, determined in accordance with applicable FASB ASC Topic 718, of equity-based awards made during the 2019 fiscal year. The discussion of the assumptions used in calculating the aggregate grant date fair value of the equity-based awards can be found in Footnote 10 of the Notes to Consolidated Financial Statements included in the Company’s Form 10-K for the year ended December 31, 2019.</w:t>
      </w:r>
    </w:p>
    <w:p>
      <w:pPr>
        <w:spacing w:after="0" w:line="231" w:lineRule="exact"/>
        <w:rPr>
          <w:rFonts w:ascii="Arial" w:cs="Arial" w:eastAsia="Arial" w:hAnsi="Arial"/>
          <w:sz w:val="30"/>
          <w:szCs w:val="30"/>
          <w:color w:val="auto"/>
          <w:vertAlign w:val="superscript"/>
        </w:rPr>
      </w:pPr>
    </w:p>
    <w:p>
      <w:pPr>
        <w:ind w:left="500" w:right="20" w:hanging="492"/>
        <w:spacing w:after="0" w:line="194" w:lineRule="auto"/>
        <w:tabs>
          <w:tab w:leader="none" w:pos="50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Amounts represent annual incentive bonuses that were earned in 2019. For a description of annual incentive bonuses for 2019, see “Annual Cash Incentive Compensation” below.</w:t>
      </w:r>
    </w:p>
    <w:p>
      <w:pPr>
        <w:spacing w:after="0" w:line="228" w:lineRule="exact"/>
        <w:rPr>
          <w:rFonts w:ascii="Arial" w:cs="Arial" w:eastAsia="Arial" w:hAnsi="Arial"/>
          <w:sz w:val="30"/>
          <w:szCs w:val="30"/>
          <w:color w:val="auto"/>
          <w:vertAlign w:val="superscript"/>
        </w:rPr>
      </w:pPr>
    </w:p>
    <w:p>
      <w:pPr>
        <w:ind w:left="500" w:hanging="492"/>
        <w:spacing w:after="0" w:line="194" w:lineRule="auto"/>
        <w:tabs>
          <w:tab w:leader="none" w:pos="50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We provide our NEOs with other benefits that we believe are reasonable, competitive and consistent with our overall executive compensation structure. The amounts in this column for fiscal year 2019 include:</w:t>
      </w:r>
    </w:p>
    <w:p>
      <w:pPr>
        <w:ind w:left="980" w:hanging="486"/>
        <w:spacing w:after="0" w:line="265" w:lineRule="auto"/>
        <w:tabs>
          <w:tab w:leader="none" w:pos="980" w:val="left"/>
        </w:tabs>
        <w:numPr>
          <w:ilvl w:val="2"/>
          <w:numId w:val="7"/>
        </w:numPr>
        <w:rPr>
          <w:rFonts w:ascii="Arial" w:cs="Arial" w:eastAsia="Arial" w:hAnsi="Arial"/>
          <w:sz w:val="17"/>
          <w:szCs w:val="17"/>
          <w:color w:val="auto"/>
        </w:rPr>
      </w:pPr>
      <w:r>
        <w:rPr>
          <w:rFonts w:ascii="Arial" w:cs="Arial" w:eastAsia="Arial" w:hAnsi="Arial"/>
          <w:sz w:val="17"/>
          <w:szCs w:val="17"/>
          <w:color w:val="auto"/>
        </w:rPr>
        <w:t>For Mr. Griffith: director fees of $14,866, vehicle expenses of $14,985, Company-paid health incentives of $24, a contribution for our ESOP of $14,131 and excess contributions of $2,969 paid in cash and Company-paid premiums for group insurance of $2,776.</w:t>
      </w:r>
    </w:p>
    <w:p>
      <w:pPr>
        <w:ind w:left="980" w:right="20" w:hanging="486"/>
        <w:spacing w:after="0" w:line="265" w:lineRule="auto"/>
        <w:tabs>
          <w:tab w:leader="none" w:pos="980" w:val="left"/>
        </w:tabs>
        <w:numPr>
          <w:ilvl w:val="2"/>
          <w:numId w:val="7"/>
        </w:numPr>
        <w:rPr>
          <w:rFonts w:ascii="Arial" w:cs="Arial" w:eastAsia="Arial" w:hAnsi="Arial"/>
          <w:sz w:val="17"/>
          <w:szCs w:val="17"/>
          <w:color w:val="auto"/>
        </w:rPr>
      </w:pPr>
      <w:r>
        <w:rPr>
          <w:rFonts w:ascii="Arial" w:cs="Arial" w:eastAsia="Arial" w:hAnsi="Arial"/>
          <w:sz w:val="17"/>
          <w:szCs w:val="17"/>
          <w:color w:val="auto"/>
        </w:rPr>
        <w:t>For Mr. Newsom: director fees of $14,866, vehicle expenses of $6,352, a contribution for our ESOP of $11,550 and excess contributions of $18,375 paid in cash, Company-paid premiums for group insurance of $1,232 and home security and country-club dues of $10,742.</w:t>
      </w:r>
    </w:p>
    <w:p>
      <w:pPr>
        <w:ind w:left="980" w:right="20" w:hanging="486"/>
        <w:spacing w:after="0" w:line="250" w:lineRule="auto"/>
        <w:tabs>
          <w:tab w:leader="none" w:pos="980" w:val="left"/>
        </w:tabs>
        <w:numPr>
          <w:ilvl w:val="2"/>
          <w:numId w:val="7"/>
        </w:numPr>
        <w:rPr>
          <w:rFonts w:ascii="Arial" w:cs="Arial" w:eastAsia="Arial" w:hAnsi="Arial"/>
          <w:sz w:val="18"/>
          <w:szCs w:val="18"/>
          <w:color w:val="auto"/>
        </w:rPr>
      </w:pPr>
      <w:r>
        <w:rPr>
          <w:rFonts w:ascii="Arial" w:cs="Arial" w:eastAsia="Arial" w:hAnsi="Arial"/>
          <w:sz w:val="18"/>
          <w:szCs w:val="18"/>
          <w:color w:val="auto"/>
        </w:rPr>
        <w:t>For Mr. Crockett: vehicle expenses of $15,000, a contribution for our ESOP of $13,275 and excess contributions of $500 paid in cash, Company-paid premiums for group insurance of $836 and home security of $520.</w:t>
      </w:r>
    </w:p>
    <w:p>
      <w:pPr>
        <w:ind w:left="500" w:hanging="492"/>
        <w:spacing w:after="0" w:line="187" w:lineRule="auto"/>
        <w:tabs>
          <w:tab w:leader="none" w:pos="50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Mr. Crockett was newly designated as a Named Executive Officer for the fiscal year 2019. Mr. Deterding was not a Named Executive Officer for the fiscal year 2019, but was a Named Executive Officer in the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80" w:right="339" w:bottom="9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6">
    <w:nsid w:val="41B71EFB"/>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2020-04-02T16:19:18Z</dcterms:created>
  <dcterms:modified xsi:type="dcterms:W3CDTF">2020-04-02T16:19:18Z</dcterms:modified>
</cp:coreProperties>
</file>