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133350</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3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760"/>
        <w:spacing w:after="0"/>
        <w:tabs>
          <w:tab w:leader="none" w:pos="74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165735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54"/>
              <w:spacing w:after="0"/>
              <w:rPr>
                <w:sz w:val="20"/>
                <w:szCs w:val="20"/>
                <w:color w:val="auto"/>
              </w:rPr>
            </w:pPr>
            <w:r>
              <w:rPr>
                <w:rFonts w:ascii="Arial" w:cs="Arial" w:eastAsia="Arial" w:hAnsi="Arial"/>
                <w:sz w:val="18"/>
                <w:szCs w:val="18"/>
                <w:b w:val="1"/>
                <w:bCs w:val="1"/>
                <w:color w:val="auto"/>
                <w:w w:val="82"/>
              </w:rPr>
              <w:t>Texas</w:t>
            </w:r>
          </w:p>
        </w:tc>
        <w:tc>
          <w:tcPr>
            <w:tcW w:w="3800" w:type="dxa"/>
            <w:vAlign w:val="bottom"/>
          </w:tcPr>
          <w:p>
            <w:pPr>
              <w:jc w:val="right"/>
              <w:ind w:right="794"/>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80" w:type="dxa"/>
            <w:vAlign w:val="bottom"/>
          </w:tcPr>
          <w:p>
            <w:pPr>
              <w:jc w:val="center"/>
              <w:ind w:right="1094"/>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4"/>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4"/>
              <w:spacing w:after="0"/>
              <w:rPr>
                <w:sz w:val="20"/>
                <w:szCs w:val="20"/>
                <w:color w:val="auto"/>
              </w:rPr>
            </w:pPr>
            <w:r>
              <w:rPr>
                <w:rFonts w:ascii="Arial" w:cs="Arial" w:eastAsia="Arial" w:hAnsi="Arial"/>
                <w:sz w:val="18"/>
                <w:szCs w:val="18"/>
                <w:b w:val="1"/>
                <w:bCs w:val="1"/>
                <w:color w:val="auto"/>
                <w:w w:val="94"/>
              </w:rPr>
              <w:t>5219 City Bank Parkway</w:t>
            </w:r>
          </w:p>
        </w:tc>
        <w:tc>
          <w:tcPr>
            <w:tcW w:w="3800" w:type="dxa"/>
            <w:vAlign w:val="bottom"/>
          </w:tcPr>
          <w:p>
            <w:pPr>
              <w:spacing w:after="0"/>
              <w:rPr>
                <w:sz w:val="24"/>
                <w:szCs w:val="24"/>
                <w:color w:val="auto"/>
              </w:rPr>
            </w:pPr>
          </w:p>
        </w:tc>
      </w:tr>
      <w:tr>
        <w:trPr>
          <w:trHeight w:val="234"/>
        </w:trPr>
        <w:tc>
          <w:tcPr>
            <w:tcW w:w="5480" w:type="dxa"/>
            <w:vAlign w:val="bottom"/>
          </w:tcPr>
          <w:p>
            <w:pPr>
              <w:jc w:val="center"/>
              <w:ind w:right="1094"/>
              <w:spacing w:after="0"/>
              <w:rPr>
                <w:sz w:val="20"/>
                <w:szCs w:val="20"/>
                <w:color w:val="auto"/>
              </w:rPr>
            </w:pPr>
            <w:r>
              <w:rPr>
                <w:rFonts w:ascii="Arial" w:cs="Arial" w:eastAsia="Arial" w:hAnsi="Arial"/>
                <w:sz w:val="18"/>
                <w:szCs w:val="18"/>
                <w:b w:val="1"/>
                <w:bCs w:val="1"/>
                <w:color w:val="auto"/>
                <w:w w:val="89"/>
              </w:rPr>
              <w:t>Lubbock, Texas</w:t>
            </w:r>
          </w:p>
        </w:tc>
        <w:tc>
          <w:tcPr>
            <w:tcW w:w="3800" w:type="dxa"/>
            <w:vAlign w:val="bottom"/>
          </w:tcPr>
          <w:p>
            <w:pPr>
              <w:jc w:val="right"/>
              <w:ind w:right="1014"/>
              <w:spacing w:after="0"/>
              <w:rPr>
                <w:sz w:val="20"/>
                <w:szCs w:val="20"/>
                <w:color w:val="auto"/>
              </w:rPr>
            </w:pPr>
            <w:r>
              <w:rPr>
                <w:rFonts w:ascii="Arial" w:cs="Arial" w:eastAsia="Arial" w:hAnsi="Arial"/>
                <w:sz w:val="18"/>
                <w:szCs w:val="18"/>
                <w:b w:val="1"/>
                <w:bCs w:val="1"/>
                <w:color w:val="auto"/>
              </w:rPr>
              <w:t>79407</w:t>
            </w:r>
          </w:p>
        </w:tc>
      </w:tr>
      <w:tr>
        <w:trPr>
          <w:trHeight w:val="231"/>
        </w:trPr>
        <w:tc>
          <w:tcPr>
            <w:tcW w:w="5480" w:type="dxa"/>
            <w:vAlign w:val="bottom"/>
          </w:tcPr>
          <w:p>
            <w:pPr>
              <w:jc w:val="center"/>
              <w:ind w:right="1094"/>
              <w:spacing w:after="0"/>
              <w:rPr>
                <w:sz w:val="20"/>
                <w:szCs w:val="20"/>
                <w:color w:val="auto"/>
              </w:rPr>
            </w:pPr>
            <w:r>
              <w:rPr>
                <w:rFonts w:ascii="Arial" w:cs="Arial" w:eastAsia="Arial" w:hAnsi="Arial"/>
                <w:sz w:val="14"/>
                <w:szCs w:val="14"/>
                <w:color w:val="auto"/>
                <w:w w:val="95"/>
              </w:rPr>
              <w:t>(Address of principal executive offices)</w:t>
            </w:r>
          </w:p>
        </w:tc>
        <w:tc>
          <w:tcPr>
            <w:tcW w:w="3800" w:type="dxa"/>
            <w:vAlign w:val="bottom"/>
          </w:tcPr>
          <w:p>
            <w:pPr>
              <w:jc w:val="center"/>
              <w:ind w:left="1074"/>
              <w:spacing w:after="0"/>
              <w:rPr>
                <w:sz w:val="20"/>
                <w:szCs w:val="20"/>
                <w:color w:val="auto"/>
              </w:rPr>
            </w:pPr>
            <w:r>
              <w:rPr>
                <w:rFonts w:ascii="Arial" w:cs="Arial" w:eastAsia="Arial" w:hAnsi="Arial"/>
                <w:sz w:val="14"/>
                <w:szCs w:val="14"/>
                <w:color w:val="auto"/>
                <w:w w:val="96"/>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165735</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60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2" w:lineRule="exact"/>
        <w:rPr>
          <w:sz w:val="24"/>
          <w:szCs w:val="24"/>
          <w:color w:val="auto"/>
        </w:rPr>
      </w:pPr>
    </w:p>
    <w:p>
      <w:pPr>
        <w:ind w:right="140" w:firstLine="583"/>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center"/>
        <w:ind w:right="180"/>
        <w:spacing w:after="0"/>
        <w:rPr>
          <w:sz w:val="20"/>
          <w:szCs w:val="20"/>
          <w:color w:val="auto"/>
        </w:rPr>
      </w:pPr>
      <w:r>
        <w:rPr>
          <w:rFonts w:ascii="Arial" w:cs="Arial" w:eastAsia="Arial" w:hAnsi="Arial"/>
          <w:sz w:val="22"/>
          <w:szCs w:val="22"/>
          <w:color w:val="auto"/>
        </w:rPr>
        <w:t>Indicate by check mark whether the registrant has submitted electronically every Interactive Data File required to be</w:t>
      </w:r>
    </w:p>
    <w:p>
      <w:pPr>
        <w:spacing w:after="0" w:line="8" w:lineRule="exact"/>
        <w:rPr>
          <w:sz w:val="24"/>
          <w:szCs w:val="24"/>
          <w:color w:val="auto"/>
        </w:rPr>
      </w:pPr>
    </w:p>
    <w:p>
      <w:pPr>
        <w:ind w:right="220"/>
        <w:spacing w:after="0" w:line="268" w:lineRule="exact"/>
        <w:rPr>
          <w:sz w:val="20"/>
          <w:szCs w:val="20"/>
          <w:color w:val="auto"/>
        </w:rPr>
      </w:pPr>
      <w:r>
        <w:rPr>
          <w:rFonts w:ascii="Arial" w:cs="Arial" w:eastAsia="Arial" w:hAnsi="Arial"/>
          <w:sz w:val="22"/>
          <w:szCs w:val="22"/>
          <w:color w:val="auto"/>
        </w:rPr>
        <w:t xml:space="preserve">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400" w:firstLine="587"/>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60" w:type="dxa"/>
            <w:vAlign w:val="bottom"/>
          </w:tcPr>
          <w:p>
            <w:pPr>
              <w:ind w:left="31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2" w:lineRule="exact"/>
        <w:rPr>
          <w:sz w:val="24"/>
          <w:szCs w:val="24"/>
          <w:color w:val="auto"/>
        </w:rPr>
      </w:pPr>
    </w:p>
    <w:p>
      <w:pPr>
        <w:ind w:right="40" w:firstLine="583"/>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ind w:left="600"/>
        <w:spacing w:after="0" w:line="242" w:lineRule="exact"/>
        <w:tabs>
          <w:tab w:leader="none" w:pos="10600" w:val="left"/>
        </w:tabs>
        <w:rPr>
          <w:sz w:val="20"/>
          <w:szCs w:val="20"/>
          <w:color w:val="auto"/>
        </w:rPr>
      </w:pPr>
      <w:r>
        <w:rPr>
          <w:rFonts w:ascii="Arial" w:cs="Arial" w:eastAsia="Arial" w:hAnsi="Arial"/>
          <w:sz w:val="21"/>
          <w:szCs w:val="21"/>
          <w:color w:val="auto"/>
        </w:rPr>
        <w:t>Indicate by check mark whether the registrant is a shell company (as defined in Rule 12b-2 of the Exchange Act).</w:t>
      </w:r>
      <w:r>
        <w:rPr>
          <w:sz w:val="20"/>
          <w:szCs w:val="20"/>
          <w:color w:val="auto"/>
        </w:rPr>
        <w:tab/>
      </w:r>
      <w:r>
        <w:rPr>
          <w:rFonts w:ascii="Arial" w:cs="Arial" w:eastAsia="Arial" w:hAnsi="Arial"/>
          <w:sz w:val="19"/>
          <w:szCs w:val="19"/>
          <w:color w:val="auto"/>
        </w:rPr>
        <w:t xml:space="preserve">Yes </w:t>
      </w:r>
      <w:r>
        <w:rPr>
          <w:rFonts w:ascii="MS PGothic" w:cs="MS PGothic" w:eastAsia="MS PGothic" w:hAnsi="MS PGothic"/>
          <w:sz w:val="19"/>
          <w:szCs w:val="19"/>
          <w:color w:val="auto"/>
        </w:rPr>
        <w:t>☐</w:t>
      </w:r>
    </w:p>
    <w:p>
      <w:pPr>
        <w:spacing w:after="0" w:line="6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ectPr>
          <w:pgSz w:w="11900" w:h="16838" w:orient="portrait"/>
          <w:cols w:equalWidth="0" w:num="1">
            <w:col w:w="11420"/>
          </w:cols>
          <w:pgMar w:left="240" w:top="535" w:right="239" w:bottom="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As of August 14, 2019, the registrant had 17,983,146 shares of common stock, par value $1.00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252730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346710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492760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860" w:top="118"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PART I.</w:t>
            </w:r>
          </w:p>
        </w:tc>
        <w:tc>
          <w:tcPr>
            <w:tcW w:w="9940" w:type="dxa"/>
            <w:vAlign w:val="bottom"/>
            <w:tcBorders>
              <w:top w:val="single" w:sz="8" w:color="CCEEFF"/>
            </w:tcBorders>
            <w:gridSpan w:val="17"/>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FINANCIAL INFORMATION</w:t>
              </w:r>
            </w:hyperlink>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 (Unaudited)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w:t>
              </w:r>
            </w:hyperlink>
          </w:p>
        </w:tc>
        <w:tc>
          <w:tcPr>
            <w:tcW w:w="784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Stockholders’ Equity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554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678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5580" w:type="dxa"/>
            <w:vAlign w:val="bottom"/>
            <w:tcBorders>
              <w:top w:val="single" w:sz="8" w:color="CCEEFF"/>
            </w:tcBorders>
            <w:gridSpan w:val="3"/>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OTHER INFORMATION</w:t>
              </w:r>
            </w:hyperlink>
          </w:p>
        </w:tc>
        <w:tc>
          <w:tcPr>
            <w:tcW w:w="804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Risk Factors</w:t>
              </w:r>
            </w:hyperlink>
          </w:p>
        </w:tc>
        <w:tc>
          <w:tcPr>
            <w:tcW w:w="9020" w:type="dxa"/>
            <w:vAlign w:val="bottom"/>
            <w:tcBorders>
              <w:bottom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Defaults Upon Senior Securities</w:t>
              </w:r>
            </w:hyperlink>
          </w:p>
        </w:tc>
        <w:tc>
          <w:tcPr>
            <w:tcW w:w="760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620" w:type="dxa"/>
            <w:vAlign w:val="bottom"/>
            <w:tcBorders>
              <w:top w:val="single" w:sz="8" w:color="CCEEFF"/>
            </w:tcBorders>
            <w:gridSpan w:val="1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6"/>
          </w:tcPr>
          <w:p>
            <w:pPr>
              <w:ind w:left="4760"/>
              <w:spacing w:after="0"/>
              <w:rPr>
                <w:sz w:val="20"/>
                <w:szCs w:val="20"/>
                <w:color w:val="auto"/>
              </w:rPr>
            </w:pPr>
            <w:r>
              <w:rPr>
                <w:rFonts w:ascii="Arial" w:cs="Arial" w:eastAsia="Arial" w:hAnsi="Arial"/>
                <w:sz w:val="14"/>
                <w:szCs w:val="14"/>
                <w:color w:val="auto"/>
              </w:rPr>
              <w:t>2</w:t>
            </w:r>
          </w:p>
        </w:tc>
        <w:tc>
          <w:tcPr>
            <w:tcW w:w="34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8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 Financial Statements (Unaudited)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20" w:type="dxa"/>
            <w:vAlign w:val="bottom"/>
            <w:gridSpan w:val="2"/>
          </w:tcPr>
          <w:p>
            <w:pPr>
              <w:jc w:val="center"/>
              <w:ind w:left="1652"/>
              <w:spacing w:after="0"/>
              <w:rPr>
                <w:sz w:val="20"/>
                <w:szCs w:val="20"/>
                <w:color w:val="auto"/>
              </w:rPr>
            </w:pPr>
            <w:r>
              <w:rPr>
                <w:rFonts w:ascii="Arial" w:cs="Arial" w:eastAsia="Arial" w:hAnsi="Arial"/>
                <w:sz w:val="22"/>
                <w:szCs w:val="22"/>
                <w:b w:val="1"/>
                <w:bCs w:val="1"/>
                <w:color w:val="auto"/>
                <w:w w:val="98"/>
              </w:rPr>
              <w:t>SOUTH PLAINS FINANCIAL,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40" w:type="dxa"/>
            <w:vAlign w:val="bottom"/>
          </w:tcPr>
          <w:p>
            <w:pPr>
              <w:jc w:val="center"/>
              <w:ind w:right="812"/>
              <w:spacing w:after="0" w:line="243" w:lineRule="exact"/>
              <w:rPr>
                <w:sz w:val="20"/>
                <w:szCs w:val="20"/>
                <w:color w:val="auto"/>
              </w:rPr>
            </w:pPr>
            <w:r>
              <w:rPr>
                <w:rFonts w:ascii="Arial" w:cs="Arial" w:eastAsia="Arial" w:hAnsi="Arial"/>
                <w:sz w:val="22"/>
                <w:szCs w:val="22"/>
                <w:b w:val="1"/>
                <w:bCs w:val="1"/>
                <w:color w:val="auto"/>
                <w:w w:val="97"/>
              </w:rPr>
              <w:t>CONSOLIDATED BALANCE SHEETS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40" w:type="dxa"/>
            <w:vAlign w:val="bottom"/>
          </w:tcPr>
          <w:p>
            <w:pPr>
              <w:jc w:val="center"/>
              <w:ind w:right="792"/>
              <w:spacing w:after="0" w:line="243" w:lineRule="exact"/>
              <w:rPr>
                <w:sz w:val="20"/>
                <w:szCs w:val="20"/>
                <w:color w:val="auto"/>
              </w:rPr>
            </w:pPr>
            <w:r>
              <w:rPr>
                <w:rFonts w:ascii="Arial" w:cs="Arial" w:eastAsia="Arial" w:hAnsi="Arial"/>
                <w:sz w:val="22"/>
                <w:szCs w:val="22"/>
                <w:b w:val="1"/>
                <w:bCs w:val="1"/>
                <w:color w:val="auto"/>
                <w:w w:val="91"/>
              </w:rPr>
              <w:t>(Unaudited)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20" w:type="dxa"/>
            <w:vAlign w:val="bottom"/>
            <w:gridSpan w:val="2"/>
          </w:tcPr>
          <w:p>
            <w:pPr>
              <w:jc w:val="center"/>
              <w:ind w:left="1672"/>
              <w:spacing w:after="0"/>
              <w:rPr>
                <w:sz w:val="20"/>
                <w:szCs w:val="20"/>
                <w:color w:val="auto"/>
              </w:rPr>
            </w:pPr>
            <w:r>
              <w:rPr>
                <w:rFonts w:ascii="Arial" w:cs="Arial" w:eastAsia="Arial" w:hAnsi="Arial"/>
                <w:sz w:val="22"/>
                <w:szCs w:val="22"/>
                <w:b w:val="1"/>
                <w:bCs w:val="1"/>
                <w:color w:val="auto"/>
                <w:w w:val="87"/>
              </w:rPr>
              <w:t>(Dollars in thousands, except per share data)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6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408,116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(24,171)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27,601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2,777,170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Deposits:</w:t>
            </w: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160"/>
              <w:spacing w:after="0"/>
              <w:rPr>
                <w:sz w:val="20"/>
                <w:szCs w:val="20"/>
                <w:color w:val="auto"/>
              </w:rPr>
            </w:pPr>
            <w:r>
              <w:rPr>
                <w:rFonts w:ascii="Arial" w:cs="Arial" w:eastAsia="Arial" w:hAnsi="Arial"/>
                <w:sz w:val="18"/>
                <w:szCs w:val="18"/>
                <w:color w:val="auto"/>
              </w:rPr>
              <w:t>Noninterest-bearing</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513,383</w:t>
            </w:r>
          </w:p>
        </w:tc>
        <w:tc>
          <w:tcPr>
            <w:tcW w:w="1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1,768,475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320"/>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2,281,858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Subordinated debt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26,472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top w:val="single" w:sz="8" w:color="CCEEFF"/>
            </w:tcBorders>
            <w:gridSpan w:val="5"/>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2,486,057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2,499,970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ESOP owned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$1.00 par value per share, 30,000,000 shares authorized; 17,978,520 and 14,771,520 issued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outstanding at June 30, 2019 and December 31, 2018,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5"/>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5"/>
          </w:tcPr>
          <w:p>
            <w:pPr>
              <w:ind w:left="160"/>
              <w:spacing w:after="0"/>
              <w:rPr>
                <w:sz w:val="20"/>
                <w:szCs w:val="20"/>
                <w:color w:val="auto"/>
              </w:rPr>
            </w:pPr>
            <w:r>
              <w:rPr>
                <w:rFonts w:ascii="Arial" w:cs="Arial" w:eastAsia="Arial" w:hAnsi="Arial"/>
                <w:sz w:val="18"/>
                <w:szCs w:val="18"/>
                <w:color w:val="auto"/>
              </w:rPr>
              <w:t>Less ESOP owned shares</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5"/>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291,113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154,580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2,777,170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June 30,</w:t>
            </w:r>
          </w:p>
        </w:tc>
        <w:tc>
          <w:tcPr>
            <w:tcW w:w="18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including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49,736</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Non taxable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and interest-bearing deposits in banks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55,691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3,796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23,439</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Noninterest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Income from insurance activities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loans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Bank card services and interchange fees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commissions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Noninterest expense: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35,419</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Occupancy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3,391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Marketing and development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and data services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Bank card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Appraisal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3,487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6,693</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11,976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(6,538)</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18,514</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June 30,</w:t>
            </w:r>
          </w:p>
        </w:tc>
        <w:tc>
          <w:tcPr>
            <w:tcW w:w="18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6,080</w:t>
            </w: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10,853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Change in net unrealized loss on securities available for sale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5,333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Earnings per share: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Less: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6"/>
            <w:vMerge w:val="restart"/>
          </w:tcPr>
          <w:p>
            <w:pPr>
              <w:ind w:left="2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6"/>
              </w:rPr>
              <w:t>Additional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ESOP</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0"/>
              <w:spacing w:after="0" w:line="203" w:lineRule="exact"/>
              <w:rPr>
                <w:sz w:val="20"/>
                <w:szCs w:val="20"/>
                <w:color w:val="auto"/>
              </w:rPr>
            </w:pPr>
            <w:r>
              <w:rPr>
                <w:rFonts w:ascii="Arial" w:cs="Arial" w:eastAsia="Arial" w:hAnsi="Arial"/>
                <w:sz w:val="18"/>
                <w:szCs w:val="18"/>
                <w:color w:val="auto"/>
                <w:w w:val="92"/>
              </w:rPr>
              <w:t>Paid-in</w:t>
            </w:r>
          </w:p>
        </w:tc>
        <w:tc>
          <w:tcPr>
            <w:tcW w:w="200" w:type="dxa"/>
            <w:vAlign w:val="bottom"/>
          </w:tcPr>
          <w:p>
            <w:pPr>
              <w:spacing w:after="0"/>
              <w:rPr>
                <w:sz w:val="18"/>
                <w:szCs w:val="18"/>
                <w:color w:val="auto"/>
              </w:rPr>
            </w:pPr>
          </w:p>
        </w:tc>
        <w:tc>
          <w:tcPr>
            <w:tcW w:w="980" w:type="dxa"/>
            <w:vAlign w:val="bottom"/>
            <w:gridSpan w:val="5"/>
          </w:tcPr>
          <w:p>
            <w:pPr>
              <w:jc w:val="right"/>
              <w:ind w:right="280"/>
              <w:spacing w:after="0" w:line="203" w:lineRule="exact"/>
              <w:rPr>
                <w:sz w:val="20"/>
                <w:szCs w:val="20"/>
                <w:color w:val="auto"/>
              </w:rPr>
            </w:pPr>
            <w:r>
              <w:rPr>
                <w:rFonts w:ascii="Arial" w:cs="Arial" w:eastAsia="Arial" w:hAnsi="Arial"/>
                <w:sz w:val="18"/>
                <w:szCs w:val="18"/>
                <w:color w:val="auto"/>
                <w:w w:val="94"/>
              </w:rPr>
              <w:t>Retained</w:t>
            </w:r>
          </w:p>
        </w:tc>
        <w:tc>
          <w:tcPr>
            <w:tcW w:w="1360" w:type="dxa"/>
            <w:vAlign w:val="bottom"/>
            <w:gridSpan w:val="6"/>
          </w:tcPr>
          <w:p>
            <w:pPr>
              <w:spacing w:after="0" w:line="203" w:lineRule="exact"/>
              <w:rPr>
                <w:sz w:val="20"/>
                <w:szCs w:val="20"/>
                <w:color w:val="auto"/>
              </w:rPr>
            </w:pPr>
            <w:r>
              <w:rPr>
                <w:rFonts w:ascii="Arial" w:cs="Arial" w:eastAsia="Arial" w:hAnsi="Arial"/>
                <w:sz w:val="18"/>
                <w:szCs w:val="18"/>
                <w:color w:val="auto"/>
              </w:rPr>
              <w:t>Comprehensive</w:t>
            </w:r>
          </w:p>
        </w:tc>
        <w:tc>
          <w:tcPr>
            <w:tcW w:w="98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w w:val="95"/>
              </w:rPr>
              <w:t>Treasury</w:t>
            </w:r>
          </w:p>
        </w:tc>
        <w:tc>
          <w:tcPr>
            <w:tcW w:w="120" w:type="dxa"/>
            <w:vAlign w:val="bottom"/>
          </w:tcPr>
          <w:p>
            <w:pPr>
              <w:spacing w:after="0"/>
              <w:rPr>
                <w:sz w:val="18"/>
                <w:szCs w:val="18"/>
                <w:color w:val="auto"/>
              </w:rPr>
            </w:pPr>
          </w:p>
        </w:tc>
        <w:tc>
          <w:tcPr>
            <w:tcW w:w="8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91"/>
              </w:rPr>
              <w:t>Owned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1"/>
              </w:rPr>
              <w:t>Shares</w:t>
            </w: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19"/>
                <w:szCs w:val="19"/>
                <w:color w:val="auto"/>
              </w:rPr>
            </w:pP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9"/>
                <w:szCs w:val="19"/>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15,153,510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15,154</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85,888</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120,589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18,514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Common - $1.19 per share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(17,544)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comprehensive (loss), (net of tax)</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15,153,510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15,154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85,888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121,559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155,975</w:t>
            </w:r>
          </w:p>
        </w:tc>
        <w:tc>
          <w:tcPr>
            <w:tcW w:w="0" w:type="dxa"/>
            <w:vAlign w:val="bottom"/>
          </w:tcPr>
          <w:p>
            <w:pPr>
              <w:spacing w:after="0"/>
              <w:rPr>
                <w:sz w:val="1"/>
                <w:szCs w:val="1"/>
                <w:color w:val="auto"/>
              </w:rPr>
            </w:pPr>
          </w:p>
        </w:tc>
      </w:tr>
      <w:tr>
        <w:trPr>
          <w:trHeight w:val="21"/>
        </w:trPr>
        <w:tc>
          <w:tcPr>
            <w:tcW w:w="3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14,771,520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14,772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80,412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119,834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3,207</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48,185</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10,853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comprehensive income, (net of tax)</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Terminated ESOP put option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58,195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9"/>
              </w:rPr>
              <w:t>Share-based liability awards modified to</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equity awards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11,450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change in accounting</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principle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17,978,520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17,979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140,189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129,408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291,113</w:t>
            </w:r>
          </w:p>
        </w:tc>
        <w:tc>
          <w:tcPr>
            <w:tcW w:w="0" w:type="dxa"/>
            <w:vAlign w:val="bottom"/>
          </w:tcPr>
          <w:p>
            <w:pPr>
              <w:spacing w:after="0"/>
              <w:rPr>
                <w:sz w:val="1"/>
                <w:szCs w:val="1"/>
                <w:color w:val="auto"/>
              </w:rPr>
            </w:pPr>
          </w:p>
        </w:tc>
      </w:tr>
      <w:tr>
        <w:trPr>
          <w:trHeight w:val="21"/>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15,153,510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85,888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123,875</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(3,606)</w:t>
            </w:r>
          </w:p>
        </w:tc>
        <w:tc>
          <w:tcPr>
            <w:tcW w:w="1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13,013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Common - $1.04 per share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(15,329)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comprehensive (loss), (net of tax)</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15,153,510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15,154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85,888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121,559</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(57,121)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155,975</w:t>
            </w:r>
          </w:p>
        </w:tc>
        <w:tc>
          <w:tcPr>
            <w:tcW w:w="0" w:type="dxa"/>
            <w:vAlign w:val="bottom"/>
          </w:tcPr>
          <w:p>
            <w:pPr>
              <w:spacing w:after="0"/>
              <w:rPr>
                <w:sz w:val="1"/>
                <w:szCs w:val="1"/>
                <w:color w:val="auto"/>
              </w:rPr>
            </w:pPr>
          </w:p>
        </w:tc>
      </w:tr>
      <w:tr>
        <w:trPr>
          <w:trHeight w:val="21"/>
        </w:trPr>
        <w:tc>
          <w:tcPr>
            <w:tcW w:w="3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780" w:type="dxa"/>
            <w:vAlign w:val="bottom"/>
            <w:gridSpan w:val="4"/>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at April 1, 2019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14,771,520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14,772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80,412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123,328</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comprehensive income, (net of tax)</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Terminated ESOP put option</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58,195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9"/>
              </w:rPr>
              <w:t>Share-based liability awards modified to</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equity awards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11,450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17,978,520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140,189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129,408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291,113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w w:val="92"/>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Other gains,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Proceeds from sales of loans held for sale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274,021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(263,676)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Earnings on bank-owned life insurance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Net change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jc w:val="center"/>
              <w:ind w:right="4990"/>
              <w:spacing w:after="0"/>
              <w:rPr>
                <w:sz w:val="20"/>
                <w:szCs w:val="20"/>
                <w:color w:val="auto"/>
              </w:rPr>
            </w:pPr>
            <w:r>
              <w:rPr>
                <w:rFonts w:ascii="Arial" w:cs="Arial" w:eastAsia="Arial" w:hAnsi="Arial"/>
                <w:sz w:val="18"/>
                <w:szCs w:val="18"/>
                <w:color w:val="auto"/>
                <w:w w:val="90"/>
              </w:rPr>
              <w:t>Accrued expenses and other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jc w:val="center"/>
              <w:ind w:right="4970"/>
              <w:spacing w:after="0"/>
              <w:rPr>
                <w:sz w:val="20"/>
                <w:szCs w:val="20"/>
                <w:color w:val="auto"/>
              </w:rPr>
            </w:pPr>
            <w:r>
              <w:rPr>
                <w:rFonts w:ascii="Arial" w:cs="Arial" w:eastAsia="Arial" w:hAnsi="Arial"/>
                <w:sz w:val="18"/>
                <w:szCs w:val="18"/>
                <w:color w:val="auto"/>
                <w:w w:val="91"/>
              </w:rPr>
              <w:t>Net cash from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Activity in securities available for sale: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Maturities, prepayments, and calls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 in securities held to maturity: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Maturities, prepayments, and calls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Purchases of premises and equipment,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(2,406)</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Proceeds from sales of foreclosed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jc w:val="center"/>
              <w:ind w:right="4990"/>
              <w:spacing w:after="0"/>
              <w:rPr>
                <w:sz w:val="20"/>
                <w:szCs w:val="20"/>
                <w:color w:val="auto"/>
              </w:rPr>
            </w:pPr>
            <w:r>
              <w:rPr>
                <w:rFonts w:ascii="Arial" w:cs="Arial" w:eastAsia="Arial" w:hAnsi="Arial"/>
                <w:sz w:val="18"/>
                <w:szCs w:val="18"/>
                <w:color w:val="auto"/>
                <w:w w:val="92"/>
              </w:rPr>
              <w:t>Net cash from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Proceeds from common stock issuance,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made on notes payable and other borrowings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jc w:val="center"/>
              <w:ind w:right="4970"/>
              <w:spacing w:after="0"/>
              <w:rPr>
                <w:sz w:val="20"/>
                <w:szCs w:val="20"/>
                <w:color w:val="auto"/>
              </w:rPr>
            </w:pPr>
            <w:r>
              <w:rPr>
                <w:rFonts w:ascii="Arial" w:cs="Arial" w:eastAsia="Arial" w:hAnsi="Arial"/>
                <w:sz w:val="18"/>
                <w:szCs w:val="18"/>
                <w:color w:val="auto"/>
                <w:w w:val="92"/>
              </w:rPr>
              <w:t>Net cash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w w:val="92"/>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245,989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294,563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Interest paid on deposits and borrowed funds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14,866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transferred to foreclosed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Share-based liability awards modified to equity awards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9"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i w:val="1"/>
          <w:iCs w:val="1"/>
          <w:u w:val="single" w:color="auto"/>
          <w:color w:val="auto"/>
        </w:rPr>
        <w:t>Nature of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 South Plains Financial, Inc. (“SPFI”) is a Texas bank holding company that conducts its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3340" w:type="dxa"/>
            <w:vAlign w:val="bottom"/>
          </w:tcPr>
          <w:p>
            <w:pPr>
              <w:spacing w:after="0"/>
              <w:rPr>
                <w:sz w:val="20"/>
                <w:szCs w:val="20"/>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City Bank</w:t>
            </w:r>
          </w:p>
        </w:tc>
        <w:tc>
          <w:tcPr>
            <w:tcW w:w="33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Bank subsidiary</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Windmark Insurance Agency, Inc.</w:t>
            </w:r>
          </w:p>
        </w:tc>
        <w:tc>
          <w:tcPr>
            <w:tcW w:w="3340" w:type="dxa"/>
            <w:vAlign w:val="bottom"/>
          </w:tcPr>
          <w:p>
            <w:pPr>
              <w:ind w:left="1200"/>
              <w:spacing w:after="0"/>
              <w:rPr>
                <w:sz w:val="20"/>
                <w:szCs w:val="20"/>
                <w:color w:val="auto"/>
              </w:rPr>
            </w:pPr>
            <w:r>
              <w:rPr>
                <w:rFonts w:ascii="Arial" w:cs="Arial" w:eastAsia="Arial" w:hAnsi="Arial"/>
                <w:sz w:val="18"/>
                <w:szCs w:val="18"/>
                <w:color w:val="auto"/>
              </w:rPr>
              <w:t>Non-bank subsidiary</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Ruidoso Retail, Inc.</w:t>
            </w:r>
          </w:p>
        </w:tc>
        <w:tc>
          <w:tcPr>
            <w:tcW w:w="33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Non-bank subsidiary</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CB Provence, LLC</w:t>
            </w:r>
          </w:p>
        </w:tc>
        <w:tc>
          <w:tcPr>
            <w:tcW w:w="3340" w:type="dxa"/>
            <w:vAlign w:val="bottom"/>
          </w:tcPr>
          <w:p>
            <w:pPr>
              <w:ind w:left="1200"/>
              <w:spacing w:after="0"/>
              <w:rPr>
                <w:sz w:val="20"/>
                <w:szCs w:val="20"/>
                <w:color w:val="auto"/>
              </w:rPr>
            </w:pPr>
            <w:r>
              <w:rPr>
                <w:rFonts w:ascii="Arial" w:cs="Arial" w:eastAsia="Arial" w:hAnsi="Arial"/>
                <w:sz w:val="18"/>
                <w:szCs w:val="18"/>
                <w:color w:val="auto"/>
              </w:rPr>
              <w:t>Non-bank subsidiary</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CBT Brushy Creek, LLC</w:t>
            </w:r>
          </w:p>
        </w:tc>
        <w:tc>
          <w:tcPr>
            <w:tcW w:w="33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Non-bank subsidiary</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CBT Properties, LLC</w:t>
            </w:r>
          </w:p>
        </w:tc>
        <w:tc>
          <w:tcPr>
            <w:tcW w:w="3340" w:type="dxa"/>
            <w:vAlign w:val="bottom"/>
          </w:tcPr>
          <w:p>
            <w:pPr>
              <w:ind w:left="1200"/>
              <w:spacing w:after="0"/>
              <w:rPr>
                <w:sz w:val="20"/>
                <w:szCs w:val="20"/>
                <w:color w:val="auto"/>
              </w:rPr>
            </w:pPr>
            <w:r>
              <w:rPr>
                <w:rFonts w:ascii="Arial" w:cs="Arial" w:eastAsia="Arial" w:hAnsi="Arial"/>
                <w:sz w:val="18"/>
                <w:szCs w:val="18"/>
                <w:color w:val="auto"/>
              </w:rPr>
              <w:t>Non-bank subsidiary</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3340" w:type="dxa"/>
            <w:vAlign w:val="bottom"/>
            <w:shd w:val="clear" w:color="auto" w:fill="CCEEFF"/>
          </w:tcPr>
          <w:p>
            <w:pPr>
              <w:spacing w:after="0"/>
              <w:rPr>
                <w:sz w:val="18"/>
                <w:szCs w:val="18"/>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South Plains Financial Capital Trusts (SPFCT) III-V</w:t>
            </w:r>
          </w:p>
        </w:tc>
        <w:tc>
          <w:tcPr>
            <w:tcW w:w="3340" w:type="dxa"/>
            <w:vAlign w:val="bottom"/>
          </w:tcPr>
          <w:p>
            <w:pPr>
              <w:ind w:left="120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ind w:left="500"/>
        <w:spacing w:after="0" w:line="297" w:lineRule="auto"/>
        <w:rPr>
          <w:sz w:val="20"/>
          <w:szCs w:val="20"/>
          <w:color w:val="auto"/>
        </w:rPr>
      </w:pPr>
      <w:r>
        <w:rPr>
          <w:rFonts w:ascii="Arial" w:cs="Arial" w:eastAsia="Arial" w:hAnsi="Arial"/>
          <w:sz w:val="19"/>
          <w:szCs w:val="19"/>
          <w:i w:val="1"/>
          <w:iCs w:val="1"/>
          <w:u w:val="single" w:color="auto"/>
          <w:color w:val="auto"/>
        </w:rPr>
        <w:t>Basis of Presentation and Consolidation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consolidated financial statements in this Quarterly Report on Form 10-Q</w:t>
      </w:r>
      <w:r>
        <w:rPr>
          <w:rFonts w:ascii="Arial" w:cs="Arial" w:eastAsia="Arial" w:hAnsi="Arial"/>
          <w:sz w:val="19"/>
          <w:szCs w:val="19"/>
          <w:i w:val="1"/>
          <w:iCs w:val="1"/>
          <w:color w:val="auto"/>
        </w:rPr>
        <w:t xml:space="preserve"> </w:t>
      </w:r>
      <w:r>
        <w:rPr>
          <w:rFonts w:ascii="Arial" w:cs="Arial" w:eastAsia="Arial" w:hAnsi="Arial"/>
          <w:sz w:val="19"/>
          <w:szCs w:val="19"/>
          <w:color w:val="auto"/>
        </w:rPr>
        <w:t>(“Report”) include the accounts of SPFI and its wholly owned consolidated subsidiaries (collectively referred to as the “Company”) identified above. All significant intercompany balances and transactions have been eliminated in consolidation.</w:t>
      </w:r>
    </w:p>
    <w:p>
      <w:pPr>
        <w:spacing w:after="0" w:line="161" w:lineRule="exact"/>
        <w:rPr>
          <w:sz w:val="20"/>
          <w:szCs w:val="20"/>
          <w:color w:val="auto"/>
        </w:rPr>
      </w:pPr>
    </w:p>
    <w:p>
      <w:pPr>
        <w:jc w:val="both"/>
        <w:ind w:left="500"/>
        <w:spacing w:after="0" w:line="244" w:lineRule="auto"/>
        <w:rPr>
          <w:sz w:val="20"/>
          <w:szCs w:val="20"/>
          <w:color w:val="auto"/>
        </w:rPr>
      </w:pPr>
      <w:r>
        <w:rPr>
          <w:rFonts w:ascii="Arial" w:cs="Arial" w:eastAsia="Arial" w:hAnsi="Arial"/>
          <w:sz w:val="21"/>
          <w:szCs w:val="21"/>
          <w:color w:val="auto"/>
        </w:rPr>
        <w:t>The interim consolidated financial statements in this Report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consolidated financial statements, and notes thereto, for the year ended December 31, 2018 in our prospectus filed with the SEC pursuant to Rule 424(b) of the Securities Act of 1933, as amended, on May 9, 2019 (“IPO Prospectus”). Operating results for the interim periods disclosed herein are not necessarily indicative of the results that may be expected for a full year or any future period.</w:t>
      </w:r>
    </w:p>
    <w:p>
      <w:pPr>
        <w:spacing w:after="0" w:line="217"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i w:val="1"/>
          <w:iCs w:val="1"/>
          <w:u w:val="single" w:color="auto"/>
          <w:color w:val="auto"/>
        </w:rPr>
        <w:t>Use of Estimates</w:t>
      </w:r>
      <w:r>
        <w:rPr>
          <w:rFonts w:ascii="Arial" w:cs="Arial" w:eastAsia="Arial" w:hAnsi="Arial"/>
          <w:sz w:val="22"/>
          <w:szCs w:val="22"/>
          <w:i w:val="1"/>
          <w:iCs w:val="1"/>
          <w:color w:val="auto"/>
        </w:rPr>
        <w:t xml:space="preserve"> </w:t>
      </w:r>
      <w:r>
        <w:rPr>
          <w:rFonts w:ascii="Arial" w:cs="Arial" w:eastAsia="Arial" w:hAnsi="Arial"/>
          <w:sz w:val="22"/>
          <w:szCs w:val="22"/>
          <w:color w:val="auto"/>
        </w:rPr>
        <w:t>– The preparation of financial statements in conformity with GAAP requires management to make estimates</w:t>
      </w:r>
      <w:r>
        <w:rPr>
          <w:rFonts w:ascii="Arial" w:cs="Arial" w:eastAsia="Arial" w:hAnsi="Arial"/>
          <w:sz w:val="22"/>
          <w:szCs w:val="22"/>
          <w:i w:val="1"/>
          <w:iCs w:val="1"/>
          <w:color w:val="auto"/>
        </w:rPr>
        <w:t xml:space="preserve"> </w:t>
      </w:r>
      <w:r>
        <w:rPr>
          <w:rFonts w:ascii="Arial" w:cs="Arial" w:eastAsia="Arial" w:hAnsi="Arial"/>
          <w:sz w:val="22"/>
          <w:szCs w:val="22"/>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Change in Capital Structure</w:t>
      </w:r>
    </w:p>
    <w:p>
      <w:pPr>
        <w:spacing w:after="0" w:line="8"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color w:val="auto"/>
        </w:rPr>
        <w:t>On March 11, 2019, the Company amended and restated its Certificate of Formation. The original Certificate of Formation was amended to change the capital structure to authorize the issuance of 30,000,000 shares of common stock, par value $1.00 per share.</w:t>
      </w:r>
    </w:p>
    <w:p>
      <w:pPr>
        <w:spacing w:after="0" w:line="214" w:lineRule="exact"/>
        <w:rPr>
          <w:sz w:val="20"/>
          <w:szCs w:val="20"/>
          <w:color w:val="auto"/>
        </w:rPr>
      </w:pPr>
    </w:p>
    <w:p>
      <w:pPr>
        <w:jc w:val="both"/>
        <w:ind w:left="500"/>
        <w:spacing w:after="0" w:line="287" w:lineRule="auto"/>
        <w:rPr>
          <w:sz w:val="20"/>
          <w:szCs w:val="20"/>
          <w:color w:val="auto"/>
        </w:rPr>
      </w:pPr>
      <w:r>
        <w:rPr>
          <w:rFonts w:ascii="Arial" w:cs="Arial" w:eastAsia="Arial" w:hAnsi="Arial"/>
          <w:sz w:val="19"/>
          <w:szCs w:val="19"/>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ectPr>
          <w:pgSz w:w="11900" w:h="16838" w:orient="portrait"/>
          <w:cols w:equalWidth="0" w:num="1">
            <w:col w:w="11420"/>
          </w:cols>
          <w:pgMar w:left="240" w:top="121"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5" w:lineRule="auto"/>
        <w:rPr>
          <w:sz w:val="20"/>
          <w:szCs w:val="20"/>
          <w:color w:val="auto"/>
        </w:rPr>
      </w:pPr>
      <w:r>
        <w:rPr>
          <w:rFonts w:ascii="Arial" w:cs="Arial" w:eastAsia="Arial" w:hAnsi="Arial"/>
          <w:sz w:val="22"/>
          <w:szCs w:val="22"/>
          <w:i w:val="1"/>
          <w:iCs w:val="1"/>
          <w:u w:val="single" w:color="auto"/>
          <w:color w:val="auto"/>
        </w:rPr>
        <w:t>Stock 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consummated the underwritten initial public offering of its common stock in May 2019.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initial public offering, the Company issued and sold 3,207,000 shares of its common stock, including 507,000 shares of common stock pursuant to the underwriters’ full exercise of their option to purchase additional shares at a public offering price of $17.50 per share, for aggregate gross proceeds of $56.1 million before deducting underwriting discounts and offering expenses, and aggregate net proceeds of $51.4 million after deducting underwriting discounts and offering expenses.</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i w:val="1"/>
          <w:iCs w:val="1"/>
          <w:u w:val="single" w:color="auto"/>
          <w:color w:val="auto"/>
        </w:rPr>
        <w:t>Pro Forma Information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 As a result of the revocation of the Company’s S corporation election effective May 31, 2018, the</w:t>
      </w:r>
      <w:r>
        <w:rPr>
          <w:rFonts w:ascii="Arial" w:cs="Arial" w:eastAsia="Arial" w:hAnsi="Arial"/>
          <w:sz w:val="22"/>
          <w:szCs w:val="22"/>
          <w:i w:val="1"/>
          <w:iCs w:val="1"/>
          <w:color w:val="auto"/>
        </w:rPr>
        <w:t xml:space="preserve"> </w:t>
      </w:r>
      <w:r>
        <w:rPr>
          <w:rFonts w:ascii="Arial" w:cs="Arial" w:eastAsia="Arial" w:hAnsi="Arial"/>
          <w:sz w:val="22"/>
          <w:szCs w:val="22"/>
          <w:color w:val="auto"/>
        </w:rPr>
        <w:t>net income and earnings per share data prior to that date are not comparable with subsequent periods, which include federal income tax expense. As a result, the consolidated statements of comprehensive income in this Report include a pro forma section for the periods ended June 30, 2018, as if the conversion to a C corporation had occurred effective January 1, 2018. The federal tax rate used is 21%.</w:t>
      </w:r>
    </w:p>
    <w:p>
      <w:pPr>
        <w:spacing w:after="0" w:line="215" w:lineRule="exact"/>
        <w:rPr>
          <w:sz w:val="20"/>
          <w:szCs w:val="20"/>
          <w:color w:val="auto"/>
        </w:rPr>
      </w:pPr>
    </w:p>
    <w:p>
      <w:pPr>
        <w:jc w:val="both"/>
        <w:ind w:left="500"/>
        <w:spacing w:after="0" w:line="244" w:lineRule="auto"/>
        <w:rPr>
          <w:sz w:val="20"/>
          <w:szCs w:val="20"/>
          <w:color w:val="auto"/>
        </w:rPr>
      </w:pPr>
      <w:r>
        <w:rPr>
          <w:rFonts w:ascii="Arial" w:cs="Arial" w:eastAsia="Arial" w:hAnsi="Arial"/>
          <w:sz w:val="21"/>
          <w:szCs w:val="21"/>
          <w:color w:val="auto"/>
        </w:rPr>
        <w:t>In accordance with applicable provisions of the Internal Revenue Code of 1986, as amended, the terms of the South Plains Financial, Inc. Employee Stock Ownership Plan (“ESOP”), provided that, for so long as we were a privately held company, ESOP participants would have the right, for a specified period of time, to require us to repurchase shares of our common stock that were distributed to them by the ESOP. This repurchase obligation terminated upon the consummation of our initial public offering and listing of our common stock on the NASDAQ Global Select Market in May 2019. However, because we were privately held at December 31, 2018, the shares of common stock held by the ESOP have been reflected in our consolidated balance sheets as a line item called ESOP-owned shares, that appears between total liabilities and stockholders’ equity during that period. As a result, the value of ESOP-owned shares have been deducted from stockholders’ equity in our consolidated balance sheet for that period. For all periods following our initial public offering and continued listing of our common stock on the NASDAQ Global Select Market, the ESOP-owned shares are and will be included in stockholders’ equity.</w:t>
      </w:r>
    </w:p>
    <w:p>
      <w:pPr>
        <w:spacing w:after="0" w:line="217"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i w:val="1"/>
          <w:iCs w:val="1"/>
          <w:u w:val="single" w:color="auto"/>
          <w:color w:val="auto"/>
        </w:rPr>
        <w:t>Change in Accounting Principle</w:t>
      </w:r>
      <w:r>
        <w:rPr>
          <w:rFonts w:ascii="Arial" w:cs="Arial" w:eastAsia="Arial" w:hAnsi="Arial"/>
          <w:sz w:val="19"/>
          <w:szCs w:val="19"/>
          <w:i w:val="1"/>
          <w:iCs w:val="1"/>
          <w:color w:val="auto"/>
        </w:rPr>
        <w:t xml:space="preserve"> </w:t>
      </w:r>
      <w:r>
        <w:rPr>
          <w:rFonts w:ascii="Arial" w:cs="Arial" w:eastAsia="Arial" w:hAnsi="Arial"/>
          <w:sz w:val="19"/>
          <w:szCs w:val="19"/>
          <w:color w:val="auto"/>
        </w:rPr>
        <w:t>– Prior to January 1, 2019, the Company accounted for its cash-settled stock appreciation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rights (“SARs”) using the intrinsic value method, as permitted by ASC 718. As a result of the Company filing its IPO Prospectus with the SEC, the Company is now required to use the fair value method for these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SEC Staff Accounting Bulletin Topic 14.B states that entities changing from nonpublic to public status are not permitted to apply the fair-value-based method retrospectively. Therefore, the Company recorded a cumulative-effect adjustment to retained earnings for $1.3 million ($1.6 million net of $340,000 in tax) effective January 1, 2019 and applied this change prospectively.</w:t>
      </w:r>
    </w:p>
    <w:p>
      <w:pPr>
        <w:spacing w:after="0" w:line="183"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i w:val="1"/>
          <w:iCs w:val="1"/>
          <w:u w:val="single" w:color="auto"/>
          <w:color w:val="auto"/>
        </w:rPr>
        <w:t>Stock-based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sponsors an equity incentive plan under which options to acquire shares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common stock may be granted periodically to all full-time employees and directors of the Company or its affiliates at a specific exercise price to acquire shares of the Company’s common stock. Shares are issued out of authorized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ectPr>
          <w:pgSz w:w="11900" w:h="16838" w:orient="portrait"/>
          <w:cols w:equalWidth="0" w:num="1">
            <w:col w:w="11420"/>
          </w:cols>
          <w:pgMar w:left="240" w:top="122"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U.S. GAAP for nongovernmental entities. Updates to ASC are prescribed in Accounting Standards</w:t>
      </w:r>
      <w:r>
        <w:rPr>
          <w:rFonts w:ascii="Arial" w:cs="Arial" w:eastAsia="Arial" w:hAnsi="Arial"/>
          <w:sz w:val="22"/>
          <w:szCs w:val="22"/>
          <w:i w:val="1"/>
          <w:iCs w:val="1"/>
          <w:color w:val="auto"/>
        </w:rPr>
        <w:t xml:space="preserve"> </w:t>
      </w:r>
      <w:r>
        <w:rPr>
          <w:rFonts w:ascii="Arial" w:cs="Arial" w:eastAsia="Arial" w:hAnsi="Arial"/>
          <w:sz w:val="22"/>
          <w:szCs w:val="22"/>
          <w:color w:val="auto"/>
        </w:rPr>
        <w:t>Updates (“ASU”), which are not authoritative until incorporated into ASC.</w:t>
      </w:r>
    </w:p>
    <w:p>
      <w:pPr>
        <w:spacing w:after="0" w:line="213"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i w:val="1"/>
          <w:iCs w:val="1"/>
          <w:color w:val="auto"/>
        </w:rPr>
        <w:t>ASU 2016-01 Financial Instruments - Overall (Subtopic 825-10): Recognition and Measurement of Financial Assets and Financial Liabilities</w:t>
      </w:r>
      <w:r>
        <w:rPr>
          <w:rFonts w:ascii="Arial" w:cs="Arial" w:eastAsia="Arial" w:hAnsi="Arial"/>
          <w:sz w:val="22"/>
          <w:szCs w:val="22"/>
          <w:color w:val="auto"/>
        </w:rPr>
        <w:t>. ASU 2016-01, among other things, eliminates the requirement to disclose the fair value of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instruments at amortized cost for entities that are not public business entities. We originally adopted the new standard effective January 1, 2018, the effective date of the guidance. Accordingly, the Company’s fair value of financial instruments at amortized cost were not disclosed in our consolidated financial statements for 2018. However, based on the Company becoming a public company, these disclosures are now required and have been included in our consolidated financial statements.</w:t>
      </w:r>
    </w:p>
    <w:p>
      <w:pPr>
        <w:spacing w:after="0" w:line="218" w:lineRule="exact"/>
        <w:rPr>
          <w:sz w:val="20"/>
          <w:szCs w:val="20"/>
          <w:color w:val="auto"/>
        </w:rPr>
      </w:pPr>
    </w:p>
    <w:p>
      <w:pPr>
        <w:jc w:val="both"/>
        <w:ind w:left="500" w:right="80"/>
        <w:spacing w:after="0" w:line="238"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beginning January 1, 2020.</w:t>
      </w:r>
    </w:p>
    <w:p>
      <w:pPr>
        <w:spacing w:after="0" w:line="212" w:lineRule="exact"/>
        <w:rPr>
          <w:sz w:val="20"/>
          <w:szCs w:val="20"/>
          <w:color w:val="auto"/>
        </w:rPr>
      </w:pPr>
    </w:p>
    <w:p>
      <w:pPr>
        <w:jc w:val="both"/>
        <w:ind w:left="500"/>
        <w:spacing w:after="0" w:line="246" w:lineRule="auto"/>
        <w:rPr>
          <w:sz w:val="20"/>
          <w:szCs w:val="20"/>
          <w:color w:val="auto"/>
        </w:rPr>
      </w:pPr>
      <w:r>
        <w:rPr>
          <w:rFonts w:ascii="Arial" w:cs="Arial" w:eastAsia="Arial" w:hAnsi="Arial"/>
          <w:sz w:val="21"/>
          <w:szCs w:val="21"/>
          <w:i w:val="1"/>
          <w:iCs w:val="1"/>
          <w:color w:val="auto"/>
        </w:rPr>
        <w:t xml:space="preserve">ASU 2016-13 Financial Instruments - Credit Losses (Topic 326). </w:t>
      </w:r>
      <w:r>
        <w:rPr>
          <w:rFonts w:ascii="Arial" w:cs="Arial" w:eastAsia="Arial" w:hAnsi="Arial"/>
          <w:sz w:val="21"/>
          <w:szCs w:val="21"/>
          <w:color w:val="auto"/>
        </w:rPr>
        <w:t>The FASB issued guidance to replace the incurred loss</w:t>
      </w:r>
      <w:r>
        <w:rPr>
          <w:rFonts w:ascii="Arial" w:cs="Arial" w:eastAsia="Arial" w:hAnsi="Arial"/>
          <w:sz w:val="21"/>
          <w:szCs w:val="21"/>
          <w:i w:val="1"/>
          <w:iCs w:val="1"/>
          <w:color w:val="auto"/>
        </w:rPr>
        <w:t xml:space="preserve"> </w:t>
      </w:r>
      <w:r>
        <w:rPr>
          <w:rFonts w:ascii="Arial" w:cs="Arial" w:eastAsia="Arial" w:hAnsi="Arial"/>
          <w:sz w:val="21"/>
          <w:szCs w:val="21"/>
          <w:color w:val="auto"/>
        </w:rPr>
        <w:t>model 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1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Fair</w:t>
            </w:r>
          </w:p>
        </w:tc>
        <w:tc>
          <w:tcPr>
            <w:tcW w:w="218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Value</w:t>
            </w:r>
          </w:p>
        </w:tc>
        <w:tc>
          <w:tcPr>
            <w:tcW w:w="218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June 30, 2019</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w:t>
            </w:r>
          </w:p>
        </w:tc>
        <w:tc>
          <w:tcPr>
            <w:tcW w:w="21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31,990</w:t>
            </w:r>
          </w:p>
        </w:tc>
        <w:tc>
          <w:tcPr>
            <w:tcW w:w="21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182,581</w:t>
            </w:r>
          </w:p>
        </w:tc>
        <w:tc>
          <w:tcPr>
            <w:tcW w:w="218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3500" w:type="dxa"/>
            <w:vAlign w:val="bottom"/>
            <w:gridSpan w:val="2"/>
          </w:tcPr>
          <w:p>
            <w:pPr>
              <w:ind w:left="160"/>
              <w:spacing w:after="0"/>
              <w:rPr>
                <w:sz w:val="20"/>
                <w:szCs w:val="20"/>
                <w:color w:val="auto"/>
              </w:rPr>
            </w:pPr>
            <w:r>
              <w:rPr>
                <w:rFonts w:ascii="Arial" w:cs="Arial" w:eastAsia="Arial" w:hAnsi="Arial"/>
                <w:sz w:val="18"/>
                <w:szCs w:val="18"/>
                <w:color w:val="auto"/>
                <w:w w:val="92"/>
              </w:rPr>
              <w:t>Asset-backed and other amortizing securities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37,986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38,589</w:t>
            </w:r>
          </w:p>
        </w:tc>
        <w:tc>
          <w:tcPr>
            <w:tcW w:w="218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263,564</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Pr>
          <w:p>
            <w:pPr>
              <w:spacing w:after="0"/>
              <w:rPr>
                <w:sz w:val="22"/>
                <w:szCs w:val="22"/>
                <w:color w:val="auto"/>
              </w:rPr>
            </w:pPr>
          </w:p>
        </w:tc>
      </w:tr>
      <w:tr>
        <w:trPr>
          <w:trHeight w:val="589"/>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9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Fair</w:t>
            </w:r>
          </w:p>
        </w:tc>
      </w:tr>
      <w:tr>
        <w:trPr>
          <w:trHeight w:val="237"/>
        </w:trPr>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Value</w:t>
            </w:r>
          </w:p>
        </w:tc>
      </w:tr>
      <w:tr>
        <w:trPr>
          <w:trHeight w:val="392"/>
        </w:trPr>
        <w:tc>
          <w:tcPr>
            <w:tcW w:w="350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Available for sale:</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84,707</w:t>
            </w:r>
          </w:p>
        </w:tc>
      </w:tr>
      <w:tr>
        <w:trPr>
          <w:trHeight w:val="216"/>
        </w:trPr>
        <w:tc>
          <w:tcPr>
            <w:tcW w:w="350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32,310</w:t>
            </w:r>
          </w:p>
        </w:tc>
      </w:tr>
      <w:tr>
        <w:trPr>
          <w:trHeight w:val="216"/>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182,256</w:t>
            </w:r>
          </w:p>
        </w:tc>
      </w:tr>
      <w:tr>
        <w:trPr>
          <w:trHeight w:val="223"/>
        </w:trPr>
        <w:tc>
          <w:tcPr>
            <w:tcW w:w="3500" w:type="dxa"/>
            <w:vAlign w:val="bottom"/>
            <w:gridSpan w:val="2"/>
          </w:tcPr>
          <w:p>
            <w:pPr>
              <w:ind w:left="160"/>
              <w:spacing w:after="0"/>
              <w:rPr>
                <w:sz w:val="20"/>
                <w:szCs w:val="20"/>
                <w:color w:val="auto"/>
              </w:rPr>
            </w:pPr>
            <w:r>
              <w:rPr>
                <w:rFonts w:ascii="Arial" w:cs="Arial" w:eastAsia="Arial" w:hAnsi="Arial"/>
                <w:sz w:val="18"/>
                <w:szCs w:val="18"/>
                <w:color w:val="auto"/>
                <w:w w:val="92"/>
              </w:rPr>
              <w:t>Asset-backed and other amortizing securities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38,923</w:t>
            </w:r>
          </w:p>
        </w:tc>
      </w:tr>
      <w:tr>
        <w:trPr>
          <w:trHeight w:val="257"/>
        </w:trPr>
        <w:tc>
          <w:tcPr>
            <w:tcW w:w="14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The amortized cost and fair value of securities at June 30, 2019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440"/>
              <w:spacing w:after="0"/>
              <w:rPr>
                <w:sz w:val="20"/>
                <w:szCs w:val="20"/>
                <w:color w:val="auto"/>
              </w:rPr>
            </w:pPr>
            <w:r>
              <w:rPr>
                <w:rFonts w:ascii="Arial" w:cs="Arial" w:eastAsia="Arial" w:hAnsi="Arial"/>
                <w:sz w:val="18"/>
                <w:szCs w:val="18"/>
                <w:color w:val="auto"/>
              </w:rPr>
              <w:t>Available for Sale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After 10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217,495</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259,087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1"/>
          <w:szCs w:val="21"/>
          <w:color w:val="auto"/>
        </w:rPr>
        <w:t>At June 30, 2019 and December 31, 2018, there were no holdings of securities of any one issuer, other than the U.S.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government and its agencies, in an amount greater than 10% of stockholders’ equity.</w:t>
      </w:r>
    </w:p>
    <w:p>
      <w:pPr>
        <w:spacing w:after="0" w:line="215" w:lineRule="exact"/>
        <w:rPr>
          <w:sz w:val="20"/>
          <w:szCs w:val="20"/>
          <w:color w:val="auto"/>
        </w:rPr>
      </w:pPr>
    </w:p>
    <w:p>
      <w:pPr>
        <w:ind w:left="500"/>
        <w:spacing w:after="0" w:line="328" w:lineRule="auto"/>
        <w:rPr>
          <w:sz w:val="20"/>
          <w:szCs w:val="20"/>
          <w:color w:val="auto"/>
        </w:rPr>
      </w:pPr>
      <w:r>
        <w:rPr>
          <w:rFonts w:ascii="Arial" w:cs="Arial" w:eastAsia="Arial" w:hAnsi="Arial"/>
          <w:sz w:val="19"/>
          <w:szCs w:val="19"/>
          <w:color w:val="auto"/>
        </w:rPr>
        <w:t>Securities with a carrying value of approximately $207.1 million and $200.0 million at June 30, 2019 and December 31, 2018, respectively, were pledged to collateralize public deposits and for other purposes as required or permitted by law.</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right="240"/>
        <w:spacing w:after="0" w:line="251" w:lineRule="auto"/>
        <w:rPr>
          <w:sz w:val="20"/>
          <w:szCs w:val="20"/>
          <w:color w:val="auto"/>
        </w:rPr>
      </w:pPr>
      <w:r>
        <w:rPr>
          <w:rFonts w:ascii="Arial" w:cs="Arial" w:eastAsia="Arial" w:hAnsi="Arial"/>
          <w:sz w:val="22"/>
          <w:szCs w:val="22"/>
          <w:color w:val="auto"/>
        </w:rPr>
        <w:t>The following table segregates securities with unrealized losses at the periods indicated, by the duration they have been in a loss position:</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6"/>
          </w:tcPr>
          <w:p>
            <w:pPr>
              <w:ind w:left="60"/>
              <w:spacing w:after="0"/>
              <w:rPr>
                <w:sz w:val="20"/>
                <w:szCs w:val="20"/>
                <w:color w:val="auto"/>
              </w:rPr>
            </w:pPr>
            <w:r>
              <w:rPr>
                <w:rFonts w:ascii="Arial" w:cs="Arial" w:eastAsia="Arial" w:hAnsi="Arial"/>
                <w:sz w:val="18"/>
                <w:szCs w:val="18"/>
                <w:color w:val="auto"/>
              </w:rPr>
              <w:t>Less than 12 Months</w:t>
            </w:r>
          </w:p>
        </w:tc>
        <w:tc>
          <w:tcPr>
            <w:tcW w:w="180" w:type="dxa"/>
            <w:vAlign w:val="bottom"/>
          </w:tcPr>
          <w:p>
            <w:pPr>
              <w:spacing w:after="0"/>
              <w:rPr>
                <w:sz w:val="20"/>
                <w:szCs w:val="20"/>
                <w:color w:val="auto"/>
              </w:rPr>
            </w:pPr>
          </w:p>
        </w:tc>
        <w:tc>
          <w:tcPr>
            <w:tcW w:w="2020" w:type="dxa"/>
            <w:vAlign w:val="bottom"/>
            <w:gridSpan w:val="6"/>
          </w:tcPr>
          <w:p>
            <w:pPr>
              <w:ind w:left="100"/>
              <w:spacing w:after="0"/>
              <w:rPr>
                <w:sz w:val="20"/>
                <w:szCs w:val="20"/>
                <w:color w:val="auto"/>
              </w:rPr>
            </w:pPr>
            <w:r>
              <w:rPr>
                <w:rFonts w:ascii="Arial" w:cs="Arial" w:eastAsia="Arial" w:hAnsi="Arial"/>
                <w:sz w:val="18"/>
                <w:szCs w:val="18"/>
                <w:color w:val="auto"/>
              </w:rPr>
              <w:t>12 Months or More</w:t>
            </w:r>
          </w:p>
        </w:tc>
        <w:tc>
          <w:tcPr>
            <w:tcW w:w="180" w:type="dxa"/>
            <w:vAlign w:val="bottom"/>
          </w:tcPr>
          <w:p>
            <w:pPr>
              <w:spacing w:after="0"/>
              <w:rPr>
                <w:sz w:val="20"/>
                <w:szCs w:val="20"/>
                <w:color w:val="auto"/>
              </w:rPr>
            </w:pPr>
          </w:p>
        </w:tc>
        <w:tc>
          <w:tcPr>
            <w:tcW w:w="1080" w:type="dxa"/>
            <w:vAlign w:val="bottom"/>
            <w:gridSpan w:val="4"/>
          </w:tcPr>
          <w:p>
            <w:pPr>
              <w:jc w:val="right"/>
              <w:ind w:right="1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Loss</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Loss</w:t>
            </w: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Loss</w:t>
            </w:r>
          </w:p>
        </w:tc>
        <w:tc>
          <w:tcPr>
            <w:tcW w:w="0" w:type="dxa"/>
            <w:vAlign w:val="bottom"/>
          </w:tcPr>
          <w:p>
            <w:pPr>
              <w:spacing w:after="0"/>
              <w:rPr>
                <w:sz w:val="1"/>
                <w:szCs w:val="1"/>
                <w:color w:val="auto"/>
              </w:rPr>
            </w:pPr>
          </w:p>
        </w:tc>
      </w:tr>
      <w:tr>
        <w:trPr>
          <w:trHeight w:val="176"/>
        </w:trPr>
        <w:tc>
          <w:tcPr>
            <w:tcW w:w="3400" w:type="dxa"/>
            <w:vAlign w:val="bottom"/>
            <w:gridSpan w:val="4"/>
          </w:tcPr>
          <w:p>
            <w:pPr>
              <w:spacing w:after="0" w:line="176" w:lineRule="exact"/>
              <w:rPr>
                <w:sz w:val="20"/>
                <w:szCs w:val="20"/>
                <w:color w:val="auto"/>
              </w:rPr>
            </w:pPr>
            <w:r>
              <w:rPr>
                <w:rFonts w:ascii="Arial" w:cs="Arial" w:eastAsia="Arial" w:hAnsi="Arial"/>
                <w:sz w:val="18"/>
                <w:szCs w:val="18"/>
                <w:color w:val="auto"/>
              </w:rPr>
              <w:t>June 30, 2019</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w w:val="93"/>
              </w:rPr>
              <w:t>Asset-backed and other amortizing securities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77,891</w:t>
            </w: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Asset-backed and other amortizing securities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192,515</w:t>
            </w:r>
          </w:p>
        </w:tc>
        <w:tc>
          <w:tcPr>
            <w:tcW w:w="100" w:type="dxa"/>
            <w:vAlign w:val="bottom"/>
          </w:tcPr>
          <w:p>
            <w:pPr>
              <w:spacing w:after="0"/>
              <w:rPr>
                <w:sz w:val="18"/>
                <w:szCs w:val="18"/>
                <w:color w:val="auto"/>
              </w:rPr>
            </w:pP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103,215</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2,956</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295,730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There were 27 securities with an unrealized loss at June 30, 2019.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June 30, 2019, management believes the impairments detailed in the table above are temporary and no impairment loss has been realized in the Company’s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w:t>
            </w:r>
          </w:p>
        </w:tc>
        <w:tc>
          <w:tcPr>
            <w:tcW w:w="5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LOANS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320" w:type="dxa"/>
            <w:vAlign w:val="bottom"/>
          </w:tcPr>
          <w:p>
            <w:pPr>
              <w:spacing w:after="0"/>
              <w:rPr>
                <w:sz w:val="24"/>
                <w:szCs w:val="24"/>
                <w:color w:val="auto"/>
              </w:rPr>
            </w:pPr>
          </w:p>
        </w:tc>
        <w:tc>
          <w:tcPr>
            <w:tcW w:w="5260" w:type="dxa"/>
            <w:vAlign w:val="bottom"/>
            <w:gridSpan w:val="2"/>
          </w:tcPr>
          <w:p>
            <w:pPr>
              <w:ind w:left="180"/>
              <w:spacing w:after="0"/>
              <w:rPr>
                <w:sz w:val="20"/>
                <w:szCs w:val="20"/>
                <w:color w:val="auto"/>
              </w:rPr>
            </w:pPr>
            <w:r>
              <w:rPr>
                <w:rFonts w:ascii="Arial" w:cs="Arial" w:eastAsia="Arial" w:hAnsi="Arial"/>
                <w:sz w:val="22"/>
                <w:szCs w:val="22"/>
                <w:color w:val="auto"/>
              </w:rPr>
              <w:t>Loans are summarized by category as follows: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533,680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294,188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Consumer: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206,777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Construction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1,935,653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1,911,482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35" w:lineRule="auto"/>
        <w:rPr>
          <w:sz w:val="20"/>
          <w:szCs w:val="20"/>
          <w:color w:val="auto"/>
        </w:rPr>
      </w:pPr>
      <w:r>
        <w:rPr>
          <w:rFonts w:ascii="Arial" w:cs="Arial" w:eastAsia="Arial" w:hAnsi="Arial"/>
          <w:sz w:val="22"/>
          <w:szCs w:val="22"/>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215"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i w:val="1"/>
          <w:iCs w:val="1"/>
          <w:u w:val="single" w:color="auto"/>
          <w:color w:val="auto"/>
        </w:rPr>
        <w:t>Commercial Real Estate</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real estate loans are also subject to underwriting standards and processes similar to</w:t>
      </w:r>
      <w:r>
        <w:rPr>
          <w:rFonts w:ascii="Arial" w:cs="Arial" w:eastAsia="Arial" w:hAnsi="Arial"/>
          <w:sz w:val="19"/>
          <w:szCs w:val="19"/>
          <w:i w:val="1"/>
          <w:iCs w:val="1"/>
          <w:color w:val="auto"/>
        </w:rPr>
        <w:t xml:space="preserve"> </w:t>
      </w:r>
      <w:r>
        <w:rPr>
          <w:rFonts w:ascii="Arial" w:cs="Arial" w:eastAsia="Arial" w:hAnsi="Arial"/>
          <w:sz w:val="19"/>
          <w:szCs w:val="19"/>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204" w:lineRule="exact"/>
        <w:rPr>
          <w:sz w:val="20"/>
          <w:szCs w:val="20"/>
          <w:color w:val="auto"/>
        </w:rPr>
      </w:pPr>
    </w:p>
    <w:p>
      <w:pPr>
        <w:jc w:val="both"/>
        <w:ind w:left="500" w:right="20"/>
        <w:spacing w:after="0" w:line="251" w:lineRule="auto"/>
        <w:rPr>
          <w:sz w:val="20"/>
          <w:szCs w:val="20"/>
          <w:color w:val="auto"/>
        </w:rPr>
      </w:pPr>
      <w:r>
        <w:rPr>
          <w:rFonts w:ascii="Arial" w:cs="Arial" w:eastAsia="Arial" w:hAnsi="Arial"/>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Beginning</w:t>
            </w: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Provision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Ending</w:t>
            </w:r>
          </w:p>
        </w:tc>
        <w:tc>
          <w:tcPr>
            <w:tcW w:w="1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loan losses</w:t>
            </w: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Charge-offs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c>
          <w:tcPr>
            <w:tcW w:w="1100" w:type="dxa"/>
            <w:vAlign w:val="bottom"/>
          </w:tcPr>
          <w:p>
            <w:pPr>
              <w:spacing w:after="0"/>
              <w:rPr>
                <w:sz w:val="20"/>
                <w:szCs w:val="20"/>
                <w:color w:val="auto"/>
              </w:rPr>
            </w:pPr>
          </w:p>
        </w:tc>
      </w:tr>
      <w:tr>
        <w:trPr>
          <w:trHeight w:val="202"/>
        </w:trPr>
        <w:tc>
          <w:tcPr>
            <w:tcW w:w="500" w:type="dxa"/>
            <w:vAlign w:val="bottom"/>
          </w:tcPr>
          <w:p>
            <w:pPr>
              <w:spacing w:after="0"/>
              <w:rPr>
                <w:sz w:val="17"/>
                <w:szCs w:val="17"/>
                <w:color w:val="auto"/>
              </w:rPr>
            </w:pPr>
          </w:p>
        </w:tc>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For the three months ended</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500" w:type="dxa"/>
            <w:vAlign w:val="bottom"/>
          </w:tcPr>
          <w:p>
            <w:pPr>
              <w:spacing w:after="0"/>
              <w:rPr>
                <w:sz w:val="20"/>
                <w:szCs w:val="20"/>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10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10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Pr>
          <w:p>
            <w:pPr>
              <w:spacing w:after="0"/>
              <w:rPr>
                <w:sz w:val="22"/>
                <w:szCs w:val="22"/>
                <w:color w:val="auto"/>
              </w:rPr>
            </w:pPr>
          </w:p>
        </w:tc>
      </w:tr>
      <w:tr>
        <w:trPr>
          <w:trHeight w:val="654"/>
        </w:trPr>
        <w:tc>
          <w:tcPr>
            <w:tcW w:w="5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For the 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110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110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Pr>
          <w:p>
            <w:pPr>
              <w:spacing w:after="0"/>
              <w:rPr>
                <w:sz w:val="22"/>
                <w:szCs w:val="22"/>
                <w:color w:val="auto"/>
              </w:rPr>
            </w:pPr>
          </w:p>
        </w:tc>
      </w:tr>
      <w:tr>
        <w:trPr>
          <w:trHeight w:val="58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11"/>
              <w:spacing w:after="0"/>
              <w:rPr>
                <w:sz w:val="20"/>
                <w:szCs w:val="20"/>
                <w:color w:val="auto"/>
              </w:rPr>
            </w:pPr>
            <w:r>
              <w:rPr>
                <w:rFonts w:ascii="Arial" w:cs="Arial" w:eastAsia="Arial" w:hAnsi="Arial"/>
                <w:sz w:val="14"/>
                <w:szCs w:val="14"/>
                <w:color w:val="auto"/>
                <w:w w:val="89"/>
              </w:rPr>
              <w:t>15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Beginning</w:t>
            </w: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Provision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Ending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loan losses</w:t>
            </w: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Charge-offs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For the six months ended</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23,126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24,171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For the six months ended</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00" w:type="dxa"/>
            <w:vAlign w:val="bottom"/>
          </w:tcPr>
          <w:p>
            <w:pPr>
              <w:spacing w:after="0"/>
              <w:rPr>
                <w:sz w:val="24"/>
                <w:szCs w:val="24"/>
                <w:color w:val="auto"/>
              </w:rPr>
            </w:pPr>
          </w:p>
        </w:tc>
        <w:tc>
          <w:tcPr>
            <w:tcW w:w="3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11"/>
              <w:spacing w:after="0"/>
              <w:rPr>
                <w:sz w:val="20"/>
                <w:szCs w:val="20"/>
                <w:color w:val="auto"/>
              </w:rPr>
            </w:pPr>
            <w:r>
              <w:rPr>
                <w:rFonts w:ascii="Arial" w:cs="Arial" w:eastAsia="Arial" w:hAnsi="Arial"/>
                <w:sz w:val="14"/>
                <w:szCs w:val="14"/>
                <w:color w:val="auto"/>
                <w:w w:val="89"/>
              </w:rPr>
              <w:t>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5"/>
          </w:tcPr>
          <w:p>
            <w:pPr>
              <w:ind w:left="340"/>
              <w:spacing w:after="0"/>
              <w:rPr>
                <w:sz w:val="20"/>
                <w:szCs w:val="20"/>
                <w:color w:val="auto"/>
              </w:rPr>
            </w:pPr>
            <w:r>
              <w:rPr>
                <w:rFonts w:ascii="Arial" w:cs="Arial" w:eastAsia="Arial" w:hAnsi="Arial"/>
                <w:sz w:val="18"/>
                <w:szCs w:val="18"/>
                <w:color w:val="auto"/>
              </w:rPr>
              <w:t>Recorded 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color w:val="auto"/>
              </w:rPr>
              <w:t>Allowance for Loan Losses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8"/>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6"/>
              </w:rPr>
              <w:t>Collectively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8"/>
              </w:rPr>
              <w:t>Individually</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6"/>
              </w:rPr>
              <w:t>Collectively</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Evaluated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60" w:type="dxa"/>
            <w:vAlign w:val="bottom"/>
            <w:gridSpan w:val="4"/>
          </w:tcPr>
          <w:p>
            <w:pPr>
              <w:ind w:left="500"/>
              <w:spacing w:after="0"/>
              <w:rPr>
                <w:sz w:val="20"/>
                <w:szCs w:val="20"/>
                <w:color w:val="auto"/>
              </w:rPr>
            </w:pPr>
            <w:r>
              <w:rPr>
                <w:rFonts w:ascii="Arial" w:cs="Arial" w:eastAsia="Arial" w:hAnsi="Arial"/>
                <w:sz w:val="18"/>
                <w:szCs w:val="18"/>
                <w:color w:val="auto"/>
              </w:rPr>
              <w:t>June 30, 2019</w:t>
            </w:r>
          </w:p>
        </w:tc>
        <w:tc>
          <w:tcPr>
            <w:tcW w:w="1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1,928,229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23,735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vMerge w:val="continue"/>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1,947,837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22,885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51"/>
              <w:spacing w:after="0"/>
              <w:rPr>
                <w:sz w:val="20"/>
                <w:szCs w:val="20"/>
                <w:color w:val="auto"/>
              </w:rPr>
            </w:pPr>
            <w:r>
              <w:rPr>
                <w:rFonts w:ascii="Arial" w:cs="Arial" w:eastAsia="Arial" w:hAnsi="Arial"/>
                <w:sz w:val="14"/>
                <w:szCs w:val="14"/>
                <w:color w:val="auto"/>
                <w:w w:val="89"/>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Impaired loan information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Unpaid</w:t>
            </w: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Principal</w:t>
            </w: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With No</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Allowance</w:t>
            </w:r>
          </w:p>
        </w:tc>
        <w:tc>
          <w:tcPr>
            <w:tcW w:w="12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Allowance</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Allowance</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392"/>
        </w:trPr>
        <w:tc>
          <w:tcPr>
            <w:tcW w:w="262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7,424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9,360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58" w:lineRule="auto"/>
        <w:rPr>
          <w:sz w:val="20"/>
          <w:szCs w:val="20"/>
          <w:color w:val="auto"/>
        </w:rPr>
      </w:pPr>
      <w:r>
        <w:rPr>
          <w:rFonts w:ascii="Arial" w:cs="Arial" w:eastAsia="Arial" w:hAnsi="Arial"/>
          <w:sz w:val="21"/>
          <w:szCs w:val="21"/>
          <w:color w:val="auto"/>
        </w:rPr>
        <w:t>All impaired loans $250,000 and greater were specifically evaluated for impairment. Interest income recognized using a cash-basis method on impaired loans for the period ended June 30, 2019 and the year ended December 31, 2018 was not significant. Additional funds committed to be advanced on impaired loans are not significant.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table below provides an age analysis on accruing past-due loans and nonaccrual loans: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30-89 Days 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90 Days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More Past Due</w:t>
            </w: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Nonaccrual</w:t>
            </w:r>
          </w:p>
        </w:tc>
        <w:tc>
          <w:tcPr>
            <w:tcW w:w="0" w:type="dxa"/>
            <w:vAlign w:val="bottom"/>
          </w:tcPr>
          <w:p>
            <w:pPr>
              <w:spacing w:after="0"/>
              <w:rPr>
                <w:sz w:val="1"/>
                <w:szCs w:val="1"/>
                <w:color w:val="auto"/>
              </w:rPr>
            </w:pPr>
          </w:p>
        </w:tc>
      </w:tr>
      <w:tr>
        <w:trPr>
          <w:trHeight w:val="392"/>
        </w:trPr>
        <w:tc>
          <w:tcPr>
            <w:tcW w:w="582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
        </w:trPr>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Company grades its loans on a thirteen-point grading scale. These grades fit in one of the following categories: (i) pass,</w:t>
      </w:r>
    </w:p>
    <w:p>
      <w:pPr>
        <w:spacing w:after="0" w:line="43" w:lineRule="exact"/>
        <w:rPr>
          <w:sz w:val="20"/>
          <w:szCs w:val="20"/>
          <w:color w:val="auto"/>
        </w:rPr>
      </w:pPr>
    </w:p>
    <w:p>
      <w:pPr>
        <w:jc w:val="both"/>
        <w:ind w:left="500" w:hanging="6"/>
        <w:spacing w:after="0" w:line="249" w:lineRule="auto"/>
        <w:tabs>
          <w:tab w:leader="none" w:pos="827" w:val="left"/>
        </w:tabs>
        <w:numPr>
          <w:ilvl w:val="0"/>
          <w:numId w:val="5"/>
        </w:numPr>
        <w:rPr>
          <w:rFonts w:ascii="Arial" w:cs="Arial" w:eastAsia="Arial" w:hAnsi="Arial"/>
          <w:sz w:val="21"/>
          <w:szCs w:val="21"/>
          <w:color w:val="auto"/>
        </w:rPr>
      </w:pPr>
      <w:r>
        <w:rPr>
          <w:rFonts w:ascii="Arial" w:cs="Arial" w:eastAsia="Arial" w:hAnsi="Arial"/>
          <w:sz w:val="21"/>
          <w:szCs w:val="21"/>
          <w:color w:val="auto"/>
        </w:rPr>
        <w:t>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03"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ind w:left="500"/>
        <w:spacing w:after="0" w:line="274" w:lineRule="auto"/>
        <w:rPr>
          <w:sz w:val="20"/>
          <w:szCs w:val="20"/>
          <w:color w:val="auto"/>
        </w:rPr>
      </w:pPr>
      <w:r>
        <w:rPr>
          <w:rFonts w:ascii="Arial" w:cs="Arial" w:eastAsia="Arial" w:hAnsi="Arial"/>
          <w:sz w:val="21"/>
          <w:szCs w:val="21"/>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ectPr>
          <w:pgSz w:w="11900" w:h="16838" w:orient="portrait"/>
          <w:cols w:equalWidth="0" w:num="1">
            <w:col w:w="11420"/>
          </w:cols>
          <w:pgMar w:left="240" w:top="121"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summarizes the internal classifications of loans: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Special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Mention</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Substandard</w:t>
            </w: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Doubtful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92"/>
        </w:trPr>
        <w:tc>
          <w:tcPr>
            <w:tcW w:w="338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282,369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206,396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1,883,182</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30,071</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1,935,653</w:t>
            </w:r>
          </w:p>
        </w:tc>
        <w:tc>
          <w:tcPr>
            <w:tcW w:w="0" w:type="dxa"/>
            <w:vAlign w:val="bottom"/>
          </w:tcPr>
          <w:p>
            <w:pPr>
              <w:spacing w:after="0"/>
              <w:rPr>
                <w:sz w:val="1"/>
                <w:szCs w:val="1"/>
                <w:color w:val="auto"/>
              </w:rPr>
            </w:pPr>
          </w:p>
        </w:tc>
      </w:tr>
      <w:tr>
        <w:trPr>
          <w:trHeight w:val="21"/>
        </w:trPr>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301,289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191,435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1,911,960</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26,488</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1,957,197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There were no loans restructured as troubled debt restructurings during the six-month period ended June 30, 2019 and the year ended December 31,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are fixed for five years and then float at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with a floor of 4% and a ceiling of 7.5%. These securities were unsecured, could be called by the Company at any time after January 2019, and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these securities had been fully redeemed as of June 30, 2019, while the outstanding balance of these securities at December 31, 2018 was $7.5 million.</w:t>
      </w:r>
    </w:p>
    <w:p>
      <w:pPr>
        <w:spacing w:after="0" w:line="184" w:lineRule="exact"/>
        <w:rPr>
          <w:sz w:val="20"/>
          <w:szCs w:val="20"/>
          <w:color w:val="auto"/>
        </w:rPr>
      </w:pPr>
    </w:p>
    <w:p>
      <w:pPr>
        <w:jc w:val="both"/>
        <w:ind w:left="500"/>
        <w:spacing w:after="0" w:line="279" w:lineRule="auto"/>
        <w:rPr>
          <w:sz w:val="20"/>
          <w:szCs w:val="20"/>
          <w:color w:val="auto"/>
        </w:rPr>
      </w:pPr>
      <w:r>
        <w:rPr>
          <w:rFonts w:ascii="Arial" w:cs="Arial" w:eastAsia="Arial" w:hAnsi="Arial"/>
          <w:sz w:val="19"/>
          <w:szCs w:val="19"/>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49"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i w:val="1"/>
          <w:iCs w:val="1"/>
          <w:u w:val="single" w:color="auto"/>
          <w:color w:val="auto"/>
        </w:rPr>
        <w:t>Non-Qualified Plans</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Company executives, as determined by the Company’s Board of Directors from time-to-time,</w:t>
      </w:r>
      <w:r>
        <w:rPr>
          <w:rFonts w:ascii="Arial" w:cs="Arial" w:eastAsia="Arial" w:hAnsi="Arial"/>
          <w:sz w:val="22"/>
          <w:szCs w:val="22"/>
          <w:i w:val="1"/>
          <w:iCs w:val="1"/>
          <w:color w:val="auto"/>
        </w:rPr>
        <w:t xml:space="preserve"> </w:t>
      </w:r>
      <w:r>
        <w:rPr>
          <w:rFonts w:ascii="Arial" w:cs="Arial" w:eastAsia="Arial" w:hAnsi="Arial"/>
          <w:sz w:val="22"/>
          <w:szCs w:val="22"/>
          <w:color w:val="auto"/>
        </w:rPr>
        <w:t>were granted SARs based on grant date values. The SARs have varying vesting provisions. Exercise and payment options for the SARs vary and are governed by the program they were issued under, as well as the specific award agreement. Prior to January 1, 2019, the Company accrued the liabilities for these SARs under the intrinsic value method. The accrual for the liabilities was $10.6 million at December 31, 2018.</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As a result of the Company becoming a reporting company with the SEC, the Company is now required to use the fair value method for these SARs. The Company’s calculation of the fair value of the SARs, as of January 1, 2019, exceeded the recorded intrinsic value by $1.6 million. Therefore, the Company recorded a cumulative-effect adjustment to retained earnings for $1.3 million ($1.6 million net of $340,000 in tax) effective January 1, 2019 and applied this change prospectively.</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The Company recorded expense of $607,000 for the increase in the intrinsic value of the SARs, prior to the change to the fair value method, and the change in fair value of the SARs at January 1, 2019. The Company also recorded $69,000 of expense related to vesting for the SARs, prior to conversion on May 6, 2019. See next footnote for further discussion of the conversion.</w:t>
      </w:r>
    </w:p>
    <w:p>
      <w:pPr>
        <w:spacing w:after="0" w:line="21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this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right="60"/>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activity in the Plan during the six months ended June 30, 2019 is presented in the table below:</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Weighted-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Life in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60" w:type="dxa"/>
            <w:vAlign w:val="bottom"/>
            <w:gridSpan w:val="3"/>
          </w:tcPr>
          <w:p>
            <w:pPr>
              <w:spacing w:after="0"/>
              <w:rPr>
                <w:sz w:val="20"/>
                <w:szCs w:val="20"/>
                <w:color w:val="auto"/>
              </w:rPr>
            </w:pPr>
            <w:r>
              <w:rPr>
                <w:rFonts w:ascii="Arial" w:cs="Arial" w:eastAsia="Arial" w:hAnsi="Arial"/>
                <w:sz w:val="18"/>
                <w:szCs w:val="18"/>
                <w:color w:val="auto"/>
              </w:rPr>
              <w:t>Six Months Ended June 30, 2019</w:t>
            </w: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1,411,342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Balance, June 30,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1,411,342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Vested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1,206,900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assumptions used to calculate the fair values of the awards is presented below: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Ended June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30, 2019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24.88% to 28.64 %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w w:val="97"/>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0.5 - 7.0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w w:val="93"/>
              </w:rPr>
              <w:t>2.39% to 2.63 %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color w:val="auto"/>
        </w:rPr>
        <w:t>On January 16, 2019, the Company approved the conversion of its previously issued SARs to stock options. There were 1,401,000 outstanding SARs that were converted effective as of May 6, 2019, which are included in the tables above. The fair value of the SARs was $11.5 million at the conversion date. During the modification of these awards from liabilities to equity, the Company accelerated the expiration date, between two and four years, on 750,000 of the options. As a result, the fair value of the options after modification was $11.2 million. However, since the fair value of the new equity awards was less than the fair value of the liability awards, no adjustment was made to the income statement. The $11.5 million was reclassified from liabilities to equity.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Restricted Stock Awards and Units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activity in the Plan during the six months ended June 30, 2019 is presented in the table below:</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of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392"/>
        </w:trPr>
        <w:tc>
          <w:tcPr>
            <w:tcW w:w="6220" w:type="dxa"/>
            <w:vAlign w:val="bottom"/>
            <w:gridSpan w:val="3"/>
          </w:tcPr>
          <w:p>
            <w:pPr>
              <w:spacing w:after="0"/>
              <w:rPr>
                <w:sz w:val="20"/>
                <w:szCs w:val="20"/>
                <w:color w:val="auto"/>
              </w:rPr>
            </w:pPr>
            <w:r>
              <w:rPr>
                <w:rFonts w:ascii="Arial" w:cs="Arial" w:eastAsia="Arial" w:hAnsi="Arial"/>
                <w:sz w:val="18"/>
                <w:szCs w:val="18"/>
                <w:color w:val="auto"/>
              </w:rPr>
              <w:t>Six Months Ended June 30, 2019</w:t>
            </w: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Balance, June 30, 2019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52,764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Vested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328" w:lineRule="auto"/>
        <w:rPr>
          <w:sz w:val="20"/>
          <w:szCs w:val="20"/>
          <w:color w:val="auto"/>
        </w:rPr>
      </w:pPr>
      <w:r>
        <w:rPr>
          <w:rFonts w:ascii="Arial" w:cs="Arial" w:eastAsia="Arial" w:hAnsi="Arial"/>
          <w:sz w:val="19"/>
          <w:szCs w:val="19"/>
          <w:color w:val="auto"/>
        </w:rPr>
        <w:t>Restricted stock granted typically vests over five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color w:val="auto"/>
        </w:rPr>
        <w:t>The total unrecognized compensation cost for the awards outstanding under the Plan at June 30, 2019 was $2.0 million and will be recognized over a weighted average remaining period of 2.46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Employment Agreement</w:t>
      </w:r>
    </w:p>
    <w:p>
      <w:pPr>
        <w:spacing w:after="0" w:line="8" w:lineRule="exact"/>
        <w:rPr>
          <w:sz w:val="20"/>
          <w:szCs w:val="20"/>
          <w:color w:val="auto"/>
        </w:rPr>
      </w:pPr>
    </w:p>
    <w:p>
      <w:pPr>
        <w:jc w:val="both"/>
        <w:ind w:left="500"/>
        <w:spacing w:after="0" w:line="270" w:lineRule="auto"/>
        <w:rPr>
          <w:sz w:val="20"/>
          <w:szCs w:val="20"/>
          <w:color w:val="auto"/>
        </w:rPr>
      </w:pPr>
      <w:r>
        <w:rPr>
          <w:rFonts w:ascii="Arial" w:cs="Arial" w:eastAsia="Arial" w:hAnsi="Arial"/>
          <w:sz w:val="19"/>
          <w:szCs w:val="19"/>
          <w:color w:val="auto"/>
        </w:rPr>
        <w:t>Effective March 6, 2019, the Company entered into an employment agreement with its President. The employment agreement has an initial term of three years and will automatically renew for additional three-year terms, unless the Company or the President provides 90-days’ advance notice of non-renewal. In the event that the President’s employment is terminated by the Company without cause or by the President for good reason, each as defined in the employment agreement, the employment agreement provides that he will receive severance equal to two times the sum of his annual base salary and annual target cash incentive bonus and a lump sum payment equal to 24 months’ of the monthly premiums to continue existing healthcare coverage under the Consolidated Omnibus Budget Reconciliation Act (“COBRA”). If such involuntary termination occurs within the 24-month period following a change in control, as defined in the employment agreement, in lieu of the foregoing, the severance due would be three times the sum of annual base salary and annual target cash incentive bonus and a lump sum payment equal to 36 months’ of the monthly premiums to continue existing healthcare coverage under COBRA. Additionally, any equity and phantom equity awards would fully vest upon any termination of employment by the Company without cause or by the President for good reason.</w:t>
      </w:r>
    </w:p>
    <w:p>
      <w:pPr>
        <w:spacing w:after="0" w:line="20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45"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i w:val="1"/>
          <w:iCs w:val="1"/>
          <w:u w:val="single" w:color="auto"/>
          <w:color w:val="auto"/>
        </w:rPr>
        <w:t>Financial instruments with off-balance-sheet risk</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is a party to financial instruments with off-balance-sheet</w:t>
      </w:r>
      <w:r>
        <w:rPr>
          <w:rFonts w:ascii="Arial" w:cs="Arial" w:eastAsia="Arial" w:hAnsi="Arial"/>
          <w:sz w:val="21"/>
          <w:szCs w:val="21"/>
          <w:i w:val="1"/>
          <w:iCs w:val="1"/>
          <w:color w:val="auto"/>
        </w:rPr>
        <w:t xml:space="preserve"> </w:t>
      </w:r>
      <w:r>
        <w:rPr>
          <w:rFonts w:ascii="Arial" w:cs="Arial" w:eastAsia="Arial" w:hAnsi="Arial"/>
          <w:sz w:val="21"/>
          <w:szCs w:val="21"/>
          <w:color w:val="auto"/>
        </w:rPr>
        <w:t>risk in 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Company’s consolidated financial statements.The Company’s exposure to credit loss is represented by the contractual amount of these commitments. The Company follows the same credit policies in making commitments as it does for recorded instruments.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Financial instruments whose contract amounts represent credit risk outstanding follow: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2"/>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8"/>
              </w:rPr>
              <w:t>Commitments to grant loans and unfunded commitments under lines of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5,062</w:t>
            </w:r>
          </w:p>
        </w:tc>
      </w:tr>
    </w:tbl>
    <w:p>
      <w:pPr>
        <w:spacing w:after="0" w:line="207" w:lineRule="exact"/>
        <w:rPr>
          <w:sz w:val="20"/>
          <w:szCs w:val="20"/>
          <w:color w:val="auto"/>
        </w:rPr>
      </w:pPr>
    </w:p>
    <w:p>
      <w:pPr>
        <w:jc w:val="both"/>
        <w:ind w:left="500"/>
        <w:spacing w:after="0" w:line="282" w:lineRule="auto"/>
        <w:rPr>
          <w:sz w:val="20"/>
          <w:szCs w:val="20"/>
          <w:color w:val="auto"/>
        </w:rPr>
      </w:pPr>
      <w:r>
        <w:rPr>
          <w:rFonts w:ascii="Arial" w:cs="Arial" w:eastAsia="Arial" w:hAnsi="Arial"/>
          <w:sz w:val="19"/>
          <w:szCs w:val="19"/>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7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215" w:lineRule="exact"/>
        <w:rPr>
          <w:sz w:val="20"/>
          <w:szCs w:val="20"/>
          <w:color w:val="auto"/>
        </w:rPr>
      </w:pPr>
    </w:p>
    <w:p>
      <w:pPr>
        <w:jc w:val="both"/>
        <w:ind w:left="500" w:right="20"/>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normal course of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believes that the aggregate ultimate liability, if any, arising from these matters will not materially affect the Company’s consolidated financial statements.</w:t>
      </w:r>
    </w:p>
    <w:p>
      <w:pPr>
        <w:spacing w:after="0" w:line="213" w:lineRule="exact"/>
        <w:rPr>
          <w:sz w:val="20"/>
          <w:szCs w:val="20"/>
          <w:color w:val="auto"/>
        </w:rPr>
      </w:pPr>
    </w:p>
    <w:p>
      <w:pPr>
        <w:jc w:val="both"/>
        <w:ind w:left="500"/>
        <w:spacing w:after="0" w:line="274" w:lineRule="auto"/>
        <w:rPr>
          <w:sz w:val="20"/>
          <w:szCs w:val="20"/>
          <w:color w:val="auto"/>
        </w:rPr>
      </w:pPr>
      <w:r>
        <w:rPr>
          <w:rFonts w:ascii="Arial" w:cs="Arial" w:eastAsia="Arial" w:hAnsi="Arial"/>
          <w:sz w:val="21"/>
          <w:szCs w:val="21"/>
          <w:i w:val="1"/>
          <w:iCs w:val="1"/>
          <w:u w:val="single" w:color="auto"/>
          <w:color w:val="auto"/>
        </w:rPr>
        <w:t>Federal Home Loan Bank Letters of Credit</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uses letters of credit to pledge to certain public deposits. The</w:t>
      </w:r>
      <w:r>
        <w:rPr>
          <w:rFonts w:ascii="Arial" w:cs="Arial" w:eastAsia="Arial" w:hAnsi="Arial"/>
          <w:sz w:val="21"/>
          <w:szCs w:val="21"/>
          <w:i w:val="1"/>
          <w:iCs w:val="1"/>
          <w:color w:val="auto"/>
        </w:rPr>
        <w:t xml:space="preserve"> </w:t>
      </w:r>
      <w:r>
        <w:rPr>
          <w:rFonts w:ascii="Arial" w:cs="Arial" w:eastAsia="Arial" w:hAnsi="Arial"/>
          <w:sz w:val="21"/>
          <w:szCs w:val="21"/>
          <w:color w:val="auto"/>
        </w:rPr>
        <w:t>balance of these letters of credit was $199.0 million at June 30, 2019 and December 31, 2018, respectively.</w:t>
      </w:r>
    </w:p>
    <w:p>
      <w:pPr>
        <w:spacing w:after="0" w:line="18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REGULATORY MATTERS</w:t>
      </w:r>
    </w:p>
    <w:p>
      <w:pPr>
        <w:spacing w:after="0" w:line="249"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5" w:lineRule="exact"/>
        <w:rPr>
          <w:sz w:val="20"/>
          <w:szCs w:val="20"/>
          <w:color w:val="auto"/>
        </w:rPr>
      </w:pPr>
    </w:p>
    <w:p>
      <w:pPr>
        <w:jc w:val="both"/>
        <w:ind w:left="500"/>
        <w:spacing w:after="0" w:line="276" w:lineRule="auto"/>
        <w:rPr>
          <w:sz w:val="20"/>
          <w:szCs w:val="20"/>
          <w:color w:val="auto"/>
        </w:rPr>
      </w:pPr>
      <w:r>
        <w:rPr>
          <w:rFonts w:ascii="Arial" w:cs="Arial" w:eastAsia="Arial" w:hAnsi="Arial"/>
          <w:sz w:val="19"/>
          <w:szCs w:val="19"/>
          <w:color w:val="auto"/>
        </w:rPr>
        <w:t>In July 2013, the Federal Reserve Board published final rules for the adoption of the Basel III regulatory capital framework (“Basel III”). Basel III, among other things, (i) introduced a new capital measure called Common Equity Tier 1 (“CET1”),</w:t>
      </w:r>
    </w:p>
    <w:p>
      <w:pPr>
        <w:spacing w:after="0" w:line="2"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specified that Tier 1 capital consists of CET1 and Additional Tier 1 Capital instruments meeting specified requirements,</w:t>
      </w:r>
    </w:p>
    <w:p>
      <w:pPr>
        <w:spacing w:after="0" w:line="24" w:lineRule="exact"/>
        <w:rPr>
          <w:rFonts w:ascii="Arial" w:cs="Arial" w:eastAsia="Arial" w:hAnsi="Arial"/>
          <w:sz w:val="19"/>
          <w:szCs w:val="19"/>
          <w:color w:val="auto"/>
        </w:rPr>
      </w:pPr>
    </w:p>
    <w:p>
      <w:pPr>
        <w:jc w:val="both"/>
        <w:ind w:left="500" w:hanging="6"/>
        <w:spacing w:after="0" w:line="233" w:lineRule="auto"/>
        <w:tabs>
          <w:tab w:leader="none" w:pos="881"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defined Common Equity Tier 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June 30, 2019 and December 31, 2018, that the Company and its bank subsidiary met all capital adequacy requirements to which they are subject.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As of June 30, 2019,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June 30, 2019 that management believes have changed the bank subsidiary’s category.</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i w:val="1"/>
                <w:iCs w:val="1"/>
                <w:color w:val="auto"/>
                <w:w w:val="88"/>
              </w:rPr>
              <w:t>To Be Well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ind w:left="240"/>
              <w:spacing w:after="0"/>
              <w:rPr>
                <w:sz w:val="20"/>
                <w:szCs w:val="20"/>
                <w:color w:val="auto"/>
              </w:rPr>
            </w:pPr>
            <w:r>
              <w:rPr>
                <w:rFonts w:ascii="Arial" w:cs="Arial" w:eastAsia="Arial" w:hAnsi="Arial"/>
                <w:sz w:val="18"/>
                <w:szCs w:val="18"/>
                <w:i w:val="1"/>
                <w:iCs w:val="1"/>
                <w:color w:val="auto"/>
              </w:rPr>
              <w:t>Minimum Required</w:t>
            </w:r>
          </w:p>
        </w:tc>
        <w:tc>
          <w:tcPr>
            <w:tcW w:w="16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3"/>
              </w:rPr>
              <w:t>Capitalized Under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8"/>
                <w:szCs w:val="18"/>
                <w:i w:val="1"/>
                <w:iCs w:val="1"/>
                <w:color w:val="auto"/>
                <w:w w:val="95"/>
              </w:rPr>
              <w:t>Under BASEL III</w:t>
            </w:r>
          </w:p>
        </w:tc>
        <w:tc>
          <w:tcPr>
            <w:tcW w:w="16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2"/>
              </w:rPr>
              <w:t>Prompt Corrective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80"/>
              <w:spacing w:after="0"/>
              <w:rPr>
                <w:sz w:val="20"/>
                <w:szCs w:val="20"/>
                <w:color w:val="auto"/>
              </w:rPr>
            </w:pPr>
            <w:r>
              <w:rPr>
                <w:rFonts w:ascii="Arial" w:cs="Arial" w:eastAsia="Arial" w:hAnsi="Arial"/>
                <w:sz w:val="18"/>
                <w:szCs w:val="18"/>
                <w:i w:val="1"/>
                <w:iCs w:val="1"/>
                <w:color w:val="auto"/>
              </w:rPr>
              <w:t>Actual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center"/>
              <w:ind w:right="400"/>
              <w:spacing w:after="0"/>
              <w:rPr>
                <w:sz w:val="20"/>
                <w:szCs w:val="20"/>
                <w:color w:val="auto"/>
              </w:rPr>
            </w:pPr>
            <w:r>
              <w:rPr>
                <w:rFonts w:ascii="Arial" w:cs="Arial" w:eastAsia="Arial" w:hAnsi="Arial"/>
                <w:sz w:val="18"/>
                <w:szCs w:val="18"/>
                <w:i w:val="1"/>
                <w:iCs w:val="1"/>
                <w:color w:val="auto"/>
                <w:w w:val="92"/>
              </w:rPr>
              <w:t>Fully Phased-In</w:t>
            </w:r>
          </w:p>
        </w:tc>
        <w:tc>
          <w:tcPr>
            <w:tcW w:w="16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1"/>
              </w:rPr>
              <w:t>Action Provisions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i w:val="1"/>
                <w:iCs w:val="1"/>
                <w:color w:val="auto"/>
              </w:rPr>
              <w:t>Amount</w:t>
            </w:r>
          </w:p>
        </w:tc>
        <w:tc>
          <w:tcPr>
            <w:tcW w:w="7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i w:val="1"/>
                <w:iCs w:val="1"/>
                <w:color w:val="auto"/>
              </w:rPr>
              <w:t>Ratio</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Amount</w:t>
            </w:r>
          </w:p>
        </w:tc>
        <w:tc>
          <w:tcPr>
            <w:tcW w:w="980" w:type="dxa"/>
            <w:vAlign w:val="bottom"/>
            <w:tcBorders>
              <w:top w:val="single" w:sz="8" w:color="auto"/>
            </w:tcBorders>
          </w:tcPr>
          <w:p>
            <w:pPr>
              <w:ind w:left="300"/>
              <w:spacing w:after="0"/>
              <w:rPr>
                <w:sz w:val="20"/>
                <w:szCs w:val="20"/>
                <w:color w:val="auto"/>
              </w:rPr>
            </w:pPr>
            <w:r>
              <w:rPr>
                <w:rFonts w:ascii="Arial" w:cs="Arial" w:eastAsia="Arial" w:hAnsi="Arial"/>
                <w:sz w:val="18"/>
                <w:szCs w:val="18"/>
                <w:i w:val="1"/>
                <w:iCs w:val="1"/>
                <w:color w:val="auto"/>
              </w:rPr>
              <w:t>Ratio</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i w:val="1"/>
                <w:iCs w:val="1"/>
                <w:color w:val="auto"/>
              </w:rPr>
              <w:t>Amount</w:t>
            </w:r>
          </w:p>
        </w:tc>
        <w:tc>
          <w:tcPr>
            <w:tcW w:w="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i w:val="1"/>
                <w:iCs w:val="1"/>
                <w:color w:val="auto"/>
                <w:w w:val="90"/>
              </w:rPr>
              <w:t>Ratio</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20" w:type="dxa"/>
            <w:vAlign w:val="bottom"/>
            <w:gridSpan w:val="2"/>
          </w:tcPr>
          <w:p>
            <w:pPr>
              <w:ind w:left="5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500"/>
              <w:spacing w:after="0"/>
              <w:rPr>
                <w:sz w:val="20"/>
                <w:szCs w:val="20"/>
                <w:color w:val="auto"/>
              </w:rPr>
            </w:pPr>
            <w:r>
              <w:rPr>
                <w:rFonts w:ascii="Arial" w:cs="Arial" w:eastAsia="Arial" w:hAnsi="Arial"/>
                <w:sz w:val="18"/>
                <w:szCs w:val="18"/>
                <w:color w:val="auto"/>
                <w:w w:val="97"/>
              </w:rPr>
              <w:t>Total Capital to Risk Weighted Assets: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383,399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226,833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305,013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226,793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215,994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Tier I Capital to Risk Weighted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332,575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183,627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280,662</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183,594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172,795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Common Tier 1 (CET1):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287,525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151,222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280,662</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151,195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332,575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108,707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280,662</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109,919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137,398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Capital to Risk Weighted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309,798</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214,301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294,572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214,246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7"/>
              </w:rPr>
              <w:t>Tier I Capital to Risk Weighted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260,020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170,898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170,855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215,020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138,346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138,311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260,020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108,033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107,940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1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49"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reflects the fair value hedges included in the consolidated balance sheets: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10,917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Mortgage banking derivatives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December 31, 2018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3"/>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Included in other assets:</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included in other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73,812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73,151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included in other liabilities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73,151</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color w:val="auto"/>
                <w:w w:val="89"/>
              </w:rPr>
              <w:t>26</w:t>
            </w: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factors used in the earnings per share computation follow: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400"/>
              <w:spacing w:after="0"/>
              <w:rPr>
                <w:sz w:val="20"/>
                <w:szCs w:val="20"/>
                <w:color w:val="auto"/>
              </w:rPr>
            </w:pPr>
            <w:r>
              <w:rPr>
                <w:rFonts w:ascii="Arial" w:cs="Arial" w:eastAsia="Arial" w:hAnsi="Arial"/>
                <w:sz w:val="18"/>
                <w:szCs w:val="18"/>
                <w:color w:val="auto"/>
                <w:w w:val="91"/>
              </w:rPr>
              <w:t>Three Months Ended June,</w:t>
            </w:r>
          </w:p>
        </w:tc>
        <w:tc>
          <w:tcPr>
            <w:tcW w:w="160" w:type="dxa"/>
            <w:vAlign w:val="bottom"/>
          </w:tcPr>
          <w:p>
            <w:pPr>
              <w:spacing w:after="0"/>
              <w:rPr>
                <w:sz w:val="20"/>
                <w:szCs w:val="20"/>
                <w:color w:val="auto"/>
              </w:rPr>
            </w:pPr>
          </w:p>
        </w:tc>
        <w:tc>
          <w:tcPr>
            <w:tcW w:w="2380" w:type="dxa"/>
            <w:vAlign w:val="bottom"/>
            <w:gridSpan w:val="6"/>
          </w:tcPr>
          <w:p>
            <w:pPr>
              <w:ind w:left="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16,459,366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14,771,520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15,620,106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16,563,543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14,771,520</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15,724,321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14,771,520</w:t>
            </w:r>
          </w:p>
        </w:tc>
        <w:tc>
          <w:tcPr>
            <w:tcW w:w="0" w:type="dxa"/>
            <w:vAlign w:val="bottom"/>
          </w:tcPr>
          <w:p>
            <w:pPr>
              <w:spacing w:after="0"/>
              <w:rPr>
                <w:sz w:val="1"/>
                <w:szCs w:val="1"/>
                <w:color w:val="auto"/>
              </w:rPr>
            </w:pPr>
          </w:p>
        </w:tc>
      </w:tr>
      <w:tr>
        <w:trPr>
          <w:trHeight w:val="21"/>
        </w:trPr>
        <w:tc>
          <w:tcPr>
            <w:tcW w:w="4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Financial results by reportable segment are detailed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ind w:left="500"/>
              <w:spacing w:after="0"/>
              <w:rPr>
                <w:sz w:val="20"/>
                <w:szCs w:val="20"/>
                <w:color w:val="auto"/>
              </w:rPr>
            </w:pPr>
            <w:r>
              <w:rPr>
                <w:rFonts w:ascii="Arial" w:cs="Arial" w:eastAsia="Arial" w:hAnsi="Arial"/>
                <w:sz w:val="18"/>
                <w:szCs w:val="18"/>
                <w:color w:val="auto"/>
              </w:rPr>
              <w:t>Three months ended June 30, 2019</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Banking</w:t>
            </w: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Insurance</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Consolidated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0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(29,098)</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(29,930)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5,837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320" w:type="dxa"/>
            <w:vAlign w:val="bottom"/>
            <w:gridSpan w:val="3"/>
          </w:tcPr>
          <w:p>
            <w:pPr>
              <w:ind w:left="500"/>
              <w:spacing w:after="0"/>
              <w:rPr>
                <w:sz w:val="20"/>
                <w:szCs w:val="20"/>
                <w:color w:val="auto"/>
              </w:rPr>
            </w:pPr>
            <w:r>
              <w:rPr>
                <w:rFonts w:ascii="Arial" w:cs="Arial" w:eastAsia="Arial" w:hAnsi="Arial"/>
                <w:sz w:val="18"/>
                <w:szCs w:val="18"/>
                <w:color w:val="auto"/>
              </w:rPr>
              <w:t>Three months ended June 30, 2018</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Banking</w:t>
            </w:r>
          </w:p>
        </w:tc>
        <w:tc>
          <w:tcPr>
            <w:tcW w:w="14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Insurance</w:t>
            </w: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Consolidated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0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(27,615)</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(28,422)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6,189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12,591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vMerge w:val="restart"/>
          </w:tcPr>
          <w:p>
            <w:pPr>
              <w:jc w:val="right"/>
              <w:ind w:right="1214"/>
              <w:spacing w:after="0"/>
              <w:rPr>
                <w:sz w:val="20"/>
                <w:szCs w:val="20"/>
                <w:color w:val="auto"/>
              </w:rPr>
            </w:pPr>
            <w:r>
              <w:rPr>
                <w:rFonts w:ascii="Arial" w:cs="Arial" w:eastAsia="Arial" w:hAnsi="Arial"/>
                <w:sz w:val="14"/>
                <w:szCs w:val="14"/>
                <w:color w:val="auto"/>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Financial results by reportable segment are detailed below:</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6020" w:type="dxa"/>
            <w:vAlign w:val="bottom"/>
            <w:gridSpan w:val="3"/>
          </w:tcPr>
          <w:p>
            <w:pPr>
              <w:spacing w:after="0"/>
              <w:rPr>
                <w:sz w:val="20"/>
                <w:szCs w:val="20"/>
                <w:color w:val="auto"/>
              </w:rPr>
            </w:pPr>
            <w:r>
              <w:rPr>
                <w:rFonts w:ascii="Arial" w:cs="Arial" w:eastAsia="Arial" w:hAnsi="Arial"/>
                <w:sz w:val="18"/>
                <w:szCs w:val="18"/>
                <w:color w:val="auto"/>
              </w:rPr>
              <w:t>Six months ended June 30, 2019</w:t>
            </w:r>
          </w:p>
        </w:tc>
        <w:tc>
          <w:tcPr>
            <w:tcW w:w="16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Banking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Insurance</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49,383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(58,170)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(2,730)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20" w:type="dxa"/>
            <w:vAlign w:val="bottom"/>
            <w:gridSpan w:val="3"/>
          </w:tcPr>
          <w:p>
            <w:pPr>
              <w:spacing w:after="0"/>
              <w:rPr>
                <w:sz w:val="20"/>
                <w:szCs w:val="20"/>
                <w:color w:val="auto"/>
              </w:rPr>
            </w:pPr>
            <w:r>
              <w:rPr>
                <w:rFonts w:ascii="Arial" w:cs="Arial" w:eastAsia="Arial" w:hAnsi="Arial"/>
                <w:sz w:val="18"/>
                <w:szCs w:val="18"/>
                <w:color w:val="auto"/>
              </w:rPr>
              <w:t>Six months ended June 30, 2018</w:t>
            </w:r>
          </w:p>
        </w:tc>
        <w:tc>
          <w:tcPr>
            <w:tcW w:w="160" w:type="dxa"/>
            <w:vAlign w:val="bottom"/>
          </w:tcPr>
          <w:p>
            <w:pPr>
              <w:spacing w:after="0"/>
              <w:rPr>
                <w:sz w:val="24"/>
                <w:szCs w:val="2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Banking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Insurance</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46,157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(54,569)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49"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5"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420"/>
          </w:cols>
          <w:pgMar w:left="240" w:top="121"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00" w:lineRule="exact"/>
        <w:rPr>
          <w:sz w:val="20"/>
          <w:szCs w:val="20"/>
          <w:color w:val="auto"/>
        </w:rPr>
      </w:pPr>
    </w:p>
    <w:p>
      <w:pPr>
        <w:spacing w:after="0" w:line="265" w:lineRule="exact"/>
        <w:rPr>
          <w:sz w:val="20"/>
          <w:szCs w:val="20"/>
          <w:color w:val="auto"/>
        </w:rPr>
      </w:pPr>
    </w:p>
    <w:p>
      <w:pPr>
        <w:ind w:left="980" w:right="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97" w:lineRule="exact"/>
        <w:rPr>
          <w:rFonts w:ascii="Arial" w:cs="Arial" w:eastAsia="Arial" w:hAnsi="Arial"/>
          <w:sz w:val="18"/>
          <w:szCs w:val="18"/>
          <w:color w:val="auto"/>
        </w:rPr>
      </w:pPr>
    </w:p>
    <w:p>
      <w:pPr>
        <w:jc w:val="both"/>
        <w:ind w:left="980" w:hanging="486"/>
        <w:spacing w:after="0" w:line="30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1"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summarizes fair value measurements: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June 30, 2019</w:t>
            </w:r>
          </w:p>
        </w:tc>
        <w:tc>
          <w:tcPr>
            <w:tcW w:w="38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w w:val="97"/>
              </w:rPr>
              <w:t>Assets (liabilities) measured at fair value on a recurring basis: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31,990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182,581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38,589</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30,861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December31, 2018</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w w:val="97"/>
              </w:rPr>
              <w:t>Assets (liabilities) measured at fair value on a recurring basis: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32,310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182,256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38,923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31,874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0"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0"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ind w:left="500"/>
        <w:spacing w:after="0" w:line="258" w:lineRule="auto"/>
        <w:rPr>
          <w:sz w:val="20"/>
          <w:szCs w:val="20"/>
          <w:color w:val="auto"/>
        </w:rPr>
      </w:pPr>
      <w:r>
        <w:rPr>
          <w:rFonts w:ascii="Arial" w:cs="Arial" w:eastAsia="Arial" w:hAnsi="Arial"/>
          <w:sz w:val="21"/>
          <w:szCs w:val="21"/>
          <w:u w:val="single" w:color="auto"/>
          <w:color w:val="auto"/>
        </w:rPr>
        <w:t>Impaired loans</w:t>
      </w:r>
      <w:r>
        <w:rPr>
          <w:rFonts w:ascii="Arial" w:cs="Arial" w:eastAsia="Arial" w:hAnsi="Arial"/>
          <w:sz w:val="21"/>
          <w:szCs w:val="21"/>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94" w:lineRule="exact"/>
        <w:rPr>
          <w:sz w:val="20"/>
          <w:szCs w:val="20"/>
          <w:color w:val="auto"/>
        </w:rPr>
      </w:pPr>
    </w:p>
    <w:p>
      <w:pPr>
        <w:jc w:val="both"/>
        <w:ind w:left="500"/>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presents quantitative information about non-recurring Level 3 fair value measurements: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c>
          <w:tcPr>
            <w:tcW w:w="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Range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Valuation Techniques</w:t>
            </w:r>
          </w:p>
        </w:tc>
        <w:tc>
          <w:tcPr>
            <w:tcW w:w="80" w:type="dxa"/>
            <w:vAlign w:val="bottom"/>
          </w:tcPr>
          <w:p>
            <w:pPr>
              <w:spacing w:after="0"/>
              <w:rPr>
                <w:sz w:val="20"/>
                <w:szCs w:val="20"/>
                <w:color w:val="auto"/>
              </w:rPr>
            </w:pPr>
          </w:p>
        </w:tc>
        <w:tc>
          <w:tcPr>
            <w:tcW w:w="2640" w:type="dxa"/>
            <w:vAlign w:val="bottom"/>
          </w:tcPr>
          <w:p>
            <w:pPr>
              <w:ind w:left="580"/>
              <w:spacing w:after="0"/>
              <w:rPr>
                <w:sz w:val="20"/>
                <w:szCs w:val="20"/>
                <w:color w:val="auto"/>
              </w:rPr>
            </w:pPr>
            <w:r>
              <w:rPr>
                <w:rFonts w:ascii="Arial" w:cs="Arial" w:eastAsia="Arial" w:hAnsi="Arial"/>
                <w:sz w:val="18"/>
                <w:szCs w:val="18"/>
                <w:color w:val="auto"/>
              </w:rPr>
              <w:t>Unobservable Inputs</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Discounts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80" w:type="dxa"/>
            <w:vAlign w:val="bottom"/>
            <w:gridSpan w:val="4"/>
          </w:tcPr>
          <w:p>
            <w:pPr>
              <w:ind w:left="500"/>
              <w:spacing w:after="0"/>
              <w:rPr>
                <w:sz w:val="20"/>
                <w:szCs w:val="20"/>
                <w:color w:val="auto"/>
              </w:rPr>
            </w:pPr>
            <w:r>
              <w:rPr>
                <w:rFonts w:ascii="Arial" w:cs="Arial" w:eastAsia="Arial" w:hAnsi="Arial"/>
                <w:sz w:val="18"/>
                <w:szCs w:val="18"/>
                <w:color w:val="auto"/>
              </w:rPr>
              <w:t>June 30, 2019</w:t>
            </w: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Third party appraisals or inspections</w:t>
            </w:r>
          </w:p>
        </w:tc>
        <w:tc>
          <w:tcPr>
            <w:tcW w:w="27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6,988</w:t>
            </w:r>
          </w:p>
        </w:tc>
        <w:tc>
          <w:tcPr>
            <w:tcW w:w="4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Third party appraisals or inspections</w:t>
            </w:r>
          </w:p>
        </w:tc>
        <w:tc>
          <w:tcPr>
            <w:tcW w:w="27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4"/>
          </w:tcPr>
          <w:p>
            <w:pPr>
              <w:ind w:left="500"/>
              <w:spacing w:after="0"/>
              <w:rPr>
                <w:sz w:val="20"/>
                <w:szCs w:val="20"/>
                <w:color w:val="auto"/>
              </w:rPr>
            </w:pPr>
            <w:r>
              <w:rPr>
                <w:rFonts w:ascii="Arial" w:cs="Arial" w:eastAsia="Arial" w:hAnsi="Arial"/>
                <w:sz w:val="18"/>
                <w:szCs w:val="18"/>
                <w:color w:val="auto"/>
              </w:rPr>
              <w:t>Other real estate owned</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2,305</w:t>
            </w: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costs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vMerge w:val="continue"/>
          </w:tcPr>
          <w:p>
            <w:pPr>
              <w:spacing w:after="0"/>
              <w:rPr>
                <w:sz w:val="15"/>
                <w:szCs w:val="15"/>
                <w:color w:val="auto"/>
              </w:rPr>
            </w:pPr>
          </w:p>
        </w:tc>
        <w:tc>
          <w:tcPr>
            <w:tcW w:w="24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Third party appraisals or inspections</w:t>
            </w:r>
          </w:p>
        </w:tc>
        <w:tc>
          <w:tcPr>
            <w:tcW w:w="27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9,119</w:t>
            </w:r>
          </w:p>
        </w:tc>
        <w:tc>
          <w:tcPr>
            <w:tcW w:w="4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Third party appraisals or inspections</w:t>
            </w:r>
          </w:p>
        </w:tc>
        <w:tc>
          <w:tcPr>
            <w:tcW w:w="27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4"/>
          </w:tcPr>
          <w:p>
            <w:pPr>
              <w:ind w:left="500"/>
              <w:spacing w:after="0"/>
              <w:rPr>
                <w:sz w:val="20"/>
                <w:szCs w:val="20"/>
                <w:color w:val="auto"/>
              </w:rPr>
            </w:pPr>
            <w:r>
              <w:rPr>
                <w:rFonts w:ascii="Arial" w:cs="Arial" w:eastAsia="Arial" w:hAnsi="Arial"/>
                <w:sz w:val="18"/>
                <w:szCs w:val="18"/>
                <w:color w:val="auto"/>
              </w:rPr>
              <w:t>Other real estate owned</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2,285</w:t>
            </w: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color w:val="auto"/>
              </w:rPr>
              <w:t>costs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2"/>
          </w:tcPr>
          <w:p>
            <w:pPr>
              <w:jc w:val="right"/>
              <w:ind w:right="91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left="500"/>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estimated fair values, and related carrying amounts, of the Company’s financial instruments are as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418"/>
        </w:trPr>
        <w:tc>
          <w:tcPr>
            <w:tcW w:w="416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408,116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408,116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1,911,482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1,903,358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Bank-owned life insurance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57,794</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57,794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Financial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2,050,839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Junior subordinated deferrable interest debentures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26,472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418"/>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1,934,071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1,923,167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1,923,167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Bank-owned life insurance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57,172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57,172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Financial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1,965,925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w w:val="98"/>
              </w:rPr>
              <w:t>Junior subordinated deferrable interest debentures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9" w:lineRule="exact"/>
        <w:rPr>
          <w:sz w:val="20"/>
          <w:szCs w:val="20"/>
          <w:color w:val="auto"/>
        </w:rPr>
      </w:pPr>
    </w:p>
    <w:p>
      <w:pPr>
        <w:jc w:val="both"/>
        <w:ind w:left="500"/>
        <w:spacing w:after="0" w:line="287" w:lineRule="auto"/>
        <w:rPr>
          <w:sz w:val="20"/>
          <w:szCs w:val="20"/>
          <w:color w:val="auto"/>
        </w:rPr>
      </w:pPr>
      <w:r>
        <w:rPr>
          <w:rFonts w:ascii="Arial" w:cs="Arial" w:eastAsia="Arial" w:hAnsi="Arial"/>
          <w:sz w:val="19"/>
          <w:szCs w:val="19"/>
          <w:color w:val="auto"/>
        </w:rPr>
        <w:t>On July 25, 2019, the Company entered into a definitive agreement with West Texas State Bank (“WTSB”) in an all-cash merger valued at $76.1 million. The agreement provides for the merger of WTSB with and into City Bank, with City Bank as the surviving entity. This transaction is expected to close in the fourth quarter of 2019, subject to the satisfaction or waiver of customary closing conditions, including approval by WTSB’s shareholders and the receipt of regulatory approvals.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ind w:firstLine="486"/>
        <w:spacing w:after="0" w:line="275" w:lineRule="auto"/>
        <w:rPr>
          <w:sz w:val="20"/>
          <w:szCs w:val="20"/>
          <w:color w:val="auto"/>
        </w:rPr>
      </w:pPr>
      <w:r>
        <w:rPr>
          <w:rFonts w:ascii="Arial" w:cs="Arial" w:eastAsia="Arial" w:hAnsi="Arial"/>
          <w:sz w:val="19"/>
          <w:szCs w:val="19"/>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prospectus filed with the Securities and Exchange Commission (the “SEC”) pursuant to Rule 424(b) of the Securities Act of 1933, as amended (the “Securities Act”), on May 9, 2019 relating to our initial public offering (the “IPO Prospectus”) .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autionary Notice Regarding Forward-Looking Statements</w:t>
      </w:r>
    </w:p>
    <w:p>
      <w:pPr>
        <w:spacing w:after="0" w:line="239" w:lineRule="exact"/>
        <w:rPr>
          <w:sz w:val="20"/>
          <w:szCs w:val="20"/>
          <w:color w:val="auto"/>
        </w:rPr>
      </w:pPr>
    </w:p>
    <w:p>
      <w:pPr>
        <w:ind w:firstLine="486"/>
        <w:spacing w:after="0" w:line="272" w:lineRule="auto"/>
        <w:rPr>
          <w:sz w:val="20"/>
          <w:szCs w:val="20"/>
          <w:color w:val="auto"/>
        </w:rPr>
      </w:pPr>
      <w:r>
        <w:rPr>
          <w:rFonts w:ascii="Arial" w:cs="Arial" w:eastAsia="Arial" w:hAnsi="Arial"/>
          <w:sz w:val="19"/>
          <w:szCs w:val="19"/>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0" w:lineRule="exact"/>
        <w:rPr>
          <w:sz w:val="20"/>
          <w:szCs w:val="20"/>
          <w:color w:val="auto"/>
        </w:rPr>
      </w:pPr>
    </w:p>
    <w:p>
      <w:pPr>
        <w:spacing w:after="0" w:line="232" w:lineRule="exact"/>
        <w:rPr>
          <w:sz w:val="20"/>
          <w:szCs w:val="20"/>
          <w:color w:val="auto"/>
        </w:rPr>
      </w:pPr>
    </w:p>
    <w:p>
      <w:pPr>
        <w:ind w:right="460" w:firstLine="486"/>
        <w:spacing w:after="0" w:line="251"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20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275"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and economic conditions, particularly those affecting our market areas, as well as the concentration of our business in such market areas;</w:t>
      </w:r>
    </w:p>
    <w:p>
      <w:pPr>
        <w:spacing w:after="0" w:line="275"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252"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52"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75"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25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ectPr>
          <w:pgSz w:w="11900" w:h="16838" w:orient="portrait"/>
          <w:cols w:equalWidth="0" w:num="1">
            <w:col w:w="11400"/>
          </w:cols>
          <w:pgMar w:left="240" w:top="121" w:right="259" w:bottom="70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70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75" w:lineRule="exact"/>
        <w:rPr>
          <w:rFonts w:ascii="Arial" w:cs="Arial" w:eastAsia="Arial" w:hAnsi="Arial"/>
          <w:sz w:val="16"/>
          <w:szCs w:val="16"/>
          <w:color w:val="auto"/>
        </w:rPr>
      </w:pPr>
    </w:p>
    <w:p>
      <w:pPr>
        <w:ind w:left="820" w:right="4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197" w:lineRule="exact"/>
        <w:rPr>
          <w:rFonts w:ascii="Arial" w:cs="Arial" w:eastAsia="Arial" w:hAnsi="Arial"/>
          <w:sz w:val="18"/>
          <w:szCs w:val="18"/>
          <w:color w:val="auto"/>
        </w:rPr>
      </w:pPr>
    </w:p>
    <w:p>
      <w:pPr>
        <w:ind w:left="820" w:right="6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52"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 and</w:t>
      </w:r>
    </w:p>
    <w:p>
      <w:pPr>
        <w:spacing w:after="0" w:line="197" w:lineRule="exact"/>
        <w:rPr>
          <w:rFonts w:ascii="Arial" w:cs="Arial" w:eastAsia="Arial" w:hAnsi="Arial"/>
          <w:sz w:val="18"/>
          <w:szCs w:val="18"/>
          <w:color w:val="auto"/>
        </w:rPr>
      </w:pPr>
    </w:p>
    <w:p>
      <w:pPr>
        <w:ind w:left="820" w:right="80" w:hanging="326"/>
        <w:spacing w:after="0" w:line="34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laws, rules, regulations, interpretations or policies relating to financial institutions, accounting, tax, trade, monetary and fiscal matters, including the policies of the Board of Governors of the Federal Reserve System and as a result of initiatives of the Trump administration.</w:t>
      </w:r>
    </w:p>
    <w:p>
      <w:pPr>
        <w:spacing w:after="0" w:line="144" w:lineRule="exact"/>
        <w:rPr>
          <w:sz w:val="20"/>
          <w:szCs w:val="20"/>
          <w:color w:val="auto"/>
        </w:rPr>
      </w:pPr>
    </w:p>
    <w:p>
      <w:pPr>
        <w:ind w:firstLine="486"/>
        <w:spacing w:after="0" w:line="275" w:lineRule="auto"/>
        <w:rPr>
          <w:sz w:val="20"/>
          <w:szCs w:val="20"/>
          <w:color w:val="auto"/>
        </w:rPr>
      </w:pPr>
      <w:r>
        <w:rPr>
          <w:rFonts w:ascii="Arial" w:cs="Arial" w:eastAsia="Arial" w:hAnsi="Arial"/>
          <w:sz w:val="19"/>
          <w:szCs w:val="19"/>
          <w:color w:val="auto"/>
        </w:rPr>
        <w:t>The foregoing factors should not be construed as exhaustive and should be read together with the other cautionary statements included in this Form 10-Q and the risk factors set forth in our IPO Prospectus.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firstLine="486"/>
        <w:spacing w:after="0" w:line="248" w:lineRule="auto"/>
        <w:rPr>
          <w:sz w:val="20"/>
          <w:szCs w:val="20"/>
          <w:color w:val="auto"/>
        </w:rPr>
      </w:pPr>
      <w:r>
        <w:rPr>
          <w:rFonts w:ascii="Arial" w:cs="Arial" w:eastAsia="Arial" w:hAnsi="Arial"/>
          <w:sz w:val="21"/>
          <w:szCs w:val="21"/>
          <w:color w:val="auto"/>
        </w:rPr>
        <w:t>We are a bank holding company headquartered in Lubbock, Texas, and our wholly-owned banking subsidiary, City Bank, is one of the largest independent banks in West Texas. We have additional banking operations in the Dallas-Fort Worth-Arlington and El Paso MSAs, as well as in the Greater Houston and College Station, Texas,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Subchapter S Corporation Status</w:t>
      </w:r>
    </w:p>
    <w:p>
      <w:pPr>
        <w:spacing w:after="0" w:line="239" w:lineRule="exact"/>
        <w:rPr>
          <w:sz w:val="20"/>
          <w:szCs w:val="20"/>
          <w:color w:val="auto"/>
        </w:rPr>
      </w:pPr>
    </w:p>
    <w:p>
      <w:pPr>
        <w:ind w:right="20" w:firstLine="486"/>
        <w:spacing w:after="0" w:line="249" w:lineRule="auto"/>
        <w:rPr>
          <w:sz w:val="20"/>
          <w:szCs w:val="20"/>
          <w:color w:val="auto"/>
        </w:rPr>
      </w:pPr>
      <w:r>
        <w:rPr>
          <w:rFonts w:ascii="Arial" w:cs="Arial" w:eastAsia="Arial" w:hAnsi="Arial"/>
          <w:sz w:val="21"/>
          <w:szCs w:val="21"/>
          <w:color w:val="auto"/>
        </w:rPr>
        <w:t>Beginning January 1, 1998, the Company elected to be taxed for U.S. federal income tax purposes as a subchapter S corporation (an “S Corporation”) under the provisions of Sections 1361 to 1379 of the Internal Revenue Code of 1986, as amended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206" w:lineRule="exact"/>
        <w:rPr>
          <w:sz w:val="20"/>
          <w:szCs w:val="20"/>
          <w:color w:val="auto"/>
        </w:rPr>
      </w:pPr>
    </w:p>
    <w:p>
      <w:pPr>
        <w:jc w:val="both"/>
        <w:ind w:right="180" w:firstLine="486"/>
        <w:spacing w:after="0" w:line="238" w:lineRule="auto"/>
        <w:rPr>
          <w:sz w:val="20"/>
          <w:szCs w:val="20"/>
          <w:color w:val="auto"/>
        </w:rPr>
      </w:pPr>
      <w:r>
        <w:rPr>
          <w:rFonts w:ascii="Arial" w:cs="Arial" w:eastAsia="Arial" w:hAnsi="Arial"/>
          <w:sz w:val="22"/>
          <w:szCs w:val="22"/>
          <w:color w:val="auto"/>
        </w:rPr>
        <w:t>Effective May 31, 2018, the Company revoked its election to be taxed as an S Corporation, which resulted in us being taxed as a subchapter C corporation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212" w:lineRule="exact"/>
        <w:rPr>
          <w:sz w:val="20"/>
          <w:szCs w:val="20"/>
          <w:color w:val="auto"/>
        </w:rPr>
      </w:pPr>
    </w:p>
    <w:p>
      <w:pPr>
        <w:ind w:right="120" w:firstLine="486"/>
        <w:spacing w:after="0" w:line="282" w:lineRule="auto"/>
        <w:rPr>
          <w:sz w:val="20"/>
          <w:szCs w:val="20"/>
          <w:color w:val="auto"/>
        </w:rPr>
      </w:pPr>
      <w:r>
        <w:rPr>
          <w:rFonts w:ascii="Arial" w:cs="Arial" w:eastAsia="Arial" w:hAnsi="Arial"/>
          <w:sz w:val="19"/>
          <w:szCs w:val="19"/>
          <w:color w:val="auto"/>
        </w:rPr>
        <w:t>As a result of the revocation of our S Corporation election, the net income and earnings per share data presented for any periods which contain net income prior to the revocation date will not be comparable with periods subsequent to the revocation date. Unless otherwise stated, all information contained herein, including consolidated net income, return on average assets, return on average shareholders’ equity and earnings per share, is presented as if we had converted from an S Corporation to a C Corporation as of January 1, 2018 using a statutory tax rate for federal income taxes of 21.0%.</w:t>
      </w:r>
    </w:p>
    <w:p>
      <w:pPr>
        <w:sectPr>
          <w:pgSz w:w="11900" w:h="16838" w:orient="portrait"/>
          <w:cols w:equalWidth="0" w:num="1">
            <w:col w:w="11400"/>
          </w:cols>
          <w:pgMar w:left="240" w:top="122" w:right="259" w:bottom="592"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592"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ESOP Repurchase Right Termination</w:t>
      </w:r>
    </w:p>
    <w:p>
      <w:pPr>
        <w:spacing w:after="0" w:line="239" w:lineRule="exact"/>
        <w:rPr>
          <w:sz w:val="20"/>
          <w:szCs w:val="20"/>
          <w:color w:val="auto"/>
        </w:rPr>
      </w:pPr>
    </w:p>
    <w:p>
      <w:pPr>
        <w:ind w:right="40" w:firstLine="486"/>
        <w:spacing w:after="0" w:line="246" w:lineRule="auto"/>
        <w:rPr>
          <w:sz w:val="20"/>
          <w:szCs w:val="20"/>
          <w:color w:val="auto"/>
        </w:rPr>
      </w:pPr>
      <w:r>
        <w:rPr>
          <w:rFonts w:ascii="Arial" w:cs="Arial" w:eastAsia="Arial" w:hAnsi="Arial"/>
          <w:sz w:val="21"/>
          <w:szCs w:val="21"/>
          <w:color w:val="auto"/>
        </w:rPr>
        <w:t>Additionally, in accordance with applicable provisions of the Code, the terms of the South Plains Financial, Inc. Employee Stock Ownership Plan, (the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sheets as a line item called “ESOP owned shares” appearing between total liabilities and shareholders’ equity. As a result, the ESOP-owned shares are deducted from shareholders’ equity in our consolidated balance sheets. This repurchase right terminated upon the listing of our common stock on the NASDAQ (the “ESOP Repurchase Right Termination”), whereupon our repurchase liability was extinguished and thereafter the ESOP-owned shares are not deducted from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9"/>
          <w:szCs w:val="19"/>
          <w:color w:val="auto"/>
        </w:rPr>
        <w:t>We consummated the underwritten initial public offering (“IPO”) of our common stock in May 2019. Our common stock is traded on the NASDAQ Global Select Market under the ticker symbol “SPFI.” In connection with our initial public offering, we issued and sold 3,207,000 shares of our common stock, including 507,000 shares of common stock sold pursuant to the underwriters’ full exercise of their option to purchase additional shares, at public offering price of $17.50 per share, for aggregate gross proceeds of $56.1 million before deducting underwriting discounts and offering expenses, and aggregate net proceeds of $51.4 million after deducting underwriting discounts and offering expenses. We intend to use the net proceeds to support our continued growth, including organic growth and potential future acquisitions, and for general corporate purposes.</w:t>
      </w:r>
    </w:p>
    <w:p>
      <w:pPr>
        <w:spacing w:after="0" w:line="180" w:lineRule="exact"/>
        <w:rPr>
          <w:sz w:val="20"/>
          <w:szCs w:val="20"/>
          <w:color w:val="auto"/>
        </w:rPr>
      </w:pPr>
    </w:p>
    <w:p>
      <w:pPr>
        <w:ind w:right="260" w:firstLine="486"/>
        <w:spacing w:after="0" w:line="287" w:lineRule="auto"/>
        <w:rPr>
          <w:sz w:val="20"/>
          <w:szCs w:val="20"/>
          <w:color w:val="auto"/>
        </w:rPr>
      </w:pPr>
      <w:r>
        <w:rPr>
          <w:rFonts w:ascii="Arial" w:cs="Arial" w:eastAsia="Arial" w:hAnsi="Arial"/>
          <w:sz w:val="19"/>
          <w:szCs w:val="19"/>
          <w:color w:val="auto"/>
        </w:rPr>
        <w:t>On July 25, 2019, the Company entered into a definitive agreement with West Texas State Bank (“WTSB”) in an all-cash merger valued at $76.1 million. The agreement provides for the merger of WTSB with and into City Bank, with City Bank as the surviving entity. This transaction is expected to close in the fourth quarter of 2019, subject to the satisfaction or waiver of customary closing conditions, including approval by WTSB’s shareholders and the receipt of regulatory approvals.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ind w:right="140" w:firstLine="486"/>
        <w:spacing w:after="0" w:line="297" w:lineRule="auto"/>
        <w:rPr>
          <w:sz w:val="20"/>
          <w:szCs w:val="20"/>
          <w:color w:val="auto"/>
        </w:rPr>
      </w:pPr>
      <w:r>
        <w:rPr>
          <w:rFonts w:ascii="Arial" w:cs="Arial" w:eastAsia="Arial" w:hAnsi="Arial"/>
          <w:sz w:val="19"/>
          <w:szCs w:val="19"/>
          <w:color w:val="auto"/>
        </w:rPr>
        <w:t>We had net income of $6.1 million for the three months ended June 30, 2019, compared to net income of $5.3 million for the three months ended June 30, 2018. Return on average equity was 9.57% and return on average assets was 0.89% for the three months ended June 30, 2019, compared to 9.98% and 0.84%, respectively, for the three months ended June 30, 2018.</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Our total assets increased $64.4 million, or 2.4%, to $2.78 billion at June 30, 2019, compared to $2.71 billion at December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31, 2018. Our gross loans held for investment decreased $21.5 million, or 1.1%, to $1.94 billion at June 30, 2019, compared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$1.96 billion at December 31, 2018. Our securities portfolio decreased $74.6 million, or 22.1%, to $263.6 million at June 30, 2019,</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compared to $338.2 million at December 31, 2018. Total deposits increased $4.4 million, or 0.2%, to $2.28 billion at June 30, 2019,</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compared to $2.28 billion at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Income Tax Expense and Net Income</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As a result of our prior status as an S Corporation, we had no U.S. federal income tax expense from January 1, 2018 through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May 30, 2018. The pro forma impact of being taxed as a C Corporation is illustrated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June</w:t>
            </w:r>
          </w:p>
        </w:tc>
        <w:tc>
          <w:tcPr>
            <w:tcW w:w="20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Six Months Ended June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30, 2018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8"/>
              </w:rPr>
              <w:t>30, 2018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 Corporation</w:t>
            </w: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w w:val="84"/>
              </w:rPr>
              <w:t>thousands)</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Net income</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13,013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 Corporation</w:t>
            </w: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line="216" w:lineRule="exact"/>
              <w:rPr>
                <w:sz w:val="20"/>
                <w:szCs w:val="20"/>
                <w:color w:val="auto"/>
              </w:rPr>
            </w:pPr>
            <w:r>
              <w:rPr>
                <w:rFonts w:ascii="Arial" w:cs="Arial" w:eastAsia="Arial" w:hAnsi="Arial"/>
                <w:sz w:val="16"/>
                <w:szCs w:val="16"/>
                <w:color w:val="auto"/>
              </w:rPr>
              <w:t>Combined effective income tax rate</w:t>
            </w:r>
            <w:r>
              <w:rPr>
                <w:rFonts w:ascii="Arial" w:cs="Arial" w:eastAsia="Arial" w:hAnsi="Arial"/>
                <w:sz w:val="25"/>
                <w:szCs w:val="25"/>
                <w:color w:val="auto"/>
                <w:vertAlign w:val="superscript"/>
              </w:rPr>
              <w:t>(2)</w:t>
            </w:r>
          </w:p>
        </w:tc>
        <w:tc>
          <w:tcPr>
            <w:tcW w:w="40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Income tax provision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939</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50"/>
              <w:spacing w:after="0"/>
              <w:rPr>
                <w:sz w:val="20"/>
                <w:szCs w:val="20"/>
                <w:color w:val="auto"/>
              </w:rPr>
            </w:pPr>
            <w:r>
              <w:rPr>
                <w:rFonts w:ascii="Arial" w:cs="Arial" w:eastAsia="Arial" w:hAnsi="Arial"/>
                <w:sz w:val="18"/>
                <w:szCs w:val="18"/>
                <w:color w:val="auto"/>
              </w:rPr>
              <w:t>5,333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9,981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3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our net income in this period was derived from non-taxable investment income, offset by nondeductible expenses. This has the effect of lowering the statutory tax rate.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a statutory federal income tax rate of 21%. As our state income taxes are insignificant, they are not reflected in these calculations.</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the recording of the $6.5 million deferred tax asset upon the revocation of our S Corporation election.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ind w:right="40" w:firstLine="486"/>
        <w:spacing w:after="0" w:line="328" w:lineRule="auto"/>
        <w:rPr>
          <w:sz w:val="20"/>
          <w:szCs w:val="20"/>
          <w:color w:val="auto"/>
        </w:rPr>
      </w:pPr>
      <w:r>
        <w:rPr>
          <w:rFonts w:ascii="Arial" w:cs="Arial" w:eastAsia="Arial" w:hAnsi="Arial"/>
          <w:sz w:val="19"/>
          <w:szCs w:val="19"/>
          <w:color w:val="auto"/>
        </w:rPr>
        <w:t>Net income increased by $747,000 to $6.1 million for the three months ended June 30, 2019, compared to $5.3 million for the three months ended June 30, 2018. This increase was primarily the result of an increase of $1.4 million in net interest income, a</w:t>
      </w:r>
    </w:p>
    <w:p>
      <w:pPr>
        <w:sectPr>
          <w:pgSz w:w="11900" w:h="16838" w:orient="portrait"/>
          <w:cols w:equalWidth="0" w:num="1">
            <w:col w:w="11420"/>
          </w:cols>
          <w:pgMar w:left="240" w:top="121" w:right="239" w:bottom="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decrease of $665,000 in the provision for loan losses, and an increase of $735,000 in noninterest income, offset by an increase of $1.5 million in noninterest expense.</w:t>
      </w:r>
    </w:p>
    <w:p>
      <w:pPr>
        <w:spacing w:after="0" w:line="37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37" w:name="page38"/>
    <w:bookmarkEnd w:id="37"/>
    <w:p>
      <w:pPr>
        <w:spacing w:after="0" w:line="2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Net income increased by $872,000 to $10.9 million for the six months ended June 30, 2019, compared to $10.0 million for the six months ended June 30, 2018. The increase was primarily the result of an increase of $3.2 million in net interest income, a decrease of $835,000 in the provision for loan losses, and an increase of $1.3 million in noninterest income, offset by an increase of $3.7 million in noninterest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ind w:right="20" w:firstLine="486"/>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Federal Home Loan Bank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6" w:lineRule="exact"/>
        <w:rPr>
          <w:sz w:val="20"/>
          <w:szCs w:val="20"/>
          <w:color w:val="auto"/>
        </w:rPr>
      </w:pPr>
    </w:p>
    <w:p>
      <w:pPr>
        <w:jc w:val="both"/>
        <w:ind w:right="60" w:firstLine="486"/>
        <w:spacing w:after="0" w:line="258"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94" w:lineRule="exact"/>
        <w:rPr>
          <w:sz w:val="20"/>
          <w:szCs w:val="20"/>
          <w:color w:val="auto"/>
        </w:rPr>
      </w:pPr>
    </w:p>
    <w:p>
      <w:pPr>
        <w:ind w:right="300" w:firstLine="486"/>
        <w:spacing w:after="0" w:line="236" w:lineRule="auto"/>
        <w:rPr>
          <w:sz w:val="20"/>
          <w:szCs w:val="20"/>
          <w:color w:val="auto"/>
        </w:rPr>
      </w:pPr>
      <w:r>
        <w:rPr>
          <w:rFonts w:ascii="Arial" w:cs="Arial" w:eastAsia="Arial" w:hAnsi="Arial"/>
          <w:sz w:val="22"/>
          <w:szCs w:val="22"/>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Total loans</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1,946,602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28,635</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1,899,744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securities – taxable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116,455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1,946</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231,191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2,575,010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5"/>
              </w:rPr>
              <w:t>5.08</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2,392,536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5"/>
              </w:rPr>
              <w:t>4.82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2,749,954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2,559,449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NOW, savings and money market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1,449,169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1,340,158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310,404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Notes payable &amp; other longer-term borrowings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13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1,945,442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1,829,016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486,943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noninterest-bearing liabilities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549,673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516,158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2,749,954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2,559,449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24,938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23,757</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3.73%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52"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interest income, on a fully tax-equivalent basis, divided by average interest-earning assets.</w:t>
      </w:r>
    </w:p>
    <w:p>
      <w:pPr>
        <w:sectPr>
          <w:pgSz w:w="11900" w:h="16862" w:orient="portrait"/>
          <w:cols w:equalWidth="0" w:num="1">
            <w:col w:w="11420"/>
          </w:cols>
          <w:pgMar w:left="240" w:top="122" w:right="239" w:bottom="0" w:gutter="0" w:footer="0" w:header="0"/>
        </w:sectPr>
      </w:pPr>
    </w:p>
    <w:bookmarkStart w:id="38" w:name="page39"/>
    <w:bookmarkEnd w:id="38"/>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8"/>
              </w:rPr>
              <w:t>Six Months Ended June 30,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Total loans</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1,951,193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56,776</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1,863,068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49,832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Investment securities – taxable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1300" w:type="dxa"/>
            <w:vAlign w:val="bottom"/>
            <w:gridSpan w:val="3"/>
          </w:tcPr>
          <w:p>
            <w:pPr>
              <w:ind w:left="7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117,361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c>
          <w:tcPr>
            <w:tcW w:w="1300" w:type="dxa"/>
            <w:vAlign w:val="bottom"/>
            <w:gridSpan w:val="3"/>
          </w:tcPr>
          <w:p>
            <w:pPr>
              <w:ind w:left="7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275,588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2,558,124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5"/>
              </w:rPr>
              <w:t>5.10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2,405,820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5"/>
              </w:rPr>
              <w:t>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2,733,813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2,575,721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savings and money market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1,459,684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9,230</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1,350,496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5,131</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1300" w:type="dxa"/>
            <w:vAlign w:val="bottom"/>
            <w:gridSpan w:val="3"/>
          </w:tcPr>
          <w:p>
            <w:pPr>
              <w:ind w:left="70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Notes payable &amp; other longer-term borrowings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300" w:type="dxa"/>
            <w:vAlign w:val="bottom"/>
            <w:gridSpan w:val="3"/>
          </w:tcPr>
          <w:p>
            <w:pPr>
              <w:ind w:left="7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300" w:type="dxa"/>
            <w:vAlign w:val="bottom"/>
            <w:gridSpan w:val="3"/>
          </w:tcPr>
          <w:p>
            <w:pPr>
              <w:ind w:left="70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1,850,838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480,468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noninterest-bearing liabilities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539,974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509,781</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2,733,813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2,575,721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49,587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46,815</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3.68%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3.92%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52"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center"/>
              <w:ind w:left="350"/>
              <w:spacing w:after="0"/>
              <w:rPr>
                <w:sz w:val="20"/>
                <w:szCs w:val="20"/>
                <w:color w:val="auto"/>
              </w:rPr>
            </w:pPr>
            <w:r>
              <w:rPr>
                <w:rFonts w:ascii="Arial" w:cs="Arial" w:eastAsia="Arial" w:hAnsi="Arial"/>
                <w:sz w:val="18"/>
                <w:szCs w:val="18"/>
                <w:b w:val="1"/>
                <w:bCs w:val="1"/>
                <w:color w:val="auto"/>
                <w:w w:val="90"/>
              </w:rPr>
              <w:t>Three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2019 over 2018</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Change due to:</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Total 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80" w:type="dxa"/>
            <w:vAlign w:val="bottom"/>
            <w:gridSpan w:val="7"/>
          </w:tcPr>
          <w:p>
            <w:pPr>
              <w:spacing w:after="0"/>
              <w:rPr>
                <w:sz w:val="20"/>
                <w:szCs w:val="20"/>
                <w:color w:val="auto"/>
              </w:rPr>
            </w:pPr>
            <w:r>
              <w:rPr>
                <w:rFonts w:ascii="Arial" w:cs="Arial" w:eastAsia="Arial" w:hAnsi="Arial"/>
                <w:sz w:val="18"/>
                <w:szCs w:val="18"/>
                <w:b w:val="1"/>
                <w:bCs w:val="1"/>
                <w:color w:val="auto"/>
              </w:rPr>
              <w:t>(Dollars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2,328</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securities – taxable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increase (decrease) in interest income</w:t>
            </w:r>
          </w:p>
        </w:tc>
        <w:tc>
          <w:tcPr>
            <w:tcW w:w="27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NOW, Savings, MMDAs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Total increase (decrease) interest expense:</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center"/>
              <w:ind w:left="330"/>
              <w:spacing w:after="0"/>
              <w:rPr>
                <w:sz w:val="20"/>
                <w:szCs w:val="20"/>
                <w:color w:val="auto"/>
              </w:rPr>
            </w:pPr>
            <w:r>
              <w:rPr>
                <w:rFonts w:ascii="Arial" w:cs="Arial" w:eastAsia="Arial" w:hAnsi="Arial"/>
                <w:sz w:val="18"/>
                <w:szCs w:val="18"/>
                <w:b w:val="1"/>
                <w:bCs w:val="1"/>
                <w:color w:val="auto"/>
                <w:w w:val="90"/>
              </w:rPr>
              <w:t>Six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2019 over 2018</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Change due to:</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Total 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80" w:type="dxa"/>
            <w:vAlign w:val="bottom"/>
            <w:gridSpan w:val="7"/>
          </w:tcPr>
          <w:p>
            <w:pPr>
              <w:spacing w:after="0"/>
              <w:rPr>
                <w:sz w:val="20"/>
                <w:szCs w:val="20"/>
                <w:color w:val="auto"/>
              </w:rPr>
            </w:pPr>
            <w:r>
              <w:rPr>
                <w:rFonts w:ascii="Arial" w:cs="Arial" w:eastAsia="Arial" w:hAnsi="Arial"/>
                <w:sz w:val="18"/>
                <w:szCs w:val="18"/>
                <w:b w:val="1"/>
                <w:bCs w:val="1"/>
                <w:color w:val="auto"/>
              </w:rPr>
              <w:t>(Dollars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4,587</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securities – taxable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increase (decrease) in interest income</w:t>
            </w:r>
          </w:p>
        </w:tc>
        <w:tc>
          <w:tcPr>
            <w:tcW w:w="27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NOW, Savings, MMDAs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3,684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Total increase (decrease) interest expense: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40" w:type="dxa"/>
            <w:vAlign w:val="bottom"/>
            <w:vMerge w:val="restart"/>
          </w:tcPr>
          <w:p>
            <w:pPr>
              <w:jc w:val="right"/>
              <w:ind w:right="1574"/>
              <w:spacing w:after="0"/>
              <w:rPr>
                <w:sz w:val="20"/>
                <w:szCs w:val="20"/>
                <w:color w:val="auto"/>
              </w:rPr>
            </w:pPr>
            <w:r>
              <w:rPr>
                <w:rFonts w:ascii="Arial" w:cs="Arial" w:eastAsia="Arial" w:hAnsi="Arial"/>
                <w:sz w:val="14"/>
                <w:szCs w:val="14"/>
                <w:color w:val="auto"/>
              </w:rPr>
              <w:t>38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486"/>
        <w:spacing w:after="0" w:line="277" w:lineRule="auto"/>
        <w:rPr>
          <w:sz w:val="20"/>
          <w:szCs w:val="20"/>
          <w:color w:val="auto"/>
        </w:rPr>
      </w:pPr>
      <w:r>
        <w:rPr>
          <w:rFonts w:ascii="Arial" w:cs="Arial" w:eastAsia="Arial" w:hAnsi="Arial"/>
          <w:sz w:val="19"/>
          <w:szCs w:val="19"/>
          <w:color w:val="auto"/>
        </w:rPr>
        <w:t>Net interest income for the three months ended June 30, 2019 was $24.8 million, compared to $23.4 million for the three months ended June 30, 2018, an increase of $1.4 million, or 6.0%. The increase in net interest income was comprised of a $4.1 million, or 14.4%, increase in interest income offset by a $2.7 million, or 54.4%, increase in interest expense. The growth in interest income was primarily attributable to a $46.9 million, or 2.5%, increase in average loans outstanding for the three-month period ended June 30, 2019, compared to the three-month period ended June 30, 2018, and by a 0.48% increase in the yield on total loans. The increase in average loans outstanding was primarily due to organic growth in 1-4 family residential loans and in the auto loan sector of our portfolio, offset by a decrease in the commercial – general sector.</w:t>
      </w:r>
    </w:p>
    <w:p>
      <w:pPr>
        <w:spacing w:after="0" w:line="180" w:lineRule="exact"/>
        <w:rPr>
          <w:sz w:val="20"/>
          <w:szCs w:val="20"/>
          <w:color w:val="auto"/>
        </w:rPr>
      </w:pPr>
    </w:p>
    <w:p>
      <w:pPr>
        <w:ind w:right="140" w:firstLine="486"/>
        <w:spacing w:after="0" w:line="235" w:lineRule="auto"/>
        <w:rPr>
          <w:sz w:val="20"/>
          <w:szCs w:val="20"/>
          <w:color w:val="auto"/>
        </w:rPr>
      </w:pPr>
      <w:r>
        <w:rPr>
          <w:rFonts w:ascii="Arial" w:cs="Arial" w:eastAsia="Arial" w:hAnsi="Arial"/>
          <w:sz w:val="22"/>
          <w:szCs w:val="22"/>
          <w:color w:val="auto"/>
        </w:rPr>
        <w:t>The $2.7 million increase in interest expense for the three months ended June 30, 2019 was primarily related to a 0.49% increase in the rate paid on interest-bearing liabilities and an increase of $115.9 million, or 7.0%, in average interest-bearing deposits over the same period in 2018. The increase in average interest-bearing deposits from June 30, 2018 to June 30, 2019 was due primarily to an increase in money market accounts of $124.3 million, offset by a decrease in NOW accounts of $13.1 million. Additionally, average noninterest-bearing demand deposits increased to $516.8 million at June 30, 2019 from $486.9 million at June 30, 2018.</w:t>
      </w:r>
    </w:p>
    <w:p>
      <w:pPr>
        <w:spacing w:after="0" w:line="215" w:lineRule="exact"/>
        <w:rPr>
          <w:sz w:val="20"/>
          <w:szCs w:val="20"/>
          <w:color w:val="auto"/>
        </w:rPr>
      </w:pPr>
    </w:p>
    <w:p>
      <w:pPr>
        <w:ind w:right="20" w:firstLine="486"/>
        <w:spacing w:after="0"/>
        <w:rPr>
          <w:sz w:val="20"/>
          <w:szCs w:val="20"/>
          <w:color w:val="auto"/>
        </w:rPr>
      </w:pPr>
      <w:r>
        <w:rPr>
          <w:rFonts w:ascii="Arial" w:cs="Arial" w:eastAsia="Arial" w:hAnsi="Arial"/>
          <w:sz w:val="22"/>
          <w:szCs w:val="22"/>
          <w:color w:val="auto"/>
        </w:rPr>
        <w:t>For the three months ended June 30, 2019, net interest margin and net interest spread were 3.88% and 3.50%, respectively, compared to 3.98% and 3.73% for the same period in 2018, which reflects the increases in interest income discussed above relative to the increases in interest expense.</w:t>
      </w:r>
    </w:p>
    <w:p>
      <w:pPr>
        <w:spacing w:after="0" w:line="213" w:lineRule="exact"/>
        <w:rPr>
          <w:sz w:val="20"/>
          <w:szCs w:val="20"/>
          <w:color w:val="auto"/>
        </w:rPr>
      </w:pPr>
    </w:p>
    <w:p>
      <w:pPr>
        <w:ind w:right="20" w:firstLine="486"/>
        <w:spacing w:after="0" w:line="277" w:lineRule="auto"/>
        <w:rPr>
          <w:sz w:val="20"/>
          <w:szCs w:val="20"/>
          <w:color w:val="auto"/>
        </w:rPr>
      </w:pPr>
      <w:r>
        <w:rPr>
          <w:rFonts w:ascii="Arial" w:cs="Arial" w:eastAsia="Arial" w:hAnsi="Arial"/>
          <w:sz w:val="19"/>
          <w:szCs w:val="19"/>
          <w:color w:val="auto"/>
        </w:rPr>
        <w:t>Net interest income for the six months ended June 30, 2019 was $49.4 million, compared to $46.2 million for the six months ended June 30, 2018, an increase of $3.2 million, or 7.0%. The increase in net interest income was comprised of an $8.8 million, or 15.8%, increase in interest income offset by a $5.6 million, or 58.7%, increase in interest expense. The growth in interest income was primarily attributable to an $88.1 million, or 4.7%, increase in average loans outstanding for the six-month period ended June 30, 2019, compared to the six-month period ended June 30, 2018, and by a 0.48% increase in the yield on total loans. The increase in average loans outstanding was primarily due to organic growth in 1-4 family residential loans and in the auto loan sector of our portfolio, offset by a decrease in the commercial – general sector.</w:t>
      </w:r>
    </w:p>
    <w:p>
      <w:pPr>
        <w:spacing w:after="0" w:line="180" w:lineRule="exact"/>
        <w:rPr>
          <w:sz w:val="20"/>
          <w:szCs w:val="20"/>
          <w:color w:val="auto"/>
        </w:rPr>
      </w:pPr>
    </w:p>
    <w:p>
      <w:pPr>
        <w:ind w:right="60" w:firstLine="486"/>
        <w:spacing w:after="0" w:line="235" w:lineRule="auto"/>
        <w:rPr>
          <w:sz w:val="20"/>
          <w:szCs w:val="20"/>
          <w:color w:val="auto"/>
        </w:rPr>
      </w:pPr>
      <w:r>
        <w:rPr>
          <w:rFonts w:ascii="Arial" w:cs="Arial" w:eastAsia="Arial" w:hAnsi="Arial"/>
          <w:sz w:val="22"/>
          <w:szCs w:val="22"/>
          <w:color w:val="auto"/>
        </w:rPr>
        <w:t>The $5.6 million increase in interest expense for the six months ended June 30, 2019 was primarily related to a 0.52% increase in the rate paid on interest-bearing liabilities and an increase of $105.4 million, or 6.3%, in average interest-bearing deposits over the same period in 2018. The increase in average interest-bearing liabilities from June 30, 2018 to June 30, 2019 was due primarily to an increase in money market accounts of $119.2 million, offset by a decrease in NOW accounts of $10.0 million. Additionally, average noninterest-bearing demand deposits increased to $508.9 million at June 30, 2019 from $480.5 million at June 30, 2018.</w:t>
      </w:r>
    </w:p>
    <w:p>
      <w:pPr>
        <w:spacing w:after="0" w:line="215" w:lineRule="exact"/>
        <w:rPr>
          <w:sz w:val="20"/>
          <w:szCs w:val="20"/>
          <w:color w:val="auto"/>
        </w:rPr>
      </w:pPr>
    </w:p>
    <w:p>
      <w:pPr>
        <w:ind w:right="20" w:firstLine="486"/>
        <w:spacing w:after="0"/>
        <w:rPr>
          <w:sz w:val="20"/>
          <w:szCs w:val="20"/>
          <w:color w:val="auto"/>
        </w:rPr>
      </w:pPr>
      <w:r>
        <w:rPr>
          <w:rFonts w:ascii="Arial" w:cs="Arial" w:eastAsia="Arial" w:hAnsi="Arial"/>
          <w:sz w:val="22"/>
          <w:szCs w:val="22"/>
          <w:color w:val="auto"/>
        </w:rPr>
        <w:t>For the six months ended June 30, 2019, net interest margin and net interest spread were 3.91% and 3.54%, respectively, compared to 3.92% and 3.68% for the same period in 2018, which reflects the increases in interest income discussed above relative to the increases in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ind w:right="40" w:firstLine="486"/>
        <w:spacing w:after="0" w:line="275"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486"/>
        <w:spacing w:after="0" w:line="287" w:lineRule="auto"/>
        <w:rPr>
          <w:sz w:val="20"/>
          <w:szCs w:val="20"/>
          <w:color w:val="auto"/>
        </w:rPr>
      </w:pPr>
      <w:r>
        <w:rPr>
          <w:rFonts w:ascii="Arial" w:cs="Arial" w:eastAsia="Arial" w:hAnsi="Arial"/>
          <w:sz w:val="19"/>
          <w:szCs w:val="19"/>
          <w:color w:val="auto"/>
        </w:rPr>
        <w:t>The provision for loan losses for the three months ended June 30, 2019 was $875,000, compared to $1.5 million for the three months ended June 30, 2018. The provision for loan losses for the six months ended June 30, 2019 was $1.5 million, compared to $2.3 million for the six months ended June 30, 2018. The allowance for loan losses as a percentage of loans held for investment was 1.25% at June 30, 2019 and 1.18% at December 31, 2018. Further discussion of the allowance for loan losses is noted below.</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ind w:right="40" w:firstLine="486"/>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sets forth the major components of our noninterest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(decrease)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(decrease)</w:t>
            </w:r>
          </w:p>
        </w:tc>
      </w:tr>
      <w:tr>
        <w:trPr>
          <w:trHeight w:val="229"/>
        </w:trPr>
        <w:tc>
          <w:tcPr>
            <w:tcW w:w="3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gridSpan w:val="2"/>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Bank card services and interchange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6,397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3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7"/>
        </w:trPr>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13,703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25,778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r>
      <w:tr>
        <w:trPr>
          <w:trHeight w:val="21"/>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90" w:lineRule="exact"/>
        <w:rPr>
          <w:sz w:val="20"/>
          <w:szCs w:val="20"/>
          <w:color w:val="auto"/>
        </w:rPr>
      </w:pPr>
    </w:p>
    <w:p>
      <w:pPr>
        <w:ind w:right="240" w:firstLine="486"/>
        <w:spacing w:after="0" w:line="236" w:lineRule="auto"/>
        <w:rPr>
          <w:sz w:val="20"/>
          <w:szCs w:val="20"/>
          <w:color w:val="auto"/>
        </w:rPr>
      </w:pPr>
      <w:r>
        <w:rPr>
          <w:rFonts w:ascii="Arial" w:cs="Arial" w:eastAsia="Arial" w:hAnsi="Arial"/>
          <w:sz w:val="22"/>
          <w:szCs w:val="22"/>
          <w:color w:val="auto"/>
        </w:rPr>
        <w:t>Noninterest income for the three months ended June 30, 2019 was $13.7 million, compared to $13.0 million for the three months ended June 30, 2018, an increase of $735,000, or 5.7%. Income from mortgage banking activities increased $255,000, or 4.0%, to $6.7 million for the three months ended June 30, 2019 from $6.4 million for the three months ended June 30, 2018. The increase was due primarily to an increase interest rate lock commitments of $12.5 million at June 30, 2019, compared to June 30, 2018.</w:t>
      </w:r>
    </w:p>
    <w:p>
      <w:pPr>
        <w:spacing w:after="0" w:line="215" w:lineRule="exact"/>
        <w:rPr>
          <w:sz w:val="20"/>
          <w:szCs w:val="20"/>
          <w:color w:val="auto"/>
        </w:rPr>
      </w:pPr>
    </w:p>
    <w:p>
      <w:pPr>
        <w:ind w:right="120" w:firstLine="486"/>
        <w:spacing w:after="0" w:line="249" w:lineRule="auto"/>
        <w:rPr>
          <w:sz w:val="20"/>
          <w:szCs w:val="20"/>
          <w:color w:val="auto"/>
        </w:rPr>
      </w:pPr>
      <w:r>
        <w:rPr>
          <w:rFonts w:ascii="Arial" w:cs="Arial" w:eastAsia="Arial" w:hAnsi="Arial"/>
          <w:sz w:val="21"/>
          <w:szCs w:val="21"/>
          <w:color w:val="auto"/>
        </w:rPr>
        <w:t>Noninterest income for the six months ended June 30, 2019 was $25.8 million, compared to $24.4 million for the six months ended June 30, 2018, an increase of $1.4 million, or 5.5%. Income from mortgage banking activities increased $454,000, or 4.1%, to $11.5 million for the six months ended June 30, 2019 from $11.1 million for the three months ended June 30, 2018. This increase was primarily a result of $130,000 more in servicing income on mortgage loans sold with servicing retained, which began in mid-2018, as well as the increase in interest rate lock commitments noted above.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sets forth the major components of our noninterest expense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(decrease)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(decrease)</w:t>
            </w:r>
          </w:p>
        </w:tc>
        <w:tc>
          <w:tcPr>
            <w:tcW w:w="0" w:type="dxa"/>
            <w:vAlign w:val="bottom"/>
          </w:tcPr>
          <w:p>
            <w:pPr>
              <w:spacing w:after="0"/>
              <w:rPr>
                <w:sz w:val="1"/>
                <w:szCs w:val="1"/>
                <w:color w:val="auto"/>
              </w:rPr>
            </w:pPr>
          </w:p>
        </w:tc>
      </w:tr>
      <w:tr>
        <w:trPr>
          <w:trHeight w:val="234"/>
        </w:trPr>
        <w:tc>
          <w:tcPr>
            <w:tcW w:w="3340" w:type="dxa"/>
            <w:vAlign w:val="bottom"/>
            <w:vMerge w:val="restart"/>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gridSpan w:val="2"/>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3,391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334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3,487</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693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56,299</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expenses include items such as telephone expenses, postage, courier fees, directors’ fees, and insurance.</w:t>
      </w:r>
    </w:p>
    <w:p>
      <w:pPr>
        <w:spacing w:after="0" w:line="245" w:lineRule="exact"/>
        <w:rPr>
          <w:sz w:val="20"/>
          <w:szCs w:val="20"/>
          <w:color w:val="auto"/>
        </w:rPr>
      </w:pPr>
    </w:p>
    <w:p>
      <w:pPr>
        <w:ind w:right="60" w:firstLine="486"/>
        <w:spacing w:after="0" w:line="275" w:lineRule="auto"/>
        <w:rPr>
          <w:sz w:val="20"/>
          <w:szCs w:val="20"/>
          <w:color w:val="auto"/>
        </w:rPr>
      </w:pPr>
      <w:r>
        <w:rPr>
          <w:rFonts w:ascii="Arial" w:cs="Arial" w:eastAsia="Arial" w:hAnsi="Arial"/>
          <w:sz w:val="19"/>
          <w:szCs w:val="19"/>
          <w:color w:val="auto"/>
        </w:rPr>
        <w:t>Noninterest expense for the three months ended June 30, 2019 was $29.9 million compared to $28.4 million for the three months ended June 30, 2018, an increase of $1.5 million, or 5.3%. Salaries and employee benefits increased $966,000, or 5.4%, from $17.8 million for the three months ended June 30, 2018 to $18.8 million for the three months ended June 30, 2019. The primary reason for the increase is the higher number of full time equivalents in 2019 compared to 2018 related to our mortgage origination company acquisition in November 2018. Professional services expenses, which include legal fees, audit and accounting fees, and consulting fees, increased $211,000 for the three months ended June 30, 2019, compared to the same period in 2018. This increase was primarily due to increased legal expenses during the three months ended June 30, 2019 related to the Company’s preparation for its initial public offering and related activities.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Noninterest expense for the six months ended June 30, 2019 was $60.0 million, compared to $56.3 million for the six months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ended June 30, 2018, an increase of $3.7 million, or 6.5%. Salaries and employee benefits increased $2.5 million, or 7.0%, from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$35.4 million for the six months ended June 30, 2018 to $37.9 million for the six months ended June 30, 2019. The primary reason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this increase is the expense related to the staff that was acquired in our mortgage origination company acquisition in November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2018. The cost related to these employees during the six months ended June 30, 2019 was $1.5 million. Professional services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expenses increased $488,000 for the six months ended June 30, 2019, compared to the same period in 2018. This increase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primarily due to increased legal expenses related to the Company’s preparation for its initial public offering and related activities.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Total assets increased $64.4 million, or 2.4%, to $2.78 billion at June 30, 2019, compared to $2.71 billion at December 31, 2018. Our gross loans held for investment decreased $21.5 million, or 1.1%, to $1.94 billion at June 30, 2019, compared to $1.96 billion at December 31, 2018. Our securities portfolio decreased $74.6 million, or 22.1%, to $263.6 million at June 30, 2019, compared to $338.2 million at December 31, 2018. Total deposits increased $4.4 million, or 0.2% to $2.28 billion at June 30, 2019, compared to $2.28 billion at December 31, 2018.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ind w:right="180" w:firstLine="486"/>
        <w:spacing w:after="0" w:line="238" w:lineRule="auto"/>
        <w:rPr>
          <w:sz w:val="20"/>
          <w:szCs w:val="20"/>
          <w:color w:val="auto"/>
        </w:rPr>
      </w:pPr>
      <w:r>
        <w:rPr>
          <w:rFonts w:ascii="Arial" w:cs="Arial" w:eastAsia="Arial" w:hAnsi="Arial"/>
          <w:sz w:val="22"/>
          <w:szCs w:val="22"/>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486"/>
        <w:spacing w:after="0" w:line="251" w:lineRule="auto"/>
        <w:rPr>
          <w:sz w:val="20"/>
          <w:szCs w:val="20"/>
          <w:color w:val="auto"/>
        </w:rPr>
      </w:pPr>
      <w:r>
        <w:rPr>
          <w:rFonts w:ascii="Arial" w:cs="Arial" w:eastAsia="Arial" w:hAnsi="Arial"/>
          <w:sz w:val="22"/>
          <w:szCs w:val="22"/>
          <w:color w:val="auto"/>
        </w:rPr>
        <w:t>The following table presents the balance and associated percentage of each major category in our gross loan portfolio at the dates indicated: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June 30, 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2018</w:t>
            </w: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in</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533,680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538,037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294,188</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305,022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427,728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Consumer: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348,569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206,777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191,647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Construction</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89,446</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loans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1,935,653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Allowance for loan losses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(24,171)</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(23,126)</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loans</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1,911,482</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300" w:firstLine="486"/>
        <w:spacing w:after="0"/>
        <w:rPr>
          <w:sz w:val="20"/>
          <w:szCs w:val="20"/>
          <w:color w:val="auto"/>
        </w:rPr>
      </w:pPr>
      <w:r>
        <w:rPr>
          <w:rFonts w:ascii="Arial" w:cs="Arial" w:eastAsia="Arial" w:hAnsi="Arial"/>
          <w:sz w:val="22"/>
          <w:szCs w:val="22"/>
          <w:color w:val="auto"/>
        </w:rPr>
        <w:t>Loans held for investment decreased $21.5 million, or 1.1%, to $1.94 billion at June 30, 2019, compared to $1.96 billion at December 31, 2018. This decrease in our loans was primarily due to the early payoff of four relationships totaling $45.3 million, offset by organic loan growth.</w:t>
      </w:r>
    </w:p>
    <w:p>
      <w:pPr>
        <w:spacing w:after="0" w:line="213" w:lineRule="exact"/>
        <w:rPr>
          <w:sz w:val="20"/>
          <w:szCs w:val="20"/>
          <w:color w:val="auto"/>
        </w:rPr>
      </w:pPr>
    </w:p>
    <w:p>
      <w:pPr>
        <w:ind w:firstLine="486"/>
        <w:spacing w:after="0" w:line="247" w:lineRule="auto"/>
        <w:rPr>
          <w:sz w:val="20"/>
          <w:szCs w:val="20"/>
          <w:color w:val="auto"/>
        </w:rPr>
      </w:pPr>
      <w:r>
        <w:rPr>
          <w:rFonts w:ascii="Arial" w:cs="Arial" w:eastAsia="Arial" w:hAnsi="Arial"/>
          <w:sz w:val="21"/>
          <w:szCs w:val="21"/>
          <w:color w:val="auto"/>
        </w:rPr>
        <w:t>The Bank is primarily involved in real estate, commercial, agricultural and consumer lending activities with customers throughout Texas and Eastern New Mexico. We have a collateral concentration, as 64.3% of our loans held for investment were secured by real property as of June 30, 2019, compared to 64.9% as of December 31, 2018.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205" w:lineRule="exact"/>
        <w:rPr>
          <w:sz w:val="20"/>
          <w:szCs w:val="20"/>
          <w:color w:val="auto"/>
        </w:rPr>
      </w:pPr>
    </w:p>
    <w:p>
      <w:pPr>
        <w:ind w:right="40" w:firstLine="486"/>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5" w:lineRule="exact"/>
        <w:rPr>
          <w:sz w:val="20"/>
          <w:szCs w:val="20"/>
          <w:color w:val="auto"/>
        </w:rPr>
      </w:pPr>
    </w:p>
    <w:p>
      <w:pPr>
        <w:ind w:right="20" w:firstLine="486"/>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w:t>
      </w:r>
      <w:r>
        <w:rPr>
          <w:rFonts w:ascii="Arial" w:cs="Arial" w:eastAsia="Arial" w:hAnsi="Arial"/>
          <w:sz w:val="21"/>
          <w:szCs w:val="21"/>
          <w:i w:val="1"/>
          <w:iCs w:val="1"/>
          <w:color w:val="auto"/>
        </w:rPr>
        <w:t xml:space="preserve"> </w:t>
      </w:r>
      <w:r>
        <w:rPr>
          <w:rFonts w:ascii="Arial" w:cs="Arial" w:eastAsia="Arial" w:hAnsi="Arial"/>
          <w:sz w:val="21"/>
          <w:szCs w:val="21"/>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2" w:lineRule="exact"/>
        <w:rPr>
          <w:sz w:val="20"/>
          <w:szCs w:val="20"/>
          <w:color w:val="auto"/>
        </w:rPr>
      </w:pPr>
    </w:p>
    <w:p>
      <w:pPr>
        <w:ind w:right="140" w:firstLine="486"/>
        <w:spacing w:after="0"/>
        <w:rPr>
          <w:sz w:val="20"/>
          <w:szCs w:val="20"/>
          <w:color w:val="auto"/>
        </w:rPr>
      </w:pPr>
      <w:r>
        <w:rPr>
          <w:rFonts w:ascii="Arial" w:cs="Arial" w:eastAsia="Arial" w:hAnsi="Arial"/>
          <w:sz w:val="22"/>
          <w:szCs w:val="22"/>
          <w:color w:val="auto"/>
        </w:rPr>
        <w:t>Commercial real estate loans decreased $4.4 million, or 0.81%, to $533.7 million as of June 30, 2019 from $538.0 million as of December 31, 2018. The decrease in commercial real estate loans during this period was mostly driven by the early payoff of one loan totaling $10.4 million, offset by organic loan growth.</w:t>
      </w:r>
    </w:p>
    <w:p>
      <w:pPr>
        <w:spacing w:after="0" w:line="213" w:lineRule="exact"/>
        <w:rPr>
          <w:sz w:val="20"/>
          <w:szCs w:val="20"/>
          <w:color w:val="auto"/>
        </w:rPr>
      </w:pPr>
    </w:p>
    <w:p>
      <w:pPr>
        <w:ind w:right="80" w:firstLine="486"/>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borrower’s 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pacing w:after="0" w:line="189" w:lineRule="exact"/>
        <w:rPr>
          <w:sz w:val="20"/>
          <w:szCs w:val="20"/>
          <w:color w:val="auto"/>
        </w:rPr>
      </w:pPr>
    </w:p>
    <w:p>
      <w:pPr>
        <w:ind w:right="60" w:firstLine="486"/>
        <w:spacing w:after="0" w:line="297" w:lineRule="auto"/>
        <w:rPr>
          <w:sz w:val="20"/>
          <w:szCs w:val="20"/>
          <w:color w:val="auto"/>
        </w:rPr>
      </w:pPr>
      <w:r>
        <w:rPr>
          <w:rFonts w:ascii="Arial" w:cs="Arial" w:eastAsia="Arial" w:hAnsi="Arial"/>
          <w:sz w:val="19"/>
          <w:szCs w:val="19"/>
          <w:color w:val="auto"/>
        </w:rPr>
        <w:t>Commercial specialized loans decreased $10.8 million, or 3.6%, to $294.2 million as of June 30, 2019 from $305.0 million as of December 31, 2018. This decrease was primarily due to a net reduction of $3.1 million from seasonal annual paydowns on agricultural production loans, as well as one large revolving line of credit having $4.5 million less outstanding at June 30, 2019.</w:t>
      </w:r>
    </w:p>
    <w:p>
      <w:pPr>
        <w:sectPr>
          <w:pgSz w:w="11900" w:h="16838" w:orient="portrait"/>
          <w:cols w:equalWidth="0" w:num="1">
            <w:col w:w="11420"/>
          </w:cols>
          <w:pgMar w:left="240" w:top="121" w:right="239" w:bottom="0" w:gutter="0" w:footer="0" w:header="0"/>
        </w:sectPr>
      </w:pPr>
    </w:p>
    <w:bookmarkStart w:id="45" w:name="page46"/>
    <w:bookmarkEnd w:id="45"/>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60" w:firstLine="486"/>
        <w:spacing w:after="0"/>
        <w:rPr>
          <w:sz w:val="20"/>
          <w:szCs w:val="20"/>
          <w:color w:val="auto"/>
        </w:rPr>
      </w:pPr>
      <w:r>
        <w:rPr>
          <w:rFonts w:ascii="Arial" w:cs="Arial" w:eastAsia="Arial" w:hAnsi="Arial"/>
          <w:sz w:val="22"/>
          <w:szCs w:val="22"/>
          <w:color w:val="auto"/>
        </w:rPr>
        <w:t>Commercial general loans decreased $36.3 million, or 8.5%, to $391.4 million as of June 30, 2019 from $427.7 million as of December 31, 2018. The decrease in commercial general loans was primarily due to the early payoff of three relationships totaling $34.9 million during 2019.</w:t>
      </w:r>
    </w:p>
    <w:p>
      <w:pPr>
        <w:spacing w:after="0" w:line="213" w:lineRule="exact"/>
        <w:rPr>
          <w:sz w:val="20"/>
          <w:szCs w:val="20"/>
          <w:color w:val="auto"/>
        </w:rPr>
      </w:pPr>
    </w:p>
    <w:p>
      <w:pPr>
        <w:ind w:right="100" w:firstLine="486"/>
        <w:spacing w:after="0" w:line="249" w:lineRule="auto"/>
        <w:rPr>
          <w:sz w:val="20"/>
          <w:szCs w:val="20"/>
          <w:color w:val="auto"/>
        </w:rPr>
      </w:pPr>
      <w:r>
        <w:rPr>
          <w:rFonts w:ascii="Arial" w:cs="Arial" w:eastAsia="Arial" w:hAnsi="Arial"/>
          <w:sz w:val="21"/>
          <w:szCs w:val="21"/>
          <w:i w:val="1"/>
          <w:iCs w:val="1"/>
          <w:color w:val="auto"/>
        </w:rPr>
        <w:t>Consumer</w:t>
      </w:r>
      <w:r>
        <w:rPr>
          <w:rFonts w:ascii="Arial" w:cs="Arial" w:eastAsia="Arial" w:hAnsi="Arial"/>
          <w:sz w:val="21"/>
          <w:szCs w:val="21"/>
          <w:color w:val="auto"/>
        </w:rPr>
        <w:t>. We utilize a computer-based credit scoring analysis to supplement our policies and procedures in underwriting</w:t>
      </w:r>
      <w:r>
        <w:rPr>
          <w:rFonts w:ascii="Arial" w:cs="Arial" w:eastAsia="Arial" w:hAnsi="Arial"/>
          <w:sz w:val="21"/>
          <w:szCs w:val="21"/>
          <w:i w:val="1"/>
          <w:iCs w:val="1"/>
          <w:color w:val="auto"/>
        </w:rPr>
        <w:t xml:space="preserve"> </w:t>
      </w:r>
      <w:r>
        <w:rPr>
          <w:rFonts w:ascii="Arial" w:cs="Arial" w:eastAsia="Arial" w:hAnsi="Arial"/>
          <w:sz w:val="21"/>
          <w:szCs w:val="21"/>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206" w:lineRule="exact"/>
        <w:rPr>
          <w:sz w:val="20"/>
          <w:szCs w:val="20"/>
          <w:color w:val="auto"/>
        </w:rPr>
      </w:pPr>
    </w:p>
    <w:p>
      <w:pPr>
        <w:ind w:right="100" w:firstLine="486"/>
        <w:spacing w:after="0" w:line="236" w:lineRule="auto"/>
        <w:rPr>
          <w:sz w:val="20"/>
          <w:szCs w:val="20"/>
          <w:color w:val="auto"/>
        </w:rPr>
      </w:pPr>
      <w:r>
        <w:rPr>
          <w:rFonts w:ascii="Arial" w:cs="Arial" w:eastAsia="Arial" w:hAnsi="Arial"/>
          <w:sz w:val="22"/>
          <w:szCs w:val="22"/>
          <w:color w:val="auto"/>
        </w:rPr>
        <w:t>Consumer and other loans increased $18.9 million, or 3.1%, to $626.9 million as of June 30, 2019, from $608.0 million as of December 31, 2018. The increases in these loans were primarily a result of expanded lending in the auto loan portfolio in the Lubbock/South Plains market as well as an increase in 1-4 family residential loans. As of June 30, 2019, our consumer loan portfolio was comprised of $348.6 million in 1-4 family residential loans, $206.8 million in indirect auto loans, and $71.6 million in other consumer loans.</w:t>
      </w:r>
    </w:p>
    <w:p>
      <w:pPr>
        <w:spacing w:after="0" w:line="215" w:lineRule="exact"/>
        <w:rPr>
          <w:sz w:val="20"/>
          <w:szCs w:val="20"/>
          <w:color w:val="auto"/>
        </w:rPr>
      </w:pPr>
    </w:p>
    <w:p>
      <w:pPr>
        <w:ind w:right="200" w:firstLine="486"/>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ind w:right="240" w:firstLine="486"/>
        <w:spacing w:after="0"/>
        <w:rPr>
          <w:sz w:val="20"/>
          <w:szCs w:val="20"/>
          <w:color w:val="auto"/>
        </w:rPr>
      </w:pPr>
      <w:r>
        <w:rPr>
          <w:rFonts w:ascii="Arial" w:cs="Arial" w:eastAsia="Arial" w:hAnsi="Arial"/>
          <w:sz w:val="22"/>
          <w:szCs w:val="22"/>
          <w:color w:val="auto"/>
        </w:rPr>
        <w:t>Construction loans increased $11.0 million, or 14.1%, to $89.4 million as of June 30, 2019 from $78.4 million as of December 31, 2018. The increase resulted from continued organic growth, especially in our Lubbock/South Plains and Dallas/Ft. Worth markets.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486"/>
        <w:spacing w:after="0" w:line="273" w:lineRule="auto"/>
        <w:rPr>
          <w:sz w:val="20"/>
          <w:szCs w:val="20"/>
          <w:color w:val="auto"/>
        </w:rPr>
      </w:pPr>
      <w:r>
        <w:rPr>
          <w:rFonts w:ascii="Arial" w:cs="Arial" w:eastAsia="Arial" w:hAnsi="Arial"/>
          <w:sz w:val="19"/>
          <w:szCs w:val="19"/>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9" w:lineRule="exact"/>
        <w:rPr>
          <w:sz w:val="20"/>
          <w:szCs w:val="20"/>
          <w:color w:val="auto"/>
        </w:rPr>
      </w:pPr>
    </w:p>
    <w:p>
      <w:pPr>
        <w:ind w:right="600" w:firstLine="486"/>
        <w:spacing w:after="0" w:line="251" w:lineRule="auto"/>
        <w:rPr>
          <w:sz w:val="20"/>
          <w:szCs w:val="20"/>
          <w:color w:val="auto"/>
        </w:rPr>
      </w:pPr>
      <w:r>
        <w:rPr>
          <w:rFonts w:ascii="Arial" w:cs="Arial" w:eastAsia="Arial" w:hAnsi="Arial"/>
          <w:sz w:val="22"/>
          <w:szCs w:val="22"/>
          <w:color w:val="auto"/>
        </w:rPr>
        <w:t>The allowance for loan losses was $24.2 million at June 30, 2019, compared to $23.1 million at December 31, 2018, an increase of $1.0 million, or 4.5%.</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Beginning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5"/>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Beginning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June 30, 2018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Beginning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Beginning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40" w:firstLine="486"/>
        <w:spacing w:after="0" w:line="273" w:lineRule="auto"/>
        <w:rPr>
          <w:sz w:val="20"/>
          <w:szCs w:val="20"/>
          <w:color w:val="auto"/>
        </w:rPr>
      </w:pPr>
      <w:r>
        <w:rPr>
          <w:rFonts w:ascii="Arial" w:cs="Arial" w:eastAsia="Arial" w:hAnsi="Arial"/>
          <w:sz w:val="19"/>
          <w:szCs w:val="19"/>
          <w:color w:val="auto"/>
        </w:rPr>
        <w:t>Net charge-offs totaled $85,000 and were 0.02% (annualized) of average loans outstanding for the three months ended June 30, 2019, compared to $1.8 million and 0.38% for the three months ended June 30, 2018. Net charge-offs totaled $438,000 and were 0.05% (annualized) of average loans outstanding for the six months ended June 30, 2019, compared to $2.1 million and</w:t>
      </w:r>
    </w:p>
    <w:p>
      <w:pPr>
        <w:spacing w:after="0" w:line="2" w:lineRule="exact"/>
        <w:rPr>
          <w:sz w:val="20"/>
          <w:szCs w:val="20"/>
          <w:color w:val="auto"/>
        </w:rPr>
      </w:pPr>
    </w:p>
    <w:p>
      <w:pPr>
        <w:jc w:val="both"/>
        <w:ind w:right="160"/>
        <w:spacing w:after="0" w:line="287" w:lineRule="auto"/>
        <w:rPr>
          <w:sz w:val="20"/>
          <w:szCs w:val="20"/>
          <w:color w:val="auto"/>
        </w:rPr>
      </w:pPr>
      <w:r>
        <w:rPr>
          <w:rFonts w:ascii="Arial" w:cs="Arial" w:eastAsia="Arial" w:hAnsi="Arial"/>
          <w:sz w:val="19"/>
          <w:szCs w:val="19"/>
          <w:color w:val="auto"/>
        </w:rPr>
        <w:t>0.22% for the six months ended June 30, 2018. The decrease in net charge-offs for both comparisons was primarily the result of a $1.4 million charge-off on a commercial real estate relationship during the second quarter of 2018. The allowance for loan losses as a percentage of loans held for investment was 1.25% at June 30, 2019 and 1.18% at December 31, 2018.</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486"/>
        <w:spacing w:after="0"/>
        <w:rPr>
          <w:sz w:val="20"/>
          <w:szCs w:val="20"/>
          <w:color w:val="auto"/>
        </w:rPr>
      </w:pPr>
      <w:r>
        <w:rPr>
          <w:rFonts w:ascii="Arial" w:cs="Arial" w:eastAsia="Arial" w:hAnsi="Arial"/>
          <w:sz w:val="22"/>
          <w:szCs w:val="22"/>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jc w:val="right"/>
              <w:ind w:right="885"/>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2018</w:t>
            </w: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380" w:type="dxa"/>
            <w:vAlign w:val="bottom"/>
            <w:gridSpan w:val="2"/>
          </w:tcPr>
          <w:p>
            <w:pPr>
              <w:jc w:val="right"/>
              <w:ind w:right="565"/>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60" w:type="dxa"/>
            <w:vAlign w:val="bottom"/>
          </w:tcPr>
          <w:p>
            <w:pPr>
              <w:jc w:val="right"/>
              <w:ind w:right="65"/>
              <w:spacing w:after="0"/>
              <w:rPr>
                <w:sz w:val="20"/>
                <w:szCs w:val="20"/>
                <w:color w:val="auto"/>
              </w:rPr>
            </w:pPr>
            <w:r>
              <w:rPr>
                <w:rFonts w:ascii="Arial" w:cs="Arial" w:eastAsia="Arial" w:hAnsi="Arial"/>
                <w:sz w:val="15"/>
                <w:szCs w:val="15"/>
                <w:b w:val="1"/>
                <w:bCs w:val="1"/>
                <w:color w:val="auto"/>
                <w:w w:val="74"/>
              </w:rPr>
              <w:t>in</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580" w:type="dxa"/>
            <w:vAlign w:val="bottom"/>
            <w:tcBorders>
              <w:righ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Consumer: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Construction</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20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Quality</w:t>
      </w:r>
    </w:p>
    <w:p>
      <w:pPr>
        <w:spacing w:after="0" w:line="233" w:lineRule="exact"/>
        <w:rPr>
          <w:sz w:val="20"/>
          <w:szCs w:val="20"/>
          <w:color w:val="auto"/>
        </w:rPr>
      </w:pPr>
    </w:p>
    <w:p>
      <w:pPr>
        <w:ind w:right="240" w:firstLine="486"/>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5" w:lineRule="exact"/>
        <w:rPr>
          <w:sz w:val="20"/>
          <w:szCs w:val="20"/>
          <w:color w:val="auto"/>
        </w:rPr>
      </w:pPr>
    </w:p>
    <w:p>
      <w:pPr>
        <w:ind w:firstLine="486"/>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89" w:lineRule="exact"/>
        <w:rPr>
          <w:sz w:val="20"/>
          <w:szCs w:val="20"/>
          <w:color w:val="auto"/>
        </w:rPr>
      </w:pPr>
    </w:p>
    <w:p>
      <w:pPr>
        <w:ind w:right="580" w:firstLine="486"/>
        <w:spacing w:after="0" w:line="328" w:lineRule="auto"/>
        <w:rPr>
          <w:sz w:val="20"/>
          <w:szCs w:val="20"/>
          <w:color w:val="auto"/>
        </w:rPr>
      </w:pPr>
      <w:r>
        <w:rPr>
          <w:rFonts w:ascii="Arial" w:cs="Arial" w:eastAsia="Arial" w:hAnsi="Arial"/>
          <w:sz w:val="19"/>
          <w:szCs w:val="19"/>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32" w:lineRule="exact"/>
        <w:rPr>
          <w:sz w:val="20"/>
          <w:szCs w:val="20"/>
          <w:color w:val="auto"/>
        </w:rPr>
      </w:pPr>
    </w:p>
    <w:p>
      <w:pPr>
        <w:ind w:right="180" w:firstLine="486"/>
        <w:spacing w:after="0" w:line="251"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Nonaccrual loans: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8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Consumer: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Construction</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nonaccrual loans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Other real estate owned</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nonperforming assets</w:t>
            </w:r>
          </w:p>
        </w:tc>
        <w:tc>
          <w:tcPr>
            <w:tcW w:w="1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1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(1) Restructured loans, nonaccrual, are included in nonaccrual loans which are a component of nonperforming loans.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486"/>
        <w:spacing w:after="0" w:line="235" w:lineRule="auto"/>
        <w:rPr>
          <w:sz w:val="20"/>
          <w:szCs w:val="20"/>
          <w:color w:val="auto"/>
        </w:rPr>
      </w:pPr>
      <w:r>
        <w:rPr>
          <w:rFonts w:ascii="Arial" w:cs="Arial" w:eastAsia="Arial" w:hAnsi="Arial"/>
          <w:sz w:val="22"/>
          <w:szCs w:val="22"/>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15" w:lineRule="exact"/>
        <w:rPr>
          <w:sz w:val="20"/>
          <w:szCs w:val="20"/>
          <w:color w:val="auto"/>
        </w:rPr>
      </w:pPr>
    </w:p>
    <w:p>
      <w:pPr>
        <w:ind w:right="120" w:firstLine="486"/>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6" w:lineRule="exact"/>
        <w:rPr>
          <w:sz w:val="20"/>
          <w:szCs w:val="20"/>
          <w:color w:val="auto"/>
        </w:rPr>
      </w:pPr>
    </w:p>
    <w:p>
      <w:pPr>
        <w:ind w:right="1240" w:firstLine="486"/>
        <w:spacing w:after="0" w:line="328" w:lineRule="auto"/>
        <w:rPr>
          <w:sz w:val="20"/>
          <w:szCs w:val="20"/>
          <w:color w:val="auto"/>
        </w:rPr>
      </w:pPr>
      <w:r>
        <w:rPr>
          <w:rFonts w:ascii="Arial" w:cs="Arial" w:eastAsia="Arial" w:hAnsi="Arial"/>
          <w:sz w:val="19"/>
          <w:szCs w:val="19"/>
          <w:color w:val="auto"/>
        </w:rPr>
        <w:t>We had no loans restructured as TDRs during the first six months of 2019 or 2018. TDRs are excluded from our nonperforming loans unless they otherwise meet the definition of nonaccrual loans or past due 90 days or more.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ind w:right="120" w:firstLine="486"/>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08" w:lineRule="exact"/>
        <w:rPr>
          <w:sz w:val="20"/>
          <w:szCs w:val="20"/>
          <w:color w:val="auto"/>
        </w:rPr>
      </w:pPr>
    </w:p>
    <w:p>
      <w:pPr>
        <w:ind w:right="200" w:firstLine="486"/>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206" w:lineRule="exact"/>
        <w:rPr>
          <w:sz w:val="20"/>
          <w:szCs w:val="20"/>
          <w:color w:val="auto"/>
        </w:rPr>
      </w:pPr>
    </w:p>
    <w:p>
      <w:pPr>
        <w:ind w:right="420" w:firstLine="486"/>
        <w:spacing w:after="0" w:line="251" w:lineRule="auto"/>
        <w:rPr>
          <w:sz w:val="20"/>
          <w:szCs w:val="20"/>
          <w:color w:val="auto"/>
        </w:rPr>
      </w:pPr>
      <w:r>
        <w:rPr>
          <w:rFonts w:ascii="Arial" w:cs="Arial" w:eastAsia="Arial" w:hAnsi="Arial"/>
          <w:sz w:val="22"/>
          <w:szCs w:val="22"/>
          <w:color w:val="auto"/>
        </w:rPr>
        <w:t>The following table summarizes the fair value of the securities portfolio as of the dates presented. As of these dates, there were no securities classified as held-to-maturity.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June 30, 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center"/>
              <w:ind w:left="370"/>
              <w:spacing w:after="0"/>
              <w:rPr>
                <w:sz w:val="20"/>
                <w:szCs w:val="20"/>
                <w:color w:val="auto"/>
              </w:rPr>
            </w:pPr>
            <w:r>
              <w:rPr>
                <w:rFonts w:ascii="Arial" w:cs="Arial" w:eastAsia="Arial" w:hAnsi="Arial"/>
                <w:sz w:val="18"/>
                <w:szCs w:val="18"/>
                <w:b w:val="1"/>
                <w:bCs w:val="1"/>
                <w:color w:val="auto"/>
                <w:w w:val="88"/>
              </w:rPr>
              <w:t>December 31, 2018</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1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18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Gain/(Loss)</w:t>
            </w:r>
          </w:p>
        </w:tc>
        <w:tc>
          <w:tcPr>
            <w:tcW w:w="0" w:type="dxa"/>
            <w:vAlign w:val="bottom"/>
          </w:tcPr>
          <w:p>
            <w:pPr>
              <w:spacing w:after="0"/>
              <w:rPr>
                <w:sz w:val="1"/>
                <w:szCs w:val="1"/>
                <w:color w:val="auto"/>
              </w:rPr>
            </w:pPr>
          </w:p>
        </w:tc>
      </w:tr>
      <w:tr>
        <w:trPr>
          <w:trHeight w:val="234"/>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(Dollars in</w:t>
            </w:r>
          </w:p>
        </w:tc>
        <w:tc>
          <w:tcPr>
            <w:tcW w:w="2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31,990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32,205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184,267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38,589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39,799</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jc w:val="right"/>
              <w:ind w:right="16"/>
              <w:spacing w:after="0"/>
              <w:rPr>
                <w:sz w:val="20"/>
                <w:szCs w:val="20"/>
                <w:color w:val="auto"/>
              </w:rPr>
            </w:pPr>
            <w:r>
              <w:rPr>
                <w:rFonts w:ascii="Arial" w:cs="Arial" w:eastAsia="Arial" w:hAnsi="Arial"/>
                <w:sz w:val="14"/>
                <w:szCs w:val="14"/>
                <w:color w:val="auto"/>
                <w:w w:val="76"/>
              </w:rPr>
              <w:t>47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80" w:firstLine="486"/>
        <w:spacing w:after="0" w:line="282" w:lineRule="auto"/>
        <w:rPr>
          <w:sz w:val="20"/>
          <w:szCs w:val="20"/>
          <w:color w:val="auto"/>
        </w:rPr>
      </w:pPr>
      <w:r>
        <w:rPr>
          <w:rFonts w:ascii="Arial" w:cs="Arial" w:eastAsia="Arial" w:hAnsi="Arial"/>
          <w:sz w:val="19"/>
          <w:szCs w:val="19"/>
          <w:color w:val="auto"/>
        </w:rPr>
        <w:t>Certain securities have fair values less than amortized cost and, therefore, contain unrealized losses. At June 30, 2019,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5" w:lineRule="exact"/>
        <w:rPr>
          <w:sz w:val="20"/>
          <w:szCs w:val="20"/>
          <w:color w:val="auto"/>
        </w:rPr>
      </w:pPr>
    </w:p>
    <w:p>
      <w:pPr>
        <w:jc w:val="both"/>
        <w:ind w:right="420" w:firstLine="486"/>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June 30, 2019</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60" w:type="dxa"/>
            <w:vAlign w:val="bottom"/>
          </w:tcPr>
          <w:p>
            <w:pPr>
              <w:spacing w:after="0"/>
              <w:rPr>
                <w:sz w:val="17"/>
                <w:szCs w:val="17"/>
                <w:color w:val="auto"/>
              </w:rPr>
            </w:pPr>
          </w:p>
        </w:tc>
        <w:tc>
          <w:tcPr>
            <w:tcW w:w="21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Due in One Year or Less</w:t>
            </w:r>
          </w:p>
        </w:tc>
        <w:tc>
          <w:tcPr>
            <w:tcW w:w="18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6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Through Ten Years</w:t>
            </w:r>
          </w:p>
        </w:tc>
        <w:tc>
          <w:tcPr>
            <w:tcW w:w="16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10,105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20,674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Mortgage-backed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151,291</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2"/>
        </w:trPr>
        <w:tc>
          <w:tcPr>
            <w:tcW w:w="226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300"/>
              <w:spacing w:after="0"/>
              <w:rPr>
                <w:sz w:val="20"/>
                <w:szCs w:val="20"/>
                <w:color w:val="auto"/>
              </w:rPr>
            </w:pPr>
            <w:r>
              <w:rPr>
                <w:rFonts w:ascii="Arial" w:cs="Arial" w:eastAsia="Arial" w:hAnsi="Arial"/>
                <w:sz w:val="18"/>
                <w:szCs w:val="18"/>
                <w:color w:val="auto"/>
              </w:rPr>
              <w:t>amortizing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37,986</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209,951</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December 31, 2018</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60" w:type="dxa"/>
            <w:vAlign w:val="bottom"/>
          </w:tcPr>
          <w:p>
            <w:pPr>
              <w:spacing w:after="0"/>
              <w:rPr>
                <w:sz w:val="17"/>
                <w:szCs w:val="17"/>
                <w:color w:val="auto"/>
              </w:rPr>
            </w:pPr>
          </w:p>
        </w:tc>
        <w:tc>
          <w:tcPr>
            <w:tcW w:w="21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Due in One Year or Less</w:t>
            </w:r>
          </w:p>
        </w:tc>
        <w:tc>
          <w:tcPr>
            <w:tcW w:w="18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6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Through Ten Years</w:t>
            </w:r>
          </w:p>
        </w:tc>
        <w:tc>
          <w:tcPr>
            <w:tcW w:w="16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8,995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22,740</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Mortgage-backed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152,133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2"/>
        </w:trPr>
        <w:tc>
          <w:tcPr>
            <w:tcW w:w="226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300"/>
              <w:spacing w:after="0"/>
              <w:rPr>
                <w:sz w:val="20"/>
                <w:szCs w:val="20"/>
                <w:color w:val="auto"/>
              </w:rPr>
            </w:pPr>
            <w:r>
              <w:rPr>
                <w:rFonts w:ascii="Arial" w:cs="Arial" w:eastAsia="Arial" w:hAnsi="Arial"/>
                <w:sz w:val="18"/>
                <w:szCs w:val="18"/>
                <w:color w:val="auto"/>
              </w:rPr>
              <w:t>amortizing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39,799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214,672</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2.94%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00" w:firstLine="486"/>
        <w:spacing w:after="0" w:line="287" w:lineRule="auto"/>
        <w:rPr>
          <w:sz w:val="20"/>
          <w:szCs w:val="20"/>
          <w:color w:val="auto"/>
        </w:rPr>
      </w:pPr>
      <w:r>
        <w:rPr>
          <w:rFonts w:ascii="Arial" w:cs="Arial" w:eastAsia="Arial" w:hAnsi="Arial"/>
          <w:sz w:val="19"/>
          <w:szCs w:val="19"/>
          <w:color w:val="auto"/>
        </w:rPr>
        <w:t>Our securities portfolio decreased $74.6 million, or 22.1%, to $263.6 million at June 30, 2019, compared to $338.2 million at December 31, 2018. The decrease was due to $75.0 million in short-term U.S. Treasury securities maturing during the second quarter of 2019. The proceeds of these maturities was not reinvested as of June 30, 2019 but is on deposit in the Company’s interest-bearing deposit account with the Federal Reserve Bank of Dallas (the “Federal Reserve”).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ind w:right="240" w:firstLine="486"/>
        <w:spacing w:after="0" w:line="252" w:lineRule="auto"/>
        <w:rPr>
          <w:sz w:val="20"/>
          <w:szCs w:val="20"/>
          <w:color w:val="auto"/>
        </w:rPr>
      </w:pPr>
      <w:r>
        <w:rPr>
          <w:rFonts w:ascii="Arial" w:cs="Arial" w:eastAsia="Arial" w:hAnsi="Arial"/>
          <w:sz w:val="21"/>
          <w:szCs w:val="21"/>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01" w:lineRule="exact"/>
        <w:rPr>
          <w:sz w:val="20"/>
          <w:szCs w:val="20"/>
          <w:color w:val="auto"/>
        </w:rPr>
      </w:pPr>
    </w:p>
    <w:p>
      <w:pPr>
        <w:ind w:right="560" w:firstLine="486"/>
        <w:spacing w:after="0" w:line="258" w:lineRule="auto"/>
        <w:rPr>
          <w:sz w:val="20"/>
          <w:szCs w:val="20"/>
          <w:color w:val="auto"/>
        </w:rPr>
      </w:pPr>
      <w:r>
        <w:rPr>
          <w:rFonts w:ascii="Arial" w:cs="Arial" w:eastAsia="Arial" w:hAnsi="Arial"/>
          <w:sz w:val="21"/>
          <w:szCs w:val="21"/>
          <w:color w:val="auto"/>
        </w:rPr>
        <w:t>Total deposits at June 30, 2019 were $2.28 billion, representing an increase of $4.4 million, or 0.2%, compared to $2.28 billion at December 31, 2018. As of June 30, 2019, 22.5% of total deposits were comprised of noninterest-bearing demand accounts, 63.7% of interest-bearing non-maturity accounts and 13.8% of time deposits.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shows the deposit mix as of the dates presented: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19"/>
                <w:szCs w:val="19"/>
                <w:color w:val="auto"/>
              </w:rPr>
            </w:pPr>
          </w:p>
        </w:tc>
        <w:tc>
          <w:tcPr>
            <w:tcW w:w="24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4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513,383</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NOW and other transaction accounts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259,111</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277,041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and other savings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1,193,619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1,178,809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315,745</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311,537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r>
      <w:tr>
        <w:trPr>
          <w:trHeight w:val="27"/>
        </w:trPr>
        <w:tc>
          <w:tcPr>
            <w:tcW w:w="4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2,281,858</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22" w:right="239" w:bottom="90" w:gutter="0" w:footer="0" w:header="0"/>
        </w:sectPr>
      </w:pPr>
    </w:p>
    <w:bookmarkStart w:id="53" w:name="page54"/>
    <w:bookmarkEnd w:id="53"/>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following tables set forth the remaining maturity of time deposits of $100,000 and greater as of the date indicated:</w:t>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17145</wp:posOffset>
            </wp:positionV>
            <wp:extent cx="42024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Time deposits $100,000 or greater with remaining maturity of:</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After three months through six months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After six months through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775"/>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775"/>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18" w:lineRule="exact"/>
        <w:rPr>
          <w:sz w:val="20"/>
          <w:szCs w:val="20"/>
          <w:color w:val="auto"/>
        </w:rPr>
      </w:pPr>
    </w:p>
    <w:p>
      <w:pPr>
        <w:ind w:left="665" w:hanging="665"/>
        <w:spacing w:after="0"/>
        <w:tabs>
          <w:tab w:leader="none" w:pos="6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58,874</w:t>
      </w:r>
    </w:p>
    <w:p>
      <w:pPr>
        <w:spacing w:after="0" w:line="46" w:lineRule="exact"/>
        <w:rPr>
          <w:rFonts w:ascii="Arial" w:cs="Arial" w:eastAsia="Arial" w:hAnsi="Arial"/>
          <w:sz w:val="16"/>
          <w:szCs w:val="16"/>
          <w:color w:val="auto"/>
        </w:rPr>
      </w:pPr>
    </w:p>
    <w:p>
      <w:pPr>
        <w:ind w:left="665"/>
        <w:spacing w:after="0"/>
        <w:rPr>
          <w:rFonts w:ascii="Arial" w:cs="Arial" w:eastAsia="Arial" w:hAnsi="Arial"/>
          <w:sz w:val="16"/>
          <w:szCs w:val="16"/>
          <w:color w:val="auto"/>
        </w:rPr>
      </w:pPr>
      <w:r>
        <w:rPr>
          <w:rFonts w:ascii="Arial" w:cs="Arial" w:eastAsia="Arial" w:hAnsi="Arial"/>
          <w:sz w:val="16"/>
          <w:szCs w:val="16"/>
          <w:color w:val="auto"/>
        </w:rPr>
        <w:t>22,019</w:t>
      </w:r>
    </w:p>
    <w:p>
      <w:pPr>
        <w:spacing w:after="0" w:line="32" w:lineRule="exact"/>
        <w:rPr>
          <w:rFonts w:ascii="Arial" w:cs="Arial" w:eastAsia="Arial" w:hAnsi="Arial"/>
          <w:sz w:val="16"/>
          <w:szCs w:val="16"/>
          <w:color w:val="auto"/>
        </w:rPr>
      </w:pPr>
    </w:p>
    <w:p>
      <w:pPr>
        <w:ind w:left="665"/>
        <w:spacing w:after="0"/>
        <w:rPr>
          <w:rFonts w:ascii="Arial" w:cs="Arial" w:eastAsia="Arial" w:hAnsi="Arial"/>
          <w:sz w:val="16"/>
          <w:szCs w:val="16"/>
          <w:color w:val="auto"/>
        </w:rPr>
      </w:pPr>
      <w:r>
        <w:rPr>
          <w:rFonts w:ascii="Arial" w:cs="Arial" w:eastAsia="Arial" w:hAnsi="Arial"/>
          <w:sz w:val="16"/>
          <w:szCs w:val="16"/>
          <w:color w:val="auto"/>
        </w:rPr>
        <w:t>45,276</w:t>
      </w:r>
    </w:p>
    <w:p>
      <w:pPr>
        <w:spacing w:after="0" w:line="32" w:lineRule="exact"/>
        <w:rPr>
          <w:sz w:val="20"/>
          <w:szCs w:val="20"/>
          <w:color w:val="auto"/>
        </w:rPr>
      </w:pPr>
    </w:p>
    <w:p>
      <w:pPr>
        <w:ind w:left="605"/>
        <w:spacing w:after="0"/>
        <w:rPr>
          <w:sz w:val="20"/>
          <w:szCs w:val="20"/>
          <w:color w:val="auto"/>
        </w:rPr>
      </w:pPr>
      <w:r>
        <w:rPr>
          <w:rFonts w:ascii="Arial" w:cs="Arial" w:eastAsia="Arial" w:hAnsi="Arial"/>
          <w:sz w:val="15"/>
          <w:szCs w:val="15"/>
          <w:color w:val="auto"/>
        </w:rPr>
        <w:t>111,611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372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36" w:lineRule="exact"/>
        <w:rPr>
          <w:sz w:val="20"/>
          <w:szCs w:val="20"/>
          <w:color w:val="auto"/>
        </w:rPr>
      </w:pPr>
    </w:p>
    <w:p>
      <w:pPr>
        <w:ind w:left="585" w:hanging="585"/>
        <w:spacing w:after="0"/>
        <w:tabs>
          <w:tab w:leader="none" w:pos="5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237,780</w:t>
      </w:r>
    </w:p>
    <w:p>
      <w:pPr>
        <w:spacing w:after="0" w:line="222" w:lineRule="exact"/>
        <w:rPr>
          <w:sz w:val="20"/>
          <w:szCs w:val="20"/>
          <w:color w:val="auto"/>
        </w:rPr>
      </w:pPr>
    </w:p>
    <w:p>
      <w:pPr>
        <w:sectPr>
          <w:pgSz w:w="11900" w:h="16838" w:orient="portrait"/>
          <w:cols w:equalWidth="0" w:num="2">
            <w:col w:w="7715" w:space="720"/>
            <w:col w:w="2945"/>
          </w:cols>
          <w:pgMar w:left="240" w:top="122" w:right="27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ind w:right="580" w:firstLine="486"/>
        <w:spacing w:after="0" w:line="251"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0" w:lineRule="exact"/>
        <w:rPr>
          <w:sz w:val="20"/>
          <w:szCs w:val="20"/>
          <w:color w:val="auto"/>
        </w:rPr>
      </w:pPr>
    </w:p>
    <w:p>
      <w:pPr>
        <w:ind w:right="20" w:firstLine="486"/>
        <w:spacing w:after="0" w:line="275" w:lineRule="auto"/>
        <w:rPr>
          <w:sz w:val="20"/>
          <w:szCs w:val="20"/>
          <w:color w:val="auto"/>
        </w:rPr>
      </w:pPr>
      <w:r>
        <w:rPr>
          <w:rFonts w:ascii="Arial" w:cs="Arial" w:eastAsia="Arial" w:hAnsi="Arial"/>
          <w:sz w:val="19"/>
          <w:szCs w:val="19"/>
          <w:i w:val="1"/>
          <w:iCs w:val="1"/>
          <w:color w:val="auto"/>
        </w:rPr>
        <w:t>FHLB Advances</w:t>
      </w:r>
      <w:r>
        <w:rPr>
          <w:rFonts w:ascii="Arial" w:cs="Arial" w:eastAsia="Arial" w:hAnsi="Arial"/>
          <w:sz w:val="19"/>
          <w:szCs w:val="19"/>
          <w:color w:val="auto"/>
        </w:rPr>
        <w:t>. The FHLB allows us to borrow, both short and long-term, on a blanket floating lien status collateralized by</w:t>
      </w:r>
      <w:r>
        <w:rPr>
          <w:rFonts w:ascii="Arial" w:cs="Arial" w:eastAsia="Arial" w:hAnsi="Arial"/>
          <w:sz w:val="19"/>
          <w:szCs w:val="19"/>
          <w:i w:val="1"/>
          <w:iCs w:val="1"/>
          <w:color w:val="auto"/>
        </w:rPr>
        <w:t xml:space="preserve"> </w:t>
      </w:r>
      <w:r>
        <w:rPr>
          <w:rFonts w:ascii="Arial" w:cs="Arial" w:eastAsia="Arial" w:hAnsi="Arial"/>
          <w:sz w:val="19"/>
          <w:szCs w:val="19"/>
          <w:color w:val="auto"/>
        </w:rPr>
        <w:t>first mortgage loans and commercial real estate loans as well as FHLB stock. At June 30, 2019 and December 31, 2018, we had maximum borrowing capacity from the FHLB of $740.3 million and $724.8 million, respectively. We had $199.0 million in off-balance sheet liabilities for letters of credit at June 30, 2019 and December 31, 2018. These letters of credit are used to pledge as collateral for public funds deposits. We had no short-term FHLB borrowings as of June 30, 2019 and December 31, 2018. We had long-term FHLB borrowings of $95.0 million as of June 30, 2019 and December 31, 2018. As of June 30, 2019 and December 31, 2018, total remaining borrowing capacity of $437.3 million and $425.4 million, respectively, was available under this arrangement. Our current FHLB borrowings mature within seven years.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sets forth our FHLB borrowings as of and for the periods indicated: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92"/>
              </w:rPr>
              <w:t>As of/For the Three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As of/For the Six</w:t>
            </w:r>
          </w:p>
        </w:tc>
        <w:tc>
          <w:tcPr>
            <w:tcW w:w="12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90"/>
              </w:rPr>
              <w:t>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r>
      <w:tr>
        <w:trPr>
          <w:trHeight w:val="241"/>
        </w:trPr>
        <w:tc>
          <w:tcPr>
            <w:tcW w:w="4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16"/>
        </w:trPr>
        <w:tc>
          <w:tcPr>
            <w:tcW w:w="4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95,000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i w:val="1"/>
          <w:iCs w:val="1"/>
          <w:color w:val="auto"/>
        </w:rPr>
        <w:t>Federal Reserve Bank of Dallas</w:t>
      </w:r>
      <w:r>
        <w:rPr>
          <w:rFonts w:ascii="Arial" w:cs="Arial" w:eastAsia="Arial" w:hAnsi="Arial"/>
          <w:sz w:val="22"/>
          <w:szCs w:val="22"/>
          <w:color w:val="auto"/>
        </w:rPr>
        <w:t>. The Bank has a line of credit with the Federal Reserve. The amount of the line is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on a monthly basis by the Federal Reserve. The line is collateralized by a blanket floating lien on all agriculture, commercial and consumer loans. The amount of the line was $534.0 million and $531.9 million at June 30, 2019 and December 31, 2018, respectively. The line was not used during the three or six month periods ended June 30, 2019 or the three or six month periods ended June 30, 2018.</w:t>
      </w:r>
    </w:p>
    <w:p>
      <w:pPr>
        <w:spacing w:after="0" w:line="215" w:lineRule="exact"/>
        <w:rPr>
          <w:sz w:val="20"/>
          <w:szCs w:val="20"/>
          <w:color w:val="auto"/>
        </w:rPr>
      </w:pPr>
    </w:p>
    <w:p>
      <w:pPr>
        <w:ind w:right="400" w:firstLine="486"/>
        <w:spacing w:after="0" w:line="297" w:lineRule="auto"/>
        <w:rPr>
          <w:sz w:val="20"/>
          <w:szCs w:val="20"/>
          <w:color w:val="auto"/>
        </w:rPr>
      </w:pPr>
      <w:r>
        <w:rPr>
          <w:rFonts w:ascii="Arial" w:cs="Arial" w:eastAsia="Arial" w:hAnsi="Arial"/>
          <w:sz w:val="19"/>
          <w:szCs w:val="19"/>
          <w:i w:val="1"/>
          <w:iCs w:val="1"/>
          <w:color w:val="auto"/>
        </w:rPr>
        <w:t>Lines of Credit</w:t>
      </w:r>
      <w:r>
        <w:rPr>
          <w:rFonts w:ascii="Arial" w:cs="Arial" w:eastAsia="Arial" w:hAnsi="Arial"/>
          <w:sz w:val="19"/>
          <w:szCs w:val="19"/>
          <w:color w:val="auto"/>
        </w:rPr>
        <w:t>. The Bank has uncollateralized lines of credit with multiple banks as a source of funding for liquidity</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The total amount of the lines was $135.0 million as of June 30, 2019 and December 31, 2018. The lines were not used during the three or six month periods ended June 30, 2019 or the three or six month periods ending June 30, 2018.</w:t>
      </w:r>
    </w:p>
    <w:p>
      <w:pPr>
        <w:spacing w:after="0" w:line="161"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i w:val="1"/>
          <w:iCs w:val="1"/>
          <w:color w:val="auto"/>
        </w:rPr>
        <w:t>Subordinated Debt Securities</w:t>
      </w:r>
      <w:r>
        <w:rPr>
          <w:rFonts w:ascii="Arial" w:cs="Arial" w:eastAsia="Arial" w:hAnsi="Arial"/>
          <w:sz w:val="19"/>
          <w:szCs w:val="19"/>
          <w:color w:val="auto"/>
        </w:rPr>
        <w:t>. In January 2014, the Company issued $20.9 million in subordinated debt securities. These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securities pay interest quarterly and mature January 2024. There was $14.4 million issued at an initial rate of 5.0% and $6.5 million issued at an initial rate of 4.0% at June 30, 2019. These rates are fixed for five years from issuance and then float at the </w:t>
      </w:r>
      <w:r>
        <w:rPr>
          <w:rFonts w:ascii="Arial" w:cs="Arial" w:eastAsia="Arial" w:hAnsi="Arial"/>
          <w:sz w:val="19"/>
          <w:szCs w:val="19"/>
          <w:i w:val="1"/>
          <w:iCs w:val="1"/>
          <w:color w:val="auto"/>
        </w:rPr>
        <w:t>Wall Street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Journal </w:t>
      </w:r>
      <w:r>
        <w:rPr>
          <w:rFonts w:ascii="Arial" w:cs="Arial" w:eastAsia="Arial" w:hAnsi="Arial"/>
          <w:sz w:val="19"/>
          <w:szCs w:val="19"/>
          <w:color w:val="auto"/>
        </w:rPr>
        <w:t>prime rate, with a floor of 4.0% and a ceiling of 7.5%. The securities are unsecured and could be called by the Company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redeemed.</w:t>
      </w:r>
    </w:p>
    <w:p>
      <w:pPr>
        <w:sectPr>
          <w:pgSz w:w="11900" w:h="16838" w:orient="portrait"/>
          <w:cols w:equalWidth="0" w:num="1">
            <w:col w:w="11380"/>
          </w:cols>
          <w:pgMar w:left="240" w:top="122" w:right="279" w:bottom="1440" w:gutter="0" w:footer="0" w:header="0"/>
          <w:type w:val="continuous"/>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486"/>
        <w:spacing w:after="0" w:line="246" w:lineRule="auto"/>
        <w:rPr>
          <w:sz w:val="20"/>
          <w:szCs w:val="20"/>
          <w:color w:val="auto"/>
        </w:rPr>
      </w:pPr>
      <w:r>
        <w:rPr>
          <w:rFonts w:ascii="Arial" w:cs="Arial" w:eastAsia="Arial" w:hAnsi="Arial"/>
          <w:sz w:val="21"/>
          <w:szCs w:val="21"/>
          <w:color w:val="auto"/>
        </w:rPr>
        <w:t xml:space="preserve">In December 2018, the Company issued $26.5 million in subordinated debt securities, including $13.4 million issued in exchange for our previously issued notes as described above. Securities 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21"/>
          <w:szCs w:val="21"/>
          <w:i w:val="1"/>
          <w:iCs w:val="1"/>
          <w:color w:val="auto"/>
        </w:rPr>
        <w:t>Wall Street Journal</w:t>
      </w:r>
      <w:r>
        <w:rPr>
          <w:rFonts w:ascii="Arial" w:cs="Arial" w:eastAsia="Arial" w:hAnsi="Arial"/>
          <w:sz w:val="21"/>
          <w:szCs w:val="21"/>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The balance of subordinated debt securities as of June 30, 2019 was $26.5 million, compared to $34.0 million as of December 31, 2018.</w:t>
      </w:r>
    </w:p>
    <w:p>
      <w:pPr>
        <w:spacing w:after="0" w:line="208" w:lineRule="exact"/>
        <w:rPr>
          <w:sz w:val="20"/>
          <w:szCs w:val="20"/>
          <w:color w:val="auto"/>
        </w:rPr>
      </w:pPr>
    </w:p>
    <w:p>
      <w:pPr>
        <w:ind w:firstLine="486"/>
        <w:spacing w:after="0" w:line="246" w:lineRule="auto"/>
        <w:rPr>
          <w:sz w:val="20"/>
          <w:szCs w:val="20"/>
          <w:color w:val="auto"/>
        </w:rPr>
      </w:pPr>
      <w:r>
        <w:rPr>
          <w:rFonts w:ascii="Arial" w:cs="Arial" w:eastAsia="Arial" w:hAnsi="Arial"/>
          <w:sz w:val="21"/>
          <w:szCs w:val="21"/>
          <w:i w:val="1"/>
          <w:iCs w:val="1"/>
          <w:color w:val="auto"/>
        </w:rPr>
        <w:t>Junior Subordinated Deferrable Interest Debentures and Trust Preferred Securities</w:t>
      </w:r>
      <w:r>
        <w:rPr>
          <w:rFonts w:ascii="Arial" w:cs="Arial" w:eastAsia="Arial" w:hAnsi="Arial"/>
          <w:sz w:val="21"/>
          <w:szCs w:val="21"/>
          <w:color w:val="auto"/>
        </w:rPr>
        <w:t>. Between March 2004 and June 2007,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2019 and December 31, 2018.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208" w:lineRule="exact"/>
        <w:rPr>
          <w:sz w:val="20"/>
          <w:szCs w:val="20"/>
          <w:color w:val="auto"/>
        </w:rPr>
      </w:pPr>
    </w:p>
    <w:p>
      <w:pPr>
        <w:ind w:right="60" w:firstLine="486"/>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Stated</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of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Trust Preferred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Preferred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and</w:t>
            </w:r>
          </w:p>
        </w:tc>
        <w:tc>
          <w:tcPr>
            <w:tcW w:w="0" w:type="dxa"/>
            <w:vAlign w:val="bottom"/>
          </w:tcPr>
          <w:p>
            <w:pPr>
              <w:spacing w:after="0"/>
              <w:rPr>
                <w:sz w:val="1"/>
                <w:szCs w:val="1"/>
                <w:color w:val="auto"/>
              </w:rPr>
            </w:pPr>
          </w:p>
        </w:tc>
      </w:tr>
      <w:tr>
        <w:trPr>
          <w:trHeight w:val="244"/>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Debentures</w:t>
            </w:r>
          </w:p>
        </w:tc>
        <w:tc>
          <w:tcPr>
            <w:tcW w:w="1140" w:type="dxa"/>
            <w:vAlign w:val="bottom"/>
          </w:tcPr>
          <w:p>
            <w:pPr>
              <w:jc w:val="center"/>
              <w:spacing w:after="0" w:line="245"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(1)</w:t>
            </w:r>
          </w:p>
        </w:tc>
        <w:tc>
          <w:tcPr>
            <w:tcW w:w="100" w:type="dxa"/>
            <w:vAlign w:val="bottom"/>
          </w:tcPr>
          <w:p>
            <w:pPr>
              <w:spacing w:after="0"/>
              <w:rPr>
                <w:sz w:val="21"/>
                <w:szCs w:val="21"/>
                <w:color w:val="auto"/>
              </w:rPr>
            </w:pPr>
          </w:p>
        </w:tc>
        <w:tc>
          <w:tcPr>
            <w:tcW w:w="1700" w:type="dxa"/>
            <w:vAlign w:val="bottom"/>
          </w:tcPr>
          <w:p>
            <w:pPr>
              <w:jc w:val="center"/>
              <w:spacing w:after="0" w:line="245"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500" w:type="dxa"/>
            <w:vAlign w:val="bottom"/>
            <w:gridSpan w:val="4"/>
          </w:tcPr>
          <w:p>
            <w:pPr>
              <w:jc w:val="center"/>
              <w:ind w:right="631"/>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2004</w:t>
            </w:r>
          </w:p>
        </w:tc>
        <w:tc>
          <w:tcPr>
            <w:tcW w:w="2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210"/>
              <w:spacing w:after="0" w:line="201" w:lineRule="exact"/>
              <w:rPr>
                <w:sz w:val="20"/>
                <w:szCs w:val="20"/>
                <w:color w:val="auto"/>
              </w:rPr>
            </w:pPr>
            <w:r>
              <w:rPr>
                <w:rFonts w:ascii="Arial" w:cs="Arial" w:eastAsia="Arial" w:hAnsi="Arial"/>
                <w:sz w:val="18"/>
                <w:szCs w:val="18"/>
                <w:color w:val="auto"/>
                <w:w w:val="90"/>
              </w:rPr>
              <w:t>10,310</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2034</w:t>
            </w:r>
          </w:p>
        </w:tc>
        <w:tc>
          <w:tcPr>
            <w:tcW w:w="1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3-mo. LIBOR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+ 265 bps; 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20,000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90"/>
              </w:rPr>
              <w:t>20,619</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2035</w:t>
            </w:r>
          </w:p>
        </w:tc>
        <w:tc>
          <w:tcPr>
            <w:tcW w:w="18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3-mo. LIBOR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+ 139 bps; 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210"/>
              <w:spacing w:after="0" w:line="201" w:lineRule="exact"/>
              <w:rPr>
                <w:sz w:val="20"/>
                <w:szCs w:val="20"/>
                <w:color w:val="auto"/>
              </w:rPr>
            </w:pPr>
            <w:r>
              <w:rPr>
                <w:rFonts w:ascii="Arial" w:cs="Arial" w:eastAsia="Arial" w:hAnsi="Arial"/>
                <w:sz w:val="18"/>
                <w:szCs w:val="18"/>
                <w:color w:val="auto"/>
                <w:w w:val="90"/>
              </w:rPr>
              <w:t>15,464</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2037</w:t>
            </w:r>
          </w:p>
        </w:tc>
        <w:tc>
          <w:tcPr>
            <w:tcW w:w="1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3-mo. LIBOR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+ 150 bps; 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46,393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 as of last reset date, prior to June 30, 2019.</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ind w:right="220" w:firstLine="486"/>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5" w:lineRule="exact"/>
        <w:rPr>
          <w:sz w:val="20"/>
          <w:szCs w:val="20"/>
          <w:color w:val="auto"/>
        </w:rPr>
      </w:pPr>
    </w:p>
    <w:p>
      <w:pPr>
        <w:ind w:right="180" w:firstLine="486"/>
        <w:spacing w:after="0" w:line="279" w:lineRule="auto"/>
        <w:rPr>
          <w:sz w:val="20"/>
          <w:szCs w:val="20"/>
          <w:color w:val="auto"/>
        </w:rPr>
      </w:pPr>
      <w:r>
        <w:rPr>
          <w:rFonts w:ascii="Arial" w:cs="Arial" w:eastAsia="Arial" w:hAnsi="Arial"/>
          <w:sz w:val="19"/>
          <w:szCs w:val="19"/>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78" w:lineRule="exact"/>
        <w:rPr>
          <w:sz w:val="20"/>
          <w:szCs w:val="20"/>
          <w:color w:val="auto"/>
        </w:rPr>
      </w:pPr>
    </w:p>
    <w:p>
      <w:pPr>
        <w:ind w:right="320" w:firstLine="486"/>
        <w:spacing w:after="0" w:line="238" w:lineRule="auto"/>
        <w:rPr>
          <w:sz w:val="20"/>
          <w:szCs w:val="20"/>
          <w:color w:val="auto"/>
        </w:rPr>
      </w:pPr>
      <w:r>
        <w:rPr>
          <w:rFonts w:ascii="Arial" w:cs="Arial" w:eastAsia="Arial" w:hAnsi="Arial"/>
          <w:sz w:val="22"/>
          <w:szCs w:val="22"/>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212" w:lineRule="exact"/>
        <w:rPr>
          <w:sz w:val="20"/>
          <w:szCs w:val="20"/>
          <w:color w:val="auto"/>
        </w:rPr>
      </w:pPr>
    </w:p>
    <w:p>
      <w:pPr>
        <w:ind w:right="60" w:firstLine="486"/>
        <w:spacing w:after="0" w:line="238" w:lineRule="auto"/>
        <w:rPr>
          <w:sz w:val="20"/>
          <w:szCs w:val="20"/>
          <w:color w:val="auto"/>
        </w:rPr>
      </w:pPr>
      <w:r>
        <w:rPr>
          <w:rFonts w:ascii="Arial" w:cs="Arial" w:eastAsia="Arial" w:hAnsi="Arial"/>
          <w:sz w:val="22"/>
          <w:szCs w:val="22"/>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ind w:firstLine="486"/>
        <w:spacing w:after="0" w:line="244" w:lineRule="auto"/>
        <w:rPr>
          <w:sz w:val="20"/>
          <w:szCs w:val="20"/>
          <w:color w:val="auto"/>
        </w:rPr>
      </w:pPr>
      <w:r>
        <w:rPr>
          <w:rFonts w:ascii="Arial" w:cs="Arial" w:eastAsia="Arial" w:hAnsi="Arial"/>
          <w:sz w:val="21"/>
          <w:szCs w:val="21"/>
          <w:color w:val="auto"/>
        </w:rPr>
        <w:t>Total shareholders’ equity increased to $291.1 million as of June 30, 2019, compared to $212.8 million as of December 31, 2018, taking into account the ESOP Repurchase Right Termination, an increase of $78.3 million, or 36.8%. The increase from December 31, 2018 was primarily the result of $51.4 million in net proceeds from the Company’s initial public offering, $10.9 million in net earnings for the six months ended June 30, 2019, a change in accumulated other comprehensive income of $5.8 million, related to unrealized gains/losses on securities available for sale, and the modification of the Company’s cash-settled stock appreciation rights that previously were accounted for as liabilities to equity classified stock options in the amount of $11.5 million. The increases were offset by a $1.3 million cumulative-effect adjustment to retained earnings for a change in accounting principle. This related to the Company changing the accounting method for its stock appreciation rights from the intrinsic value method to fair value. See Note 1, Summary of Significant Accounting Policies, in the notes to the consolidated financial statements included elsewhere in this Form 10-Q regarding further details on this change. See also Note 6, Stock-Based Compensation for further details on the modification.</w:t>
      </w:r>
    </w:p>
    <w:p>
      <w:pPr>
        <w:sectPr>
          <w:pgSz w:w="11900" w:h="16838" w:orient="portrait"/>
          <w:cols w:equalWidth="0" w:num="1">
            <w:col w:w="11420"/>
          </w:cols>
          <w:pgMar w:left="240" w:top="114" w:right="239" w:bottom="781"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781"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486"/>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86" w:lineRule="exact"/>
        <w:rPr>
          <w:sz w:val="20"/>
          <w:szCs w:val="20"/>
          <w:color w:val="auto"/>
        </w:rPr>
      </w:pPr>
    </w:p>
    <w:p>
      <w:pPr>
        <w:ind w:right="80" w:firstLine="486"/>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5"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At June 30, 2019, both we and the Bank met all the capital adequacy requirements to which we and the Bank were subject. At June 30, 2019, the Bank was “well capitalized” under the regulatory framework for prompt corrective action. Management believes that no conditions or events have occurred since June 30, 2019 that would materially adversely change such capital classifications. From time to time, we may need to raise additional capital to support our and the Bank’s further growth and to maintain our “well capitalized” status.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presents our and the Bank’s regulatory capital ratios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ind w:left="52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2018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80" w:type="dxa"/>
            <w:vAlign w:val="bottom"/>
          </w:tcPr>
          <w:p>
            <w:pPr>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28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383,399</w:t>
            </w:r>
          </w:p>
        </w:tc>
        <w:tc>
          <w:tcPr>
            <w:tcW w:w="1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309,798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332,575</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84"/>
              </w:rPr>
              <w:t>15.39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287,575</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4"/>
              </w:rPr>
              <w:t>13.31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332,575</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84"/>
              </w:rPr>
              <w:t>12.10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305,013</w:t>
            </w:r>
          </w:p>
        </w:tc>
        <w:tc>
          <w:tcPr>
            <w:tcW w:w="15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14.12%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294,572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280,662</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84"/>
              </w:rPr>
              <w:t>12.99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280,662</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4"/>
              </w:rPr>
              <w:t>12.99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280,662</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84"/>
              </w:rPr>
              <w:t>10.21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4"/>
                <w:szCs w:val="14"/>
                <w:color w:val="auto"/>
              </w:rPr>
              <w:t>53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ind w:right="60" w:firstLine="486"/>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5" w:lineRule="exact"/>
        <w:rPr>
          <w:sz w:val="20"/>
          <w:szCs w:val="20"/>
          <w:color w:val="auto"/>
        </w:rPr>
      </w:pPr>
    </w:p>
    <w:p>
      <w:pPr>
        <w:ind w:right="20" w:firstLine="486"/>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8" w:lineRule="exact"/>
        <w:rPr>
          <w:sz w:val="20"/>
          <w:szCs w:val="20"/>
          <w:color w:val="auto"/>
        </w:rPr>
      </w:pPr>
    </w:p>
    <w:p>
      <w:pPr>
        <w:ind w:right="20" w:firstLine="486"/>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ind w:left="24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386,601</w:t>
            </w:r>
          </w:p>
        </w:tc>
        <w:tc>
          <w:tcPr>
            <w:tcW w:w="4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346,245</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394,796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280" w:firstLine="486"/>
        <w:spacing w:after="0" w:line="297" w:lineRule="auto"/>
        <w:rPr>
          <w:sz w:val="20"/>
          <w:szCs w:val="20"/>
          <w:color w:val="auto"/>
        </w:rPr>
      </w:pPr>
      <w:r>
        <w:rPr>
          <w:rFonts w:ascii="Arial" w:cs="Arial" w:eastAsia="Arial" w:hAnsi="Arial"/>
          <w:sz w:val="19"/>
          <w:szCs w:val="19"/>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161" w:lineRule="exact"/>
        <w:rPr>
          <w:sz w:val="20"/>
          <w:szCs w:val="20"/>
          <w:color w:val="auto"/>
        </w:rPr>
      </w:pPr>
    </w:p>
    <w:p>
      <w:pPr>
        <w:ind w:right="280" w:firstLine="486"/>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ind w:right="20" w:firstLine="486"/>
        <w:spacing w:after="0" w:line="297" w:lineRule="auto"/>
        <w:rPr>
          <w:sz w:val="20"/>
          <w:szCs w:val="20"/>
          <w:color w:val="auto"/>
        </w:rPr>
      </w:pPr>
      <w:r>
        <w:rPr>
          <w:rFonts w:ascii="Arial" w:cs="Arial" w:eastAsia="Arial" w:hAnsi="Arial"/>
          <w:sz w:val="19"/>
          <w:szCs w:val="19"/>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61" w:lineRule="exact"/>
        <w:rPr>
          <w:sz w:val="20"/>
          <w:szCs w:val="20"/>
          <w:color w:val="auto"/>
        </w:rPr>
      </w:pPr>
    </w:p>
    <w:p>
      <w:pPr>
        <w:ind w:right="60" w:firstLine="486"/>
        <w:spacing w:after="0" w:line="282" w:lineRule="auto"/>
        <w:rPr>
          <w:sz w:val="20"/>
          <w:szCs w:val="20"/>
          <w:color w:val="auto"/>
        </w:rPr>
      </w:pPr>
      <w:r>
        <w:rPr>
          <w:rFonts w:ascii="Arial" w:cs="Arial" w:eastAsia="Arial" w:hAnsi="Arial"/>
          <w:sz w:val="19"/>
          <w:szCs w:val="19"/>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ind w:right="140" w:firstLine="486"/>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ectPr>
          <w:pgSz w:w="11900" w:h="16838" w:orient="portrait"/>
          <w:cols w:equalWidth="0" w:num="1">
            <w:col w:w="11420"/>
          </w:cols>
          <w:pgMar w:left="240" w:top="1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86" w:lineRule="exact"/>
        <w:rPr>
          <w:sz w:val="20"/>
          <w:szCs w:val="20"/>
          <w:color w:val="auto"/>
        </w:rPr>
      </w:pPr>
    </w:p>
    <w:p>
      <w:pPr>
        <w:ind w:right="140" w:firstLine="486"/>
        <w:spacing w:after="0" w:line="246" w:lineRule="auto"/>
        <w:rPr>
          <w:sz w:val="20"/>
          <w:szCs w:val="20"/>
          <w:color w:val="auto"/>
        </w:rPr>
      </w:pPr>
      <w:r>
        <w:rPr>
          <w:rFonts w:ascii="Arial" w:cs="Arial" w:eastAsia="Arial" w:hAnsi="Arial"/>
          <w:sz w:val="21"/>
          <w:szCs w:val="21"/>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486"/>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5" w:lineRule="exact"/>
        <w:rPr>
          <w:sz w:val="20"/>
          <w:szCs w:val="20"/>
          <w:color w:val="auto"/>
        </w:rPr>
      </w:pPr>
    </w:p>
    <w:p>
      <w:pPr>
        <w:ind w:right="860" w:firstLine="486"/>
        <w:spacing w:after="0" w:line="251" w:lineRule="auto"/>
        <w:rPr>
          <w:sz w:val="20"/>
          <w:szCs w:val="20"/>
          <w:color w:val="auto"/>
        </w:rPr>
      </w:pPr>
      <w:r>
        <w:rPr>
          <w:rFonts w:ascii="Arial" w:cs="Arial" w:eastAsia="Arial" w:hAnsi="Arial"/>
          <w:sz w:val="22"/>
          <w:szCs w:val="22"/>
          <w:color w:val="auto"/>
        </w:rPr>
        <w:t>The following tables summarize the simulated change in net interest income over a 12-month horizon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December 31, 2018</w:t>
            </w:r>
          </w:p>
        </w:tc>
      </w:tr>
      <w:tr>
        <w:trPr>
          <w:trHeight w:val="198"/>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100" w:type="dxa"/>
            <w:vAlign w:val="bottom"/>
          </w:tcPr>
          <w:p>
            <w:pPr>
              <w:spacing w:after="0"/>
              <w:rPr>
                <w:sz w:val="17"/>
                <w:szCs w:val="17"/>
                <w:color w:val="auto"/>
              </w:rPr>
            </w:pPr>
          </w:p>
        </w:tc>
      </w:tr>
      <w:tr>
        <w:trPr>
          <w:trHeight w:val="216"/>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Change in</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Net</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w:t>
            </w:r>
          </w:p>
        </w:tc>
      </w:tr>
      <w:tr>
        <w:trPr>
          <w:trHeight w:val="241"/>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Income</w:t>
            </w:r>
          </w:p>
        </w:tc>
      </w:tr>
      <w:tr>
        <w:trPr>
          <w:trHeight w:val="216"/>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(0.39)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ind w:right="260" w:firstLine="486"/>
        <w:spacing w:after="0" w:line="238" w:lineRule="auto"/>
        <w:rPr>
          <w:sz w:val="20"/>
          <w:szCs w:val="20"/>
          <w:color w:val="auto"/>
        </w:rPr>
      </w:pPr>
      <w:r>
        <w:rPr>
          <w:rFonts w:ascii="Arial" w:cs="Arial" w:eastAsia="Arial" w:hAnsi="Arial"/>
          <w:sz w:val="22"/>
          <w:szCs w:val="22"/>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12" w:lineRule="exact"/>
        <w:rPr>
          <w:sz w:val="20"/>
          <w:szCs w:val="20"/>
          <w:color w:val="auto"/>
        </w:rPr>
      </w:pPr>
    </w:p>
    <w:p>
      <w:pPr>
        <w:ind w:right="340" w:firstLine="486"/>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ind w:right="40" w:firstLine="486"/>
        <w:spacing w:after="0" w:line="245" w:lineRule="auto"/>
        <w:rPr>
          <w:sz w:val="20"/>
          <w:szCs w:val="20"/>
          <w:color w:val="auto"/>
        </w:rPr>
      </w:pPr>
      <w:r>
        <w:rPr>
          <w:rFonts w:ascii="Arial" w:cs="Arial" w:eastAsia="Arial" w:hAnsi="Arial"/>
          <w:sz w:val="21"/>
          <w:szCs w:val="21"/>
          <w:color w:val="auto"/>
        </w:rPr>
        <w:t>Our accounting and reporting policies conform to GAAP and the prevailing practices in the banking industry. However, we also evaluate our performance based on certain additional financial measures discussed in this Form 10-Q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2"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The non-GAAP financial measures that we discuss in this Form 10-Q should not be considered in isolation or as a substitute for the most directly comparable or other financial measures calculated in accordance with GAAP. Moreover, the manner in which we calculate the non-GAAP financial measures that we discuss in this Form 10-Q may differ from that of other companies reporting measures with similar names. It is important to understand how other banking organizations calculate their financial measures with names similar to the non-GAAP financial measures we have discussed in this Form 10-Q when comparing such non-GAAP financial measures.</w:t>
      </w:r>
    </w:p>
    <w:p>
      <w:pPr>
        <w:spacing w:after="0" w:line="215" w:lineRule="exact"/>
        <w:rPr>
          <w:sz w:val="20"/>
          <w:szCs w:val="20"/>
          <w:color w:val="auto"/>
        </w:rPr>
      </w:pPr>
    </w:p>
    <w:p>
      <w:pPr>
        <w:ind w:right="60" w:firstLine="486"/>
        <w:spacing w:after="0" w:line="248" w:lineRule="auto"/>
        <w:rPr>
          <w:sz w:val="20"/>
          <w:szCs w:val="20"/>
          <w:color w:val="auto"/>
        </w:rPr>
      </w:pPr>
      <w:r>
        <w:rPr>
          <w:rFonts w:ascii="Arial" w:cs="Arial" w:eastAsia="Arial" w:hAnsi="Arial"/>
          <w:sz w:val="21"/>
          <w:szCs w:val="21"/>
          <w:i w:val="1"/>
          <w:iCs w:val="1"/>
          <w:color w:val="auto"/>
        </w:rPr>
        <w:t>Tangible Book Value Per Common Share</w:t>
      </w:r>
      <w:r>
        <w:rPr>
          <w:rFonts w:ascii="Arial" w:cs="Arial" w:eastAsia="Arial" w:hAnsi="Arial"/>
          <w:sz w:val="21"/>
          <w:szCs w:val="21"/>
          <w:color w:val="auto"/>
        </w:rPr>
        <w:t>. Tangible book value per share is a non-GAAP measure generally used by investors,</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ectPr>
          <w:pgSz w:w="11900" w:h="16838" w:orient="portrait"/>
          <w:cols w:equalWidth="0" w:num="1">
            <w:col w:w="11420"/>
          </w:cols>
          <w:pgMar w:left="240" w:top="122" w:right="239" w:bottom="673"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673"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40" w:firstLine="486"/>
        <w:spacing w:after="0" w:line="251" w:lineRule="auto"/>
        <w:rPr>
          <w:sz w:val="20"/>
          <w:szCs w:val="20"/>
          <w:color w:val="auto"/>
        </w:rPr>
      </w:pPr>
      <w:r>
        <w:rPr>
          <w:rFonts w:ascii="Arial" w:cs="Arial" w:eastAsia="Arial" w:hAnsi="Arial"/>
          <w:sz w:val="22"/>
          <w:szCs w:val="22"/>
          <w:color w:val="auto"/>
        </w:rPr>
        <w:t>As we did not have any goodwill or other intangible assets for the periods presented, our tangible book value per common share for such periods ended was the same as our respective book value per common share.</w:t>
      </w:r>
    </w:p>
    <w:p>
      <w:pPr>
        <w:spacing w:after="0" w:line="200" w:lineRule="exact"/>
        <w:rPr>
          <w:sz w:val="20"/>
          <w:szCs w:val="20"/>
          <w:color w:val="auto"/>
        </w:rPr>
      </w:pPr>
    </w:p>
    <w:p>
      <w:pPr>
        <w:ind w:firstLine="486"/>
        <w:spacing w:after="0" w:line="275" w:lineRule="auto"/>
        <w:rPr>
          <w:sz w:val="20"/>
          <w:szCs w:val="20"/>
          <w:color w:val="auto"/>
        </w:rPr>
      </w:pPr>
      <w:r>
        <w:rPr>
          <w:rFonts w:ascii="Arial" w:cs="Arial" w:eastAsia="Arial" w:hAnsi="Arial"/>
          <w:sz w:val="19"/>
          <w:szCs w:val="19"/>
          <w:i w:val="1"/>
          <w:iCs w:val="1"/>
          <w:color w:val="auto"/>
        </w:rPr>
        <w:t>Tangible Common Equity to Tangible Assets</w:t>
      </w:r>
      <w:r>
        <w:rPr>
          <w:rFonts w:ascii="Arial" w:cs="Arial" w:eastAsia="Arial" w:hAnsi="Arial"/>
          <w:sz w:val="19"/>
          <w:szCs w:val="19"/>
          <w:color w:val="auto"/>
        </w:rPr>
        <w:t>. Tangible common equity to tangible assets is a non-GAAP measure generally</w:t>
      </w:r>
      <w:r>
        <w:rPr>
          <w:rFonts w:ascii="Arial" w:cs="Arial" w:eastAsia="Arial" w:hAnsi="Arial"/>
          <w:sz w:val="19"/>
          <w:szCs w:val="19"/>
          <w:i w:val="1"/>
          <w:iCs w:val="1"/>
          <w:color w:val="auto"/>
        </w:rPr>
        <w:t xml:space="preserve"> </w:t>
      </w:r>
      <w:r>
        <w:rPr>
          <w:rFonts w:ascii="Arial" w:cs="Arial" w:eastAsia="Arial" w:hAnsi="Arial"/>
          <w:sz w:val="19"/>
          <w:szCs w:val="19"/>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185" w:lineRule="exact"/>
        <w:rPr>
          <w:sz w:val="20"/>
          <w:szCs w:val="20"/>
          <w:color w:val="auto"/>
        </w:rPr>
      </w:pPr>
    </w:p>
    <w:p>
      <w:pPr>
        <w:ind w:right="120" w:firstLine="486"/>
        <w:spacing w:after="0" w:line="274" w:lineRule="auto"/>
        <w:rPr>
          <w:sz w:val="20"/>
          <w:szCs w:val="20"/>
          <w:color w:val="auto"/>
        </w:rPr>
      </w:pPr>
      <w:r>
        <w:rPr>
          <w:rFonts w:ascii="Arial" w:cs="Arial" w:eastAsia="Arial" w:hAnsi="Arial"/>
          <w:sz w:val="21"/>
          <w:szCs w:val="21"/>
          <w:color w:val="auto"/>
        </w:rPr>
        <w:t>As we did not have any goodwill or other intangible assets for the periods presented, our tangible common equity to tangible assets for such periods ended was the same as our respective common shareholders’ equity to total assets.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80" w:lineRule="exact"/>
        <w:rPr>
          <w:sz w:val="20"/>
          <w:szCs w:val="20"/>
          <w:color w:val="auto"/>
        </w:rPr>
      </w:pPr>
    </w:p>
    <w:p>
      <w:pPr>
        <w:ind w:right="100" w:firstLine="486"/>
        <w:spacing w:after="0" w:line="248" w:lineRule="auto"/>
        <w:rPr>
          <w:sz w:val="20"/>
          <w:szCs w:val="20"/>
          <w:color w:val="auto"/>
        </w:rPr>
      </w:pPr>
      <w:r>
        <w:rPr>
          <w:rFonts w:ascii="Arial" w:cs="Arial" w:eastAsia="Arial" w:hAnsi="Arial"/>
          <w:sz w:val="21"/>
          <w:szCs w:val="21"/>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04" w:lineRule="exact"/>
        <w:rPr>
          <w:sz w:val="20"/>
          <w:szCs w:val="20"/>
          <w:color w:val="auto"/>
        </w:rPr>
      </w:pPr>
    </w:p>
    <w:p>
      <w:pPr>
        <w:ind w:right="60" w:firstLine="486"/>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June 30, 2019.</w:t>
      </w:r>
    </w:p>
    <w:p>
      <w:pPr>
        <w:spacing w:after="0" w:line="213" w:lineRule="exact"/>
        <w:rPr>
          <w:sz w:val="20"/>
          <w:szCs w:val="20"/>
          <w:color w:val="auto"/>
        </w:rPr>
      </w:pPr>
    </w:p>
    <w:p>
      <w:pPr>
        <w:ind w:right="160" w:firstLine="486"/>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ind w:right="80" w:firstLine="486"/>
        <w:spacing w:after="0" w:line="251"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w:t>
      </w:r>
      <w:r>
        <w:rPr>
          <w:rFonts w:ascii="Arial" w:cs="Arial" w:eastAsia="Arial" w:hAnsi="Arial"/>
          <w:sz w:val="22"/>
          <w:szCs w:val="22"/>
          <w:i w:val="1"/>
          <w:iCs w:val="1"/>
          <w:color w:val="auto"/>
        </w:rPr>
        <w:t xml:space="preserve"> </w:t>
      </w:r>
      <w:r>
        <w:rPr>
          <w:rFonts w:ascii="Arial" w:cs="Arial" w:eastAsia="Arial" w:hAnsi="Arial"/>
          <w:sz w:val="22"/>
          <w:szCs w:val="22"/>
          <w:color w:val="auto"/>
        </w:rPr>
        <w:t>all of which have original maturities within three months, as cash and cash equivalents.</w:t>
      </w:r>
    </w:p>
    <w:p>
      <w:pPr>
        <w:spacing w:after="0" w:line="200" w:lineRule="exact"/>
        <w:rPr>
          <w:sz w:val="20"/>
          <w:szCs w:val="20"/>
          <w:color w:val="auto"/>
        </w:rPr>
      </w:pPr>
    </w:p>
    <w:p>
      <w:pPr>
        <w:ind w:right="40" w:firstLine="486"/>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ectPr>
          <w:pgSz w:w="11900" w:h="16838" w:orient="portrait"/>
          <w:cols w:equalWidth="0" w:num="1">
            <w:col w:w="11400"/>
          </w:cols>
          <w:pgMar w:left="240" w:top="122" w:right="25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486"/>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5" w:lineRule="exact"/>
        <w:rPr>
          <w:sz w:val="20"/>
          <w:szCs w:val="20"/>
          <w:color w:val="auto"/>
        </w:rPr>
      </w:pPr>
    </w:p>
    <w:p>
      <w:pPr>
        <w:ind w:right="160" w:firstLine="486"/>
        <w:spacing w:after="0" w:line="282" w:lineRule="auto"/>
        <w:rPr>
          <w:sz w:val="20"/>
          <w:szCs w:val="20"/>
          <w:color w:val="auto"/>
        </w:rPr>
      </w:pPr>
      <w:r>
        <w:rPr>
          <w:rFonts w:ascii="Arial" w:cs="Arial" w:eastAsia="Arial" w:hAnsi="Arial"/>
          <w:sz w:val="19"/>
          <w:szCs w:val="19"/>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5" w:lineRule="exact"/>
        <w:rPr>
          <w:sz w:val="20"/>
          <w:szCs w:val="20"/>
          <w:color w:val="auto"/>
        </w:rPr>
      </w:pPr>
    </w:p>
    <w:p>
      <w:pPr>
        <w:ind w:right="300" w:firstLine="486"/>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8" w:lineRule="exact"/>
        <w:rPr>
          <w:sz w:val="20"/>
          <w:szCs w:val="20"/>
          <w:color w:val="auto"/>
        </w:rPr>
      </w:pPr>
    </w:p>
    <w:p>
      <w:pPr>
        <w:ind w:firstLine="486"/>
        <w:spacing w:after="0" w:line="275" w:lineRule="auto"/>
        <w:rPr>
          <w:sz w:val="20"/>
          <w:szCs w:val="20"/>
          <w:color w:val="auto"/>
        </w:rPr>
      </w:pPr>
      <w:r>
        <w:rPr>
          <w:rFonts w:ascii="Arial" w:cs="Arial" w:eastAsia="Arial" w:hAnsi="Arial"/>
          <w:sz w:val="19"/>
          <w:szCs w:val="19"/>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85" w:lineRule="exact"/>
        <w:rPr>
          <w:sz w:val="20"/>
          <w:szCs w:val="20"/>
          <w:color w:val="auto"/>
        </w:rPr>
      </w:pPr>
    </w:p>
    <w:p>
      <w:pPr>
        <w:ind w:right="40" w:firstLine="486"/>
        <w:spacing w:after="0" w:line="235" w:lineRule="auto"/>
        <w:rPr>
          <w:sz w:val="20"/>
          <w:szCs w:val="20"/>
          <w:color w:val="auto"/>
        </w:rPr>
      </w:pPr>
      <w:r>
        <w:rPr>
          <w:rFonts w:ascii="Arial" w:cs="Arial" w:eastAsia="Arial" w:hAnsi="Arial"/>
          <w:sz w:val="22"/>
          <w:szCs w:val="22"/>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ind w:right="100" w:firstLine="486"/>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486"/>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6"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ind w:right="620" w:firstLine="486"/>
        <w:spacing w:after="0" w:line="328" w:lineRule="auto"/>
        <w:rPr>
          <w:sz w:val="20"/>
          <w:szCs w:val="20"/>
          <w:color w:val="auto"/>
        </w:rPr>
      </w:pPr>
      <w:r>
        <w:rPr>
          <w:rFonts w:ascii="Arial" w:cs="Arial" w:eastAsia="Arial" w:hAnsi="Arial"/>
          <w:sz w:val="19"/>
          <w:szCs w:val="19"/>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49" w:lineRule="exact"/>
        <w:rPr>
          <w:sz w:val="20"/>
          <w:szCs w:val="20"/>
          <w:color w:val="auto"/>
        </w:rPr>
      </w:pPr>
    </w:p>
    <w:p>
      <w:pPr>
        <w:ind w:right="120" w:firstLine="486"/>
        <w:spacing w:after="0" w:line="282" w:lineRule="auto"/>
        <w:rPr>
          <w:sz w:val="20"/>
          <w:szCs w:val="20"/>
          <w:color w:val="auto"/>
        </w:rPr>
      </w:pPr>
      <w:r>
        <w:rPr>
          <w:rFonts w:ascii="Arial" w:cs="Arial" w:eastAsia="Arial" w:hAnsi="Arial"/>
          <w:sz w:val="19"/>
          <w:szCs w:val="19"/>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ind w:right="20" w:firstLine="486"/>
        <w:spacing w:after="0" w:line="247" w:lineRule="exact"/>
        <w:rPr>
          <w:sz w:val="20"/>
          <w:szCs w:val="20"/>
          <w:color w:val="auto"/>
        </w:rPr>
      </w:pPr>
      <w:r>
        <w:rPr>
          <w:rFonts w:ascii="Arial" w:cs="Arial" w:eastAsia="Arial" w:hAnsi="Arial"/>
          <w:sz w:val="19"/>
          <w:szCs w:val="19"/>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w:t>
      </w:r>
      <w:r>
        <w:rPr>
          <w:rFonts w:ascii="MS PGothic" w:cs="MS PGothic" w:eastAsia="MS PGothic" w:hAnsi="MS PGothic"/>
          <w:sz w:val="19"/>
          <w:szCs w:val="19"/>
          <w:color w:val="auto"/>
        </w:rPr>
        <w:t>‑</w:t>
      </w:r>
      <w:r>
        <w:rPr>
          <w:rFonts w:ascii="Arial" w:cs="Arial" w:eastAsia="Arial" w:hAnsi="Arial"/>
          <w:sz w:val="19"/>
          <w:szCs w:val="19"/>
          <w:color w:val="auto"/>
        </w:rPr>
        <w:t>15(e) and 15d</w:t>
      </w:r>
      <w:r>
        <w:rPr>
          <w:rFonts w:ascii="MS PGothic" w:cs="MS PGothic" w:eastAsia="MS PGothic" w:hAnsi="MS PGothic"/>
          <w:sz w:val="19"/>
          <w:szCs w:val="19"/>
          <w:color w:val="auto"/>
        </w:rPr>
        <w:t>‑</w:t>
      </w:r>
      <w:r>
        <w:rPr>
          <w:rFonts w:ascii="Arial" w:cs="Arial" w:eastAsia="Arial" w:hAnsi="Arial"/>
          <w:sz w:val="19"/>
          <w:szCs w:val="19"/>
          <w:color w:val="auto"/>
        </w:rPr>
        <w:t>15(e) under the Securities Exchange Act of 1934, as amended, or the Exchange Act) were effective as of the end of the period covered by this Form 10-Q.</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ind w:right="40" w:firstLine="486"/>
        <w:spacing w:after="0" w:line="258" w:lineRule="auto"/>
        <w:rPr>
          <w:sz w:val="20"/>
          <w:szCs w:val="20"/>
          <w:color w:val="auto"/>
        </w:rPr>
      </w:pPr>
      <w:r>
        <w:rPr>
          <w:rFonts w:ascii="Arial" w:cs="Arial" w:eastAsia="Arial" w:hAnsi="Arial"/>
          <w:sz w:val="21"/>
          <w:szCs w:val="21"/>
          <w:color w:val="auto"/>
        </w:rPr>
        <w:t>There were no changes in the Company’s internal control over financial reporting (as such term is defined in Rules 13a-15(f) and 15d-15(f) under the Exchange Act) that occurred during the three months ended June 30, 2019 that have materially affected, or are reasonably likely to materially affect,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right="20" w:firstLine="486"/>
        <w:spacing w:after="0" w:line="236" w:lineRule="auto"/>
        <w:rPr>
          <w:sz w:val="20"/>
          <w:szCs w:val="20"/>
          <w:color w:val="auto"/>
        </w:rPr>
      </w:pPr>
      <w:r>
        <w:rPr>
          <w:rFonts w:ascii="Arial" w:cs="Arial" w:eastAsia="Arial" w:hAnsi="Arial"/>
          <w:sz w:val="22"/>
          <w:szCs w:val="22"/>
          <w:color w:val="auto"/>
        </w:rPr>
        <w:t>The Company and its subsidiaries are subject to various legal actions, as described in the IPO Prospectus. There are no material developments in the legal actions described in the IPO Prospectus. Except as described in the IPO Prospectus,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ind w:right="140" w:firstLine="486"/>
        <w:spacing w:after="0" w:line="236" w:lineRule="auto"/>
        <w:rPr>
          <w:sz w:val="20"/>
          <w:szCs w:val="20"/>
          <w:color w:val="auto"/>
        </w:rPr>
      </w:pPr>
      <w:r>
        <w:rPr>
          <w:rFonts w:ascii="Arial" w:cs="Arial" w:eastAsia="Arial" w:hAnsi="Arial"/>
          <w:sz w:val="22"/>
          <w:szCs w:val="22"/>
          <w:color w:val="auto"/>
        </w:rPr>
        <w:t>In evaluating an investment in any of our securities, investors should consider carefully, among other things, information under the heading “Cautionary Note Regarding Forward-Looking Statements” in this Form 10-Q and the risk factors previously disclosed under the heading “Risk Factors” in our IPO Prospectus filed with the SEC on May 9, 2019 pursuant to Rule 424(b) of the Securities Act, in connection with the initial public offering of our common stock. There have been no material changes in the risk factors disclosed by the Company in its IPO Prospectus.</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ind w:firstLine="486"/>
        <w:spacing w:after="0" w:line="272" w:lineRule="auto"/>
        <w:rPr>
          <w:sz w:val="20"/>
          <w:szCs w:val="20"/>
          <w:color w:val="auto"/>
        </w:rPr>
      </w:pPr>
      <w:r>
        <w:rPr>
          <w:rFonts w:ascii="Arial" w:cs="Arial" w:eastAsia="Arial" w:hAnsi="Arial"/>
          <w:sz w:val="19"/>
          <w:szCs w:val="19"/>
          <w:color w:val="auto"/>
        </w:rPr>
        <w:t>We had no sales of equity securities by the Company during the period covered by this Form 10-Q that were not registered with the SEC under the Securities Act. In May 2019, we issued and sold 3,207,000 shares of our common stock, including 507,000 shares of common stock sold pursuant to the underwriters’ full exercise of their option to purchase additional shares, in our initial public offering at an offering price of $17.50 per share, for aggregate gross proceeds of $56.1 million before deducting underwriting discounts and offering expenses, and aggregate net proceeds of $51.4 million after deducting underwriting discounts and offering expenses. All of the shares issued and sold in the initial public offering were registered under the Securities Act pursuant to a Registration Statement on Form S-1 (File No. 333-230851), which was declared effective by the SEC on May 8, 2019. We made no payments to our directors, officers or persons owning ten percent or more of our common stock or to their associates, or to our affiliates in connection with the issuance and sale of the securities registered. Keefe, Bruyette &amp; Woods, Inc., a Stifel Company, and Sandler O’Neill + Partners, L.P. acted as joint book-running managers for the offering. The offering commenced on May 8, 2019, did not terminate until the sale of all of the shares offered, and was closed on May 13, 2019. There has been no material change in the planned use of proceeds from our initial public offering as described in our IPO Prospectus (File No. 333-230851), filed with the SEC on May 9, 2019 pursuant to Rule 424(b).</w:t>
      </w:r>
    </w:p>
    <w:p>
      <w:pPr>
        <w:sectPr>
          <w:pgSz w:w="11900" w:h="16838" w:orient="portrait"/>
          <w:cols w:equalWidth="0" w:num="1">
            <w:col w:w="11380"/>
          </w:cols>
          <w:pgMar w:left="240" w:top="122" w:right="279" w:bottom="835"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835"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 w:type="dxa"/>
            <w:vAlign w:val="bottom"/>
            <w:gridSpan w:val="2"/>
            <w:shd w:val="clear" w:color="auto" w:fill="CCEEFF"/>
          </w:tcPr>
          <w:p>
            <w:pPr>
              <w:spacing w:after="0" w:line="176" w:lineRule="exact"/>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Amended and Restated Certificate of Formation of South Plains Financial, Inc. (incorporated by reference to Exhibit 3.1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S-1 filed with the Commission on April 12, 2019) (File No. 333-230851)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Amended and Restated Bylaws of South Plains Financial, Inc. (incorporated by reference to Exhibit 3.2 to the Company’s Form S-1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the Commission on April 12, 2019) (File No. 333-230851)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The following material from South Plains Financial, Inc.’s Form 10-Q for the quarter ended June 30, 2019, formatted in XBRL (eXtensible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Business Reporting Language), filed herewith: (i) Consolidated Balance Sheets, (ii) Consolidated Statements of Comprehensive Income, (iii)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Consolidated Statements of Changes in Stockholders’ Equity, (iv) Consolidated Statements of Cash Flows, and (v) Notes to 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222222"/>
        </w:rPr>
      </w:pPr>
      <w:r>
        <w:rPr>
          <w:rFonts w:ascii="Arial" w:cs="Arial" w:eastAsia="Arial" w:hAnsi="Arial"/>
          <w:sz w:val="18"/>
          <w:szCs w:val="18"/>
          <w:color w:val="222222"/>
        </w:rPr>
        <w:t>Furnished with this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50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6280" w:val="left"/>
          <w:tab w:leader="none" w:pos="8280" w:val="left"/>
        </w:tabs>
        <w:rPr>
          <w:sz w:val="20"/>
          <w:szCs w:val="20"/>
          <w:color w:val="auto"/>
        </w:rPr>
      </w:pPr>
      <w:r>
        <w:rPr>
          <w:rFonts w:ascii="Arial" w:cs="Arial" w:eastAsia="Arial" w:hAnsi="Arial"/>
          <w:sz w:val="18"/>
          <w:szCs w:val="18"/>
          <w:color w:val="auto"/>
        </w:rPr>
        <w:t>Date:</w:t>
        <w:tab/>
        <w:t>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6280" w:val="left"/>
          <w:tab w:leader="none" w:pos="8220" w:val="left"/>
        </w:tabs>
        <w:rPr>
          <w:sz w:val="20"/>
          <w:szCs w:val="20"/>
          <w:color w:val="auto"/>
        </w:rPr>
      </w:pPr>
      <w:r>
        <w:rPr>
          <w:rFonts w:ascii="Arial" w:cs="Arial" w:eastAsia="Arial" w:hAnsi="Arial"/>
          <w:sz w:val="18"/>
          <w:szCs w:val="18"/>
          <w:color w:val="auto"/>
        </w:rPr>
        <w:t>Date:</w:t>
        <w:tab/>
        <w:t>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400" w:right="138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Form10-Q of South Plains Financial, Inc. for the quarter ended June 30, 2019;</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20" w:hanging="328"/>
        <w:spacing w:after="0" w:line="286"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400" w:right="138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for the quarter ended June 30, 2019;</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00" w:hanging="328"/>
        <w:spacing w:after="0" w:line="286"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340" w:right="5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18 U.S.C. SECTION 1350, AS ADOPTED PURSUANT TO</w:t>
      </w:r>
    </w:p>
    <w:p>
      <w:pPr>
        <w:ind w:left="290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2019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Date: August 14, 2019</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18 U.S.C. SECTION 1350, AS ADOPTED PURSUANT TO</w:t>
      </w:r>
    </w:p>
    <w:p>
      <w:pPr>
        <w:ind w:left="290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June 30, 2019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Date: August 14, 2019</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lowerRoman"/>
      <w:start w:val="2"/>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3"/>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69" Type="http://schemas.openxmlformats.org/officeDocument/2006/relationships/hyperlink" Target="http://www.sec.gov/Archives/edgar/data/1163668/000114036119007042/s002614x4_ex3-1.htm" TargetMode="External"/><Relationship Id="rId70" Type="http://schemas.openxmlformats.org/officeDocument/2006/relationships/hyperlink" Target="http://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2019-12-28T06:57:05Z</dcterms:created>
  <dcterms:modified xsi:type="dcterms:W3CDTF">2019-12-28T06:57:05Z</dcterms:modified>
</cp:coreProperties>
</file>