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132715</wp:posOffset>
            </wp:positionV>
            <wp:extent cx="8572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165100</wp:posOffset>
            </wp:positionV>
            <wp:extent cx="8572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660" w:right="1440" w:hanging="3652"/>
        <w:spacing w:after="0" w:line="500" w:lineRule="auto"/>
        <w:tabs>
          <w:tab w:leader="none" w:pos="66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780" w:right="1580" w:hanging="3772"/>
        <w:spacing w:after="0" w:line="500" w:lineRule="auto"/>
        <w:tabs>
          <w:tab w:leader="none" w:pos="49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to 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001-38895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156845</wp:posOffset>
            </wp:positionV>
            <wp:extent cx="8572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75-2453320</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5219 City Bank Parkway</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7"/>
              </w:rPr>
              <w:t>Lubbock, Texas</w:t>
            </w:r>
          </w:p>
        </w:tc>
        <w:tc>
          <w:tcPr>
            <w:tcW w:w="3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79407</w:t>
            </w:r>
          </w:p>
        </w:tc>
      </w:tr>
      <w:tr>
        <w:trPr>
          <w:trHeight w:val="234"/>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7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(806) 792-7101</w:t>
      </w:r>
    </w:p>
    <w:p>
      <w:pPr>
        <w:spacing w:after="0" w:line="22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$1.00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Emerging growth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1, 2024, the registrant had 16,389,659 shares of common stock, par value $1.00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00" w:type="dxa"/>
            <w:vAlign w:val="bottom"/>
          </w:tcPr>
          <w:p>
            <w:pPr>
              <w:spacing w:after="0"/>
              <w:rPr>
                <w:sz w:val="20"/>
                <w:szCs w:val="20"/>
                <w:color w:val="auto"/>
              </w:rPr>
            </w:pPr>
          </w:p>
        </w:tc>
      </w:tr>
      <w:tr>
        <w:trPr>
          <w:trHeight w:val="439"/>
        </w:trPr>
        <w:tc>
          <w:tcPr>
            <w:tcW w:w="7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9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2"/>
        </w:trPr>
        <w:tc>
          <w:tcPr>
            <w:tcW w:w="9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PART I.</w:t>
            </w:r>
          </w:p>
        </w:tc>
        <w:tc>
          <w:tcPr>
            <w:tcW w:w="9580" w:type="dxa"/>
            <w:vAlign w:val="bottom"/>
            <w:gridSpan w:val="19"/>
            <w:shd w:val="clear" w:color="auto" w:fill="CCEEFF"/>
          </w:tcPr>
          <w:p>
            <w:pPr>
              <w:ind w:left="200"/>
              <w:spacing w:after="0" w:line="142" w:lineRule="exact"/>
              <w:rPr>
                <w:sz w:val="20"/>
                <w:szCs w:val="20"/>
                <w:color w:val="auto"/>
              </w:rPr>
            </w:pPr>
            <w:r>
              <w:rPr>
                <w:rFonts w:ascii="Times New Roman" w:cs="Times New Roman" w:eastAsia="Times New Roman" w:hAnsi="Times New Roman"/>
                <w:sz w:val="16"/>
                <w:szCs w:val="16"/>
                <w:color w:val="0000EE"/>
              </w:rPr>
              <w:t>FINANCIAL INFORMATION</w:t>
            </w:r>
          </w:p>
        </w:tc>
        <w:tc>
          <w:tcPr>
            <w:tcW w:w="7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3</w:t>
            </w:r>
          </w:p>
        </w:tc>
      </w:tr>
      <w:tr>
        <w:trPr>
          <w:trHeight w:val="34"/>
        </w:trPr>
        <w:tc>
          <w:tcPr>
            <w:tcW w:w="7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Consolidated Financial Statements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1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(Unaudited)</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(Unaudited)</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1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(Unaudited)</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6"/>
        </w:trPr>
        <w:tc>
          <w:tcPr>
            <w:tcW w:w="7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30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(Unaudited)</w:t>
            </w:r>
          </w:p>
        </w:tc>
        <w:tc>
          <w:tcPr>
            <w:tcW w:w="3800" w:type="dxa"/>
            <w:vAlign w:val="bottom"/>
            <w:tcBorders>
              <w:top w:val="single" w:sz="8" w:color="CCEEFF"/>
            </w:tcBorders>
            <w:gridSpan w:val="2"/>
          </w:tcPr>
          <w:p>
            <w:pPr>
              <w:spacing w:after="0"/>
              <w:rPr>
                <w:sz w:val="15"/>
                <w:szCs w:val="15"/>
                <w:color w:val="auto"/>
              </w:rPr>
            </w:pPr>
          </w:p>
        </w:tc>
        <w:tc>
          <w:tcPr>
            <w:tcW w:w="7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1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398"/>
        </w:trPr>
        <w:tc>
          <w:tcPr>
            <w:tcW w:w="7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292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60" w:type="dxa"/>
            <w:vAlign w:val="bottom"/>
            <w:gridSpan w:val="2"/>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9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9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868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60,863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62,821</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410,304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267,337</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471,167</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606,889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622,762</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($9,490 and $6,615 at fair value at September 30, 2024 and December 31, 2023, respectively)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6"/>
              </w:rPr>
              <w:t>11,389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14,499</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3,037,375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3,014,153</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7"/>
              </w:rPr>
              <w:t>(42,886)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(42,356)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4"/>
          </w:tcPr>
          <w:p>
            <w:pPr>
              <w:ind w:left="18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2,994,489</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2,971,797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19,155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20,881</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00" w:type="dxa"/>
            <w:vAlign w:val="bottom"/>
          </w:tcPr>
          <w:p>
            <w:pPr>
              <w:spacing w:after="0"/>
              <w:rPr>
                <w:sz w:val="18"/>
                <w:szCs w:val="18"/>
                <w:color w:val="auto"/>
              </w:rPr>
            </w:pPr>
          </w:p>
        </w:tc>
        <w:tc>
          <w:tcPr>
            <w:tcW w:w="12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6"/>
              </w:rPr>
              <w:t>53,323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55,070</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Bank-owned life insurance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75,649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74,504</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2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6"/>
              </w:rPr>
              <w:t>19,315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19,315</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2,429</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00" w:type="dxa"/>
            <w:vAlign w:val="bottom"/>
          </w:tcPr>
          <w:p>
            <w:pPr>
              <w:spacing w:after="0"/>
              <w:rPr>
                <w:sz w:val="18"/>
                <w:szCs w:val="18"/>
                <w:color w:val="auto"/>
              </w:rPr>
            </w:pPr>
          </w:p>
        </w:tc>
        <w:tc>
          <w:tcPr>
            <w:tcW w:w="12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6"/>
              </w:rPr>
              <w:t>24,573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26,569</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18,889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19,413</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2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6"/>
              </w:rPr>
              <w:t>40,939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47,396</w:t>
            </w:r>
          </w:p>
        </w:tc>
        <w:tc>
          <w:tcPr>
            <w:tcW w:w="0" w:type="dxa"/>
            <w:vAlign w:val="bottom"/>
          </w:tcPr>
          <w:p>
            <w:pPr>
              <w:spacing w:after="0"/>
              <w:rPr>
                <w:sz w:val="1"/>
                <w:szCs w:val="1"/>
                <w:color w:val="auto"/>
              </w:rPr>
            </w:pPr>
          </w:p>
        </w:tc>
      </w:tr>
      <w:tr>
        <w:trPr>
          <w:trHeight w:val="256"/>
        </w:trPr>
        <w:tc>
          <w:tcPr>
            <w:tcW w:w="86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4,337,659</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4,204,793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Deposits:</w:t>
            </w: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Noninterest-bearing</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998,480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974,201</w:t>
            </w:r>
          </w:p>
        </w:tc>
        <w:tc>
          <w:tcPr>
            <w:tcW w:w="0" w:type="dxa"/>
            <w:vAlign w:val="bottom"/>
          </w:tcPr>
          <w:p>
            <w:pPr>
              <w:spacing w:after="0"/>
              <w:rPr>
                <w:sz w:val="1"/>
                <w:szCs w:val="1"/>
                <w:color w:val="auto"/>
              </w:rPr>
            </w:pPr>
          </w:p>
        </w:tc>
      </w:tr>
      <w:tr>
        <w:trPr>
          <w:trHeight w:val="223"/>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Interest-bearing</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2,720,880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2,651,952</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deposits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3,719,360</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Pr>
          <w:p>
            <w:pPr>
              <w:spacing w:after="0"/>
              <w:rPr>
                <w:sz w:val="18"/>
                <w:szCs w:val="18"/>
                <w:color w:val="auto"/>
              </w:rPr>
            </w:pPr>
          </w:p>
        </w:tc>
        <w:tc>
          <w:tcPr>
            <w:tcW w:w="12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6"/>
              </w:rPr>
              <w:t>64,870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61,358</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63,914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63,775</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00" w:type="dxa"/>
            <w:vAlign w:val="bottom"/>
          </w:tcPr>
          <w:p>
            <w:pPr>
              <w:spacing w:after="0"/>
              <w:rPr>
                <w:sz w:val="19"/>
                <w:szCs w:val="19"/>
                <w:color w:val="auto"/>
              </w:rPr>
            </w:pPr>
          </w:p>
        </w:tc>
        <w:tc>
          <w:tcPr>
            <w:tcW w:w="12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6"/>
              </w:rPr>
              <w:t>46,393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46,393</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3,894,537</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3,797,679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4"/>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$1.00 par value per share, 30,000,000 shares authorized; 16,386,627 and 16,417,099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outstanding at September 30, 2024 and December 31, 2023, respectively</w:t>
            </w:r>
          </w:p>
        </w:tc>
        <w:tc>
          <w:tcPr>
            <w:tcW w:w="100" w:type="dxa"/>
            <w:vAlign w:val="bottom"/>
          </w:tcPr>
          <w:p>
            <w:pPr>
              <w:spacing w:after="0"/>
              <w:rPr>
                <w:sz w:val="20"/>
                <w:szCs w:val="20"/>
                <w:color w:val="auto"/>
              </w:rPr>
            </w:pPr>
          </w:p>
        </w:tc>
        <w:tc>
          <w:tcPr>
            <w:tcW w:w="12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6"/>
              </w:rPr>
              <w:t>16,386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16,417</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97,367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97,107</w:t>
            </w: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371,782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345,264</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7"/>
              </w:rPr>
              <w:t>(42,413)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(51,674)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4"/>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443,122</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407,114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4,337,659</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4,204,793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including fees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151,008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128,703</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16,027</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Non-taxable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3,057</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funds sold and interest-bearing deposits in banks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56,528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179,575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154,797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18,965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44,768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2,402</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20,839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71,025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50,212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37,294</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104,585</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4,010</w:t>
            </w: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36,799</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insurance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card services and interchange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mortgage banking income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commissions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Fiduciary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subsidiary</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33,778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4,218</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12,277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34,753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70,080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18,709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61,400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Occupancy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12,246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2,573</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 and data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card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Appraisal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on sale of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3,409</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12,532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12,246</w:t>
            </w:r>
          </w:p>
        </w:tc>
      </w:tr>
      <w:tr>
        <w:trPr>
          <w:trHeight w:val="223"/>
        </w:trPr>
        <w:tc>
          <w:tcPr>
            <w:tcW w:w="59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33,128</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97,630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17,177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66,306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13,885</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33,220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52,421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33,220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52,421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securities available for sale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(30,907)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14,997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(29,393)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Change in fair value on hedged state and municipal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(4,196)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for loss on sale of securities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3,409</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effect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(4,425)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5,179</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(22,765)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9,261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(19,485)</w:t>
            </w:r>
          </w:p>
        </w:tc>
      </w:tr>
      <w:tr>
        <w:trPr>
          <w:trHeight w:val="257"/>
        </w:trPr>
        <w:tc>
          <w:tcPr>
            <w:tcW w:w="59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27,859</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2660" w:type="dxa"/>
            <w:vAlign w:val="bottom"/>
            <w:gridSpan w:val="5"/>
            <w:vMerge w:val="restart"/>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320" w:type="dxa"/>
            <w:vAlign w:val="bottom"/>
          </w:tcPr>
          <w:p>
            <w:pPr>
              <w:spacing w:after="0"/>
              <w:rPr>
                <w:sz w:val="18"/>
                <w:szCs w:val="18"/>
                <w:color w:val="auto"/>
              </w:rPr>
            </w:pPr>
          </w:p>
        </w:tc>
        <w:tc>
          <w:tcPr>
            <w:tcW w:w="26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134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2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17,027,197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112,834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292,261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(65,108)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357,014</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52,421</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52,421</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 $0.39 per share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(6,609)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(6,609)</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(19,485)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(19,485)</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adoption of ASU 2016-13 -</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CECL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(997)</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stock-based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net of 26,872 shares for cashless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and net of 15,769 shares for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40,720</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(467,475)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(11,393)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(11,860)</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1,625</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16,600,442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337,076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371,716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16,417,099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16,417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97,107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345,264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(51,674)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407,114</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33,220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33,220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 $0.41 per share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(6,702)</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(6,702)</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9,261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9,261</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stock-based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net of 7,213 shares for cashless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and net of 4,675 shares for taxes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23,327</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(53,799)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56"/>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16,386,627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371,782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16,952,072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16,952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111,133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325,772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(61,828)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392,029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13,494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13,494</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 $0.13 per share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(2,190)</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(22,765)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(22,765)</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stock-based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net of 2,732 shares for cashless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and net of 1,877 shares for taxes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(354,521)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(8,958)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(9,312)</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16,600,442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337,076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371,716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16,424,021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97,766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362,855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(59,060)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417,985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 $0.14 per share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(2,285)</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16,647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16,647</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stock-based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net of 3,162 shares for cashless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56"/>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16,386,627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371,782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gridSpan w:val="2"/>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gridSpan w:val="2"/>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06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6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10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10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52,421</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4,010</w:t>
            </w:r>
          </w:p>
        </w:tc>
      </w:tr>
      <w:tr>
        <w:trPr>
          <w:trHeight w:val="21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Provision for foreclosed asset losses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4,784</w:t>
            </w:r>
          </w:p>
        </w:tc>
      </w:tr>
      <w:tr>
        <w:trPr>
          <w:trHeight w:val="21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Accretion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2,731</w:t>
            </w:r>
          </w:p>
        </w:tc>
      </w:tr>
      <w:tr>
        <w:trPr>
          <w:trHeight w:val="216"/>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gains,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Gain on sale of subsidiary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(33,778)</w:t>
            </w:r>
          </w:p>
        </w:tc>
      </w:tr>
      <w:tr>
        <w:trPr>
          <w:trHeight w:val="216"/>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sale of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3,409</w:t>
            </w:r>
          </w:p>
        </w:tc>
      </w:tr>
      <w:tr>
        <w:trPr>
          <w:trHeight w:val="21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(8,157)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(9,077)</w:t>
            </w:r>
          </w:p>
        </w:tc>
      </w:tr>
      <w:tr>
        <w:trPr>
          <w:trHeight w:val="216"/>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279,993</w:t>
            </w:r>
          </w:p>
        </w:tc>
      </w:tr>
      <w:tr>
        <w:trPr>
          <w:trHeight w:val="21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Loans originated for sale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(224,947)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(261,936)</w:t>
            </w:r>
          </w:p>
        </w:tc>
      </w:tr>
      <w:tr>
        <w:trPr>
          <w:trHeight w:val="216"/>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Earnings on bank-owned life insurance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(930)</w:t>
            </w:r>
          </w:p>
        </w:tc>
      </w:tr>
      <w:tr>
        <w:trPr>
          <w:trHeight w:val="216"/>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r>
      <w:tr>
        <w:trPr>
          <w:trHeight w:val="21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Change in valuation of mortgage servicing rights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r>
      <w:tr>
        <w:trPr>
          <w:trHeight w:val="216"/>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Accrued interest receivable and other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(4,744)</w:t>
            </w:r>
          </w:p>
        </w:tc>
      </w:tr>
      <w:tr>
        <w:trPr>
          <w:trHeight w:val="223"/>
        </w:trPr>
        <w:tc>
          <w:tcPr>
            <w:tcW w:w="86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51,979</w:t>
            </w:r>
          </w:p>
        </w:tc>
      </w:tr>
      <w:tr>
        <w:trPr>
          <w:trHeight w:val="216"/>
        </w:trPr>
        <w:tc>
          <w:tcPr>
            <w:tcW w:w="10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Activity in securities available for sale: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(299,849)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52,828</w:t>
            </w:r>
          </w:p>
        </w:tc>
      </w:tr>
      <w:tr>
        <w:trPr>
          <w:trHeight w:val="21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31,930</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originations and principal collections,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(27,239)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(247,869)</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Purchases of premises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(4,682)</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premises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Proceeds from sale of subsidiary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36,080</w:t>
            </w:r>
          </w:p>
        </w:tc>
      </w:tr>
      <w:tr>
        <w:trPr>
          <w:trHeight w:val="223"/>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foreclosed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(129,760)</w:t>
            </w:r>
          </w:p>
        </w:tc>
      </w:tr>
      <w:tr>
        <w:trPr>
          <w:trHeight w:val="216"/>
        </w:trPr>
        <w:tc>
          <w:tcPr>
            <w:tcW w:w="10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in deposits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214,184</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Payments to tax authorities for 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(6,609)</w:t>
            </w:r>
          </w:p>
        </w:tc>
      </w:tr>
      <w:tr>
        <w:trPr>
          <w:trHeight w:val="223"/>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Payments to repurchase common stock</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(11,860)</w:t>
            </w:r>
          </w:p>
        </w:tc>
      </w:tr>
      <w:tr>
        <w:trPr>
          <w:trHeight w:val="223"/>
        </w:trPr>
        <w:tc>
          <w:tcPr>
            <w:tcW w:w="3620" w:type="dxa"/>
            <w:vAlign w:val="bottom"/>
            <w:tcBorders>
              <w:bottom w:val="single" w:sz="8" w:color="CCEEFF"/>
            </w:tcBorders>
            <w:gridSpan w:val="2"/>
            <w:shd w:val="clear" w:color="auto" w:fill="CCEEFF"/>
          </w:tcPr>
          <w:p>
            <w:pPr>
              <w:ind w:left="660"/>
              <w:spacing w:after="0" w:line="202" w:lineRule="exact"/>
              <w:rPr>
                <w:sz w:val="20"/>
                <w:szCs w:val="20"/>
                <w:color w:val="auto"/>
              </w:rPr>
            </w:pPr>
            <w:r>
              <w:rPr>
                <w:rFonts w:ascii="Times New Roman" w:cs="Times New Roman" w:eastAsia="Times New Roman" w:hAnsi="Times New Roman"/>
                <w:sz w:val="18"/>
                <w:szCs w:val="18"/>
                <w:color w:val="auto"/>
                <w:w w:val="99"/>
                <w:shd w:val="clear" w:color="auto" w:fill="CCEEFF"/>
              </w:rPr>
              <w:t>Net cash provided by financing activities</w:t>
            </w:r>
          </w:p>
        </w:tc>
        <w:tc>
          <w:tcPr>
            <w:tcW w:w="50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85,033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195,322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117,541</w:t>
            </w: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234,883</w:t>
            </w:r>
          </w:p>
        </w:tc>
      </w:tr>
      <w:tr>
        <w:trPr>
          <w:trHeight w:val="256"/>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471,167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352,424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Interest paid on deposits and borrowed funds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49,406</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paid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16,231</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schedule of noncash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 transferred to foreclosed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Premises and equipment transferred to other real estate owned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to mortgage servicing rights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7" w:lineRule="exact"/>
        <w:rPr>
          <w:sz w:val="20"/>
          <w:szCs w:val="20"/>
          <w:color w:val="auto"/>
        </w:rPr>
      </w:pPr>
    </w:p>
    <w:p>
      <w:pPr>
        <w:jc w:val="both"/>
        <w:ind w:firstLine="1"/>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Nature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South Plains Financial, Inc. (“SPFI”) is a Texas corporation and registered bank holding company that conducts its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through its subsidiaries from offices located throughout Texas and Eastern New Mexico. Principal activities include commercial and retail banking, along with investment, trust, and mortgage services. The following were subsidiaries of SPFI as of September 30,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Wholly-Owned, Consolidated Subsidiaries:</w:t>
            </w:r>
          </w:p>
        </w:tc>
        <w:tc>
          <w:tcPr>
            <w:tcW w:w="6380" w:type="dxa"/>
            <w:vAlign w:val="bottom"/>
          </w:tcPr>
          <w:p>
            <w:pPr>
              <w:spacing w:after="0"/>
              <w:rPr>
                <w:sz w:val="20"/>
                <w:szCs w:val="20"/>
                <w:color w:val="auto"/>
              </w:rPr>
            </w:pP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City Bank</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Bank subsidiary</w:t>
            </w:r>
          </w:p>
        </w:tc>
      </w:tr>
      <w:tr>
        <w:trPr>
          <w:trHeight w:val="216"/>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Ruidoso Retail, Inc.</w:t>
            </w:r>
          </w:p>
        </w:tc>
        <w:tc>
          <w:tcPr>
            <w:tcW w:w="6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CB Provence, LLC</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CBT Brushy Creek, LLC</w:t>
            </w:r>
          </w:p>
        </w:tc>
        <w:tc>
          <w:tcPr>
            <w:tcW w:w="6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CBT Properties, LLC</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Wholly-Owned, Equity Method Subsidiaries:</w:t>
            </w:r>
          </w:p>
        </w:tc>
        <w:tc>
          <w:tcPr>
            <w:tcW w:w="6380" w:type="dxa"/>
            <w:vAlign w:val="bottom"/>
          </w:tcPr>
          <w:p>
            <w:pPr>
              <w:spacing w:after="0"/>
              <w:rPr>
                <w:sz w:val="18"/>
                <w:szCs w:val="18"/>
                <w:color w:val="auto"/>
              </w:rPr>
            </w:pP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Plains Financial Capital Trusts (“SPFCT”) III-V</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Non-bank subsidiaries</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2023, SPFI entered into a Securities Purchase Agreement (“Agreement”) with Alliant Insurance Services, Inc. (“Alliant”), providing for the sale of Windmark Insurance Agency, Inc. (“Windmark”), City Bank’s wholly-owned subsidiary, through a sale of all of the outstanding shares of capital stock of Windmark to Alliant. The transaction was consummated on April 1, 2023. Pursuant to the terms and subject to the conditions of the Agreement, SPFI received an aggregate purchase price of $36.1 million in exchange for Windmark’s common shares, representing a pre-tax gain of $33.8 million through the nine months ended September 30, 2023. This transaction did not meet the criteria for discontinued operations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 and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 this Quarterly Report on Form 10-Q for the three and nine months ended September 30, 2024 (this “Form 10-Q”) include the accounts of SPFI and its wholly-owned consolidated subsidiaries (collectively referred to as the “Company”) identified above. All significant intercompany balances and transactions have been eliminated in consolidation.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in this Form 10-Q have not been audited by an independent registered public accounting firm, but in the opinion of management, reflect all adjustments necessary for a fair presentation of the Company’s financial position, results of operations, and cash flows.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U.S. Securities and Exchange Commission (“SEC”). Accordingly, the financial statements do not include all of the information and notes required by GAAP for complete financial statements and should be read in conjunction with the Company’s audited consolidated financial statements, and notes thereto in the Company’s Annual Report on Form 10-K for the year ended December 31, 2023 as filed with the SEC on March 15, 2024 (the “2023 Annual Report on Form 10-K”). Operating results for the interim periods disclosed herein are not necessarily indicative of the results that may be expected for a full year or any future period.</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Use of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credit losses (“ACL”) is a material estimate that is particularly susceptible to significant change in the near term; the assumptions used in stock-based compensation, derivatives, mortgage servicing rights, and fair values of financial instruments can also involve significant management estimates.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Updates to the Financial Accounting Standards Board (“FASB”) Accounting Standards Codification (“ASC”)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prescribed in Accounting Standards Updates (“ASUs”), which are not authoritative until incorporated into the ASC.</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ASU 2023-06, Disclosure Improvements: Codification Amendments in Response to the SEC’s Disclosure Update and Simplification Initiative.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this ASU modify the disclosure or presentation requirements of a variety of Topics in the Codification. Certain of the amendments represent clarifications to, or technical corrections of the current requirements. Each amendment in the ASU will only become effective if the SEC removes the related disclosure or presentation requirement from its existing regulations by June 30, 2027. The amendments in this ASU are not expected to have a material impact on the results of operations or financial position.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ASU 2023-07, Segment Reporting (Topic 280): Improvements to Reportable Segment Disclosures. </w:t>
      </w:r>
      <w:r>
        <w:rPr>
          <w:rFonts w:ascii="Times New Roman" w:cs="Times New Roman" w:eastAsia="Times New Roman" w:hAnsi="Times New Roman"/>
          <w:sz w:val="18"/>
          <w:szCs w:val="18"/>
          <w:color w:val="auto"/>
        </w:rPr>
        <w:t>The amendments in this ASU require public entities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 information about reportable segments’ significant expenses on an interim and annual basis. This ASU is effective for fiscal years beginning after December 15, 2023, and interim periods within fiscal years beginning after December 15, 2024. The adoption of ASU 2023-07 is not expected to have a material effect on the Company’s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ASU 2023-09, Income Taxes (Topic 740): Improvements to Income Tax Disclosures. </w:t>
      </w:r>
      <w:r>
        <w:rPr>
          <w:rFonts w:ascii="Times New Roman" w:cs="Times New Roman" w:eastAsia="Times New Roman" w:hAnsi="Times New Roman"/>
          <w:sz w:val="18"/>
          <w:szCs w:val="18"/>
          <w:color w:val="auto"/>
        </w:rPr>
        <w:t>The amendments in this ASU are intended to improve the transparency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income tax disclosures by requiring consistent categories and greater disaggregation of information in the rate reconciliation and income taxes paid disaggregated by jurisdiction. It also includes certain other amendments intended to improve the effectiveness of income tax disclosures. This ASU is effective for fiscal years beginning after December 15, 2024. The adoption of ASU 2023-09 is not expected to have a material effect on the Company’s financial statements.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Subsequent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has evaluated subsequent events and transactions from September 30, 2024 through the date this Form 10-Q was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 for potential recognition or disclosure as required by GAAP.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related gross unrealized gains and losses, allowance for credit losses, and estimated fair value of securities available for sale at the dates indicated follows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for Credit</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75"/>
        </w:trPr>
        <w:tc>
          <w:tcPr>
            <w:tcW w:w="1460" w:type="dxa"/>
            <w:vAlign w:val="bottom"/>
            <w:tcBorders>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w w:val="99"/>
              </w:rPr>
              <w:t>September 30, 2024</w:t>
            </w:r>
          </w:p>
        </w:tc>
        <w:tc>
          <w:tcPr>
            <w:tcW w:w="3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200,215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180,924</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(41,183)</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287,745</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46,932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42,295</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69,027</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68,885</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16,858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15,855</w:t>
            </w:r>
          </w:p>
        </w:tc>
      </w:tr>
      <w:tr>
        <w:trPr>
          <w:trHeight w:val="223"/>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11,185</w:t>
            </w:r>
          </w:p>
        </w:tc>
      </w:tr>
      <w:tr>
        <w:trPr>
          <w:trHeight w:val="257"/>
        </w:trPr>
        <w:tc>
          <w:tcPr>
            <w:tcW w:w="1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673,960</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606,889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85"/>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32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180,575</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351,251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(50,547)</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300,704</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47,898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41,748</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72,391</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71,930</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18,476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17,040</w:t>
            </w:r>
          </w:p>
        </w:tc>
      </w:tr>
      <w:tr>
        <w:trPr>
          <w:trHeight w:val="223"/>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10,765</w:t>
            </w:r>
          </w:p>
        </w:tc>
      </w:tr>
      <w:tr>
        <w:trPr>
          <w:trHeight w:val="257"/>
        </w:trPr>
        <w:tc>
          <w:tcPr>
            <w:tcW w:w="1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704,830</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622,762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of securities at September 30, 2024 are presented below by contractual maturity (dollars in thousands). Expected maturities may differ from contractual maturities because issuers may have the right to call or prepay obligations. Declining-balance securities are shown separately since they are not due at a single maturity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Available for Sale</w:t>
            </w:r>
          </w:p>
        </w:tc>
      </w:tr>
      <w:tr>
        <w:trPr>
          <w:trHeight w:val="194"/>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15,801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14,963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After 10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170,198</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Declining-balance securities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461,745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673,960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606,889</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both September 30, 2024 and December 31, 2023, there were no holdings of securities of any one issuer, other than the U.S. government, its agencies, or its sponsored enterprises, in an amount greater than 10% of stockholders’ equity.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with a carrying value of approximately $282.9 million and $438.9 million at September 30, 2024 and December 31, 2023, respectively, were pledged to collateralize public deposits and for other purposes as required or permitted by law.</w:t>
      </w:r>
    </w:p>
    <w:p>
      <w:pPr>
        <w:sectPr>
          <w:pgSz w:w="11900" w:h="16838" w:orient="portrait"/>
          <w:cols w:equalWidth="0" w:num="1">
            <w:col w:w="11240"/>
          </w:cols>
          <w:pgMar w:left="320" w:top="115" w:right="3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segregates securities with unrealized losses at the periods indicated, by the duration they have been in a loss position for which an allowance for credit losses has not been recorded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20" w:type="dxa"/>
            <w:vAlign w:val="bottom"/>
          </w:tcPr>
          <w:p>
            <w:pPr>
              <w:spacing w:after="0"/>
              <w:rPr>
                <w:sz w:val="21"/>
                <w:szCs w:val="21"/>
                <w:color w:val="auto"/>
              </w:rPr>
            </w:pPr>
          </w:p>
        </w:tc>
        <w:tc>
          <w:tcPr>
            <w:tcW w:w="24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66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62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60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45"/>
        </w:trPr>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1"/>
                <w:szCs w:val="21"/>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1"/>
                <w:szCs w:val="21"/>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w:t>
            </w:r>
          </w:p>
        </w:tc>
      </w:tr>
      <w:tr>
        <w:trPr>
          <w:trHeight w:val="176"/>
        </w:trPr>
        <w:tc>
          <w:tcPr>
            <w:tcW w:w="3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September 30, 2024</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178,648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19,290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178,931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19,293</w:t>
            </w: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287,736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41,183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287,736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41,183</w:t>
            </w: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42,296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4,637</w:t>
            </w:r>
          </w:p>
        </w:tc>
      </w:tr>
      <w:tr>
        <w:trPr>
          <w:trHeight w:val="198"/>
        </w:trPr>
        <w:tc>
          <w:tcPr>
            <w:tcW w:w="32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Commercial collateralized mortgage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30,337</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38,548</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68,885</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r>
      <w:tr>
        <w:trPr>
          <w:trHeight w:val="198"/>
        </w:trPr>
        <w:tc>
          <w:tcPr>
            <w:tcW w:w="3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Asset-backed and other amortizing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15,855</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1,003</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15,855</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w:t>
            </w:r>
          </w:p>
        </w:tc>
      </w:tr>
      <w:tr>
        <w:trPr>
          <w:trHeight w:val="223"/>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securities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11,185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11,185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w:t>
            </w:r>
          </w:p>
        </w:tc>
      </w:tr>
      <w:tr>
        <w:trPr>
          <w:trHeight w:val="257"/>
        </w:trPr>
        <w:tc>
          <w:tcPr>
            <w:tcW w:w="1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30,620</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574,268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604,888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32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177,908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22,241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178,115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22,241</w:t>
            </w: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300,695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50,547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300,704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50,547</w:t>
            </w: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41,748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41,748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6,150</w:t>
            </w:r>
          </w:p>
        </w:tc>
      </w:tr>
      <w:tr>
        <w:trPr>
          <w:trHeight w:val="198"/>
        </w:trPr>
        <w:tc>
          <w:tcPr>
            <w:tcW w:w="3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collateralized mortgage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71,930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71,930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r>
      <w:tr>
        <w:trPr>
          <w:trHeight w:val="198"/>
        </w:trPr>
        <w:tc>
          <w:tcPr>
            <w:tcW w:w="32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Asset-backed and other amortizing</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17,040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1,436</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17,040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w:t>
            </w: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1,235</w:t>
            </w:r>
          </w:p>
        </w:tc>
      </w:tr>
      <w:tr>
        <w:trPr>
          <w:trHeight w:val="27"/>
        </w:trPr>
        <w:tc>
          <w:tcPr>
            <w:tcW w:w="1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616,800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81,856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620,302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82,070</w:t>
            </w: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were 141 securities with an unrealized loss at September 30, 2024, generally due to increases in market rates. Management evaluates AFS securities in unrealized loss positions to determine whether the impairment is due to credit-related factors or non-credit related factors. Consideration is given to the extent to which the fair value is less than cost, the financial condition and near-term prospects of the issuer, and the intent and ability of the Company to retain its investment in the security for a period of time sufficient to allow for the anticipated recovery in fair value. Management does not have the intent to sell any of the securities in an unrealized loss position as there are adequate liquidity sources to meet expected and unexpected funding needs. The fair value of these securities is expected to recover as the securities approach their maturity date or repricing date or if market yields for such investments decline. Accordingly, as of September 30, 2024, management believes the unrealized loss positions detailed in the previous table are due to non-credit related factors, including changes in interest rates and other market conditions, and therefore no ACL or losses have been recognized or realized in the consolidated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LOANS HELD FOR INVESTMENT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investment are summarized by category as of the dates presented below (dollars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1,081,056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372,376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517,361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534,731</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305,271</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74,168</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129,190</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3,037,375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3,014,153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(42,886)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(42,356)</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2,994,489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2,971,797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ectPr>
          <w:pgSz w:w="11900" w:h="16838" w:orient="portrait"/>
          <w:cols w:equalWidth="0" w:num="1">
            <w:col w:w="11240"/>
          </w:cols>
          <w:pgMar w:left="320" w:top="115"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Commercial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Underwriting standards have been designed to determine whether the borrower possesses sound business ethics and practices,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current and projected cash flows to determine the ability of the borrower to repay their obligations as agreed and ensure appropriate collateral is obtained to secure the loan. Commercial real estate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Commercial – General and Specialized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Commercial loans are underwritten after evaluating and understanding the borrower’s ability to operate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Loans to consumers include 1-4 family residential loans, auto loans, and other loans for recreational vehicles or other purposes.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Loans for residential construction are for single-family properties to developers, builders, or end-users. These loans are underwritten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commercial real estate and construction categories comprise the Company’s nonowner-occupied real estate loans. Total nonowner-occupied real estate loans were $1.22 billion at September 30, 2024, and $1.21 billion at December 31,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ACL for loans was $42.9 million at September 30, 2024, compared to $42.4 million at December 31, 2023. The ratio of ACL for loans to loans held for investment was 1.41% at September 30, 2024 and 1.41% at December 31, 2023.</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detail the activity in the ACL for loans for the periods indicated (dollars in thousands). Allocation of a portion of the allowance to one category of loans does not preclude its availability to absorb losses in other categories.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Provision for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Credit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Ending</w:t>
            </w:r>
          </w:p>
        </w:tc>
        <w:tc>
          <w:tcPr>
            <w:tcW w:w="0" w:type="dxa"/>
            <w:vAlign w:val="bottom"/>
          </w:tcPr>
          <w:p>
            <w:pPr>
              <w:spacing w:after="0"/>
              <w:rPr>
                <w:sz w:val="1"/>
                <w:szCs w:val="1"/>
                <w:color w:val="auto"/>
              </w:rPr>
            </w:pPr>
          </w:p>
        </w:tc>
      </w:tr>
      <w:tr>
        <w:trPr>
          <w:trHeight w:val="277"/>
        </w:trPr>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4"/>
                <w:szCs w:val="24"/>
                <w:color w:val="auto"/>
              </w:rPr>
            </w:pPr>
          </w:p>
        </w:tc>
        <w:tc>
          <w:tcPr>
            <w:tcW w:w="1220" w:type="dxa"/>
            <w:vAlign w:val="bottom"/>
            <w:gridSpan w:val="2"/>
          </w:tcPr>
          <w:p>
            <w:pPr>
              <w:jc w:val="center"/>
              <w:ind w:right="400"/>
              <w:spacing w:after="0" w:line="270" w:lineRule="exact"/>
              <w:rPr>
                <w:sz w:val="20"/>
                <w:szCs w:val="20"/>
                <w:color w:val="auto"/>
              </w:rPr>
            </w:pPr>
            <w:r>
              <w:rPr>
                <w:rFonts w:ascii="Times New Roman" w:cs="Times New Roman" w:eastAsia="Times New Roman" w:hAnsi="Times New Roman"/>
                <w:sz w:val="18"/>
                <w:szCs w:val="18"/>
                <w:b w:val="1"/>
                <w:bCs w:val="1"/>
                <w:color w:val="auto"/>
                <w:w w:val="90"/>
              </w:rPr>
              <w:t>Losses</w:t>
            </w:r>
            <w:r>
              <w:rPr>
                <w:rFonts w:ascii="Times New Roman" w:cs="Times New Roman" w:eastAsia="Times New Roman" w:hAnsi="Times New Roman"/>
                <w:sz w:val="29"/>
                <w:szCs w:val="29"/>
                <w:b w:val="1"/>
                <w:bCs w:val="1"/>
                <w:color w:val="auto"/>
                <w:w w:val="90"/>
                <w:vertAlign w:val="superscript"/>
              </w:rPr>
              <w:t>(1)</w:t>
            </w:r>
          </w:p>
        </w:tc>
        <w:tc>
          <w:tcPr>
            <w:tcW w:w="1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Charge-offs</w:t>
            </w: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175"/>
        </w:trPr>
        <w:tc>
          <w:tcPr>
            <w:tcW w:w="46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For the three months ended September 30, 2024</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15,924</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4,907</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9,558</w:t>
            </w:r>
          </w:p>
        </w:tc>
        <w:tc>
          <w:tcPr>
            <w:tcW w:w="0" w:type="dxa"/>
            <w:vAlign w:val="bottom"/>
          </w:tcPr>
          <w:p>
            <w:pPr>
              <w:spacing w:after="0"/>
              <w:rPr>
                <w:sz w:val="1"/>
                <w:szCs w:val="1"/>
                <w:color w:val="auto"/>
              </w:rPr>
            </w:pP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2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57"/>
        </w:trPr>
        <w:tc>
          <w:tcPr>
            <w:tcW w:w="3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43,173</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the three months ended September 30, 2023</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14,501</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14,945</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3,943</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6,370</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8,990</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3,786</w:t>
            </w:r>
          </w:p>
        </w:tc>
        <w:tc>
          <w:tcPr>
            <w:tcW w:w="0" w:type="dxa"/>
            <w:vAlign w:val="bottom"/>
          </w:tcPr>
          <w:p>
            <w:pPr>
              <w:spacing w:after="0"/>
              <w:rPr>
                <w:sz w:val="1"/>
                <w:szCs w:val="1"/>
                <w:color w:val="auto"/>
              </w:rPr>
            </w:pP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3,019</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42,075</w:t>
            </w: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For the nine months ended September 30, 2024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46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15,924</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4,907</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9,558</w:t>
            </w:r>
          </w:p>
        </w:tc>
        <w:tc>
          <w:tcPr>
            <w:tcW w:w="0" w:type="dxa"/>
            <w:vAlign w:val="bottom"/>
          </w:tcPr>
          <w:p>
            <w:pPr>
              <w:spacing w:after="0"/>
              <w:rPr>
                <w:sz w:val="1"/>
                <w:szCs w:val="1"/>
                <w:color w:val="auto"/>
              </w:rPr>
            </w:pP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2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57"/>
        </w:trPr>
        <w:tc>
          <w:tcPr>
            <w:tcW w:w="3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42,356</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8"/>
        <w:spacing w:after="0" w:line="258" w:lineRule="auto"/>
        <w:tabs>
          <w:tab w:leader="none" w:pos="28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2024 the provision for credit loss of $495 thousand and $3.1 million, respectively, on the Consolidated Statement of Comprehensive Income (Loss) includes a provision for credit losses on loans of $600 thousand and $3.1 million, respectively, and a provision for off-balance sheet credit exposures of $(105) thousand and $(40) thousand, respectively. For the three months ended September 30, 2023, the $(700) thousand provision for credit loss on the Consolidated Statement of Comprehensive Income (Loss) includes a $(700) thousand provision for credit losses on loans and no provision for off-balance sheet credit exposures.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Impact of</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Provision for</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4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CECL</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Credit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Ending</w:t>
            </w:r>
          </w:p>
        </w:tc>
      </w:tr>
      <w:tr>
        <w:trPr>
          <w:trHeight w:val="277"/>
        </w:trPr>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4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Adoption</w:t>
            </w:r>
          </w:p>
        </w:tc>
        <w:tc>
          <w:tcPr>
            <w:tcW w:w="160" w:type="dxa"/>
            <w:vAlign w:val="bottom"/>
          </w:tcPr>
          <w:p>
            <w:pPr>
              <w:spacing w:after="0"/>
              <w:rPr>
                <w:sz w:val="24"/>
                <w:szCs w:val="24"/>
                <w:color w:val="auto"/>
              </w:rPr>
            </w:pPr>
          </w:p>
        </w:tc>
        <w:tc>
          <w:tcPr>
            <w:tcW w:w="1200" w:type="dxa"/>
            <w:vAlign w:val="bottom"/>
            <w:gridSpan w:val="2"/>
          </w:tcPr>
          <w:p>
            <w:pPr>
              <w:jc w:val="center"/>
              <w:ind w:right="360"/>
              <w:spacing w:after="0" w:line="270" w:lineRule="exact"/>
              <w:rPr>
                <w:sz w:val="20"/>
                <w:szCs w:val="20"/>
                <w:color w:val="auto"/>
              </w:rPr>
            </w:pPr>
            <w:r>
              <w:rPr>
                <w:rFonts w:ascii="Times New Roman" w:cs="Times New Roman" w:eastAsia="Times New Roman" w:hAnsi="Times New Roman"/>
                <w:sz w:val="18"/>
                <w:szCs w:val="18"/>
                <w:b w:val="1"/>
                <w:bCs w:val="1"/>
                <w:color w:val="auto"/>
                <w:w w:val="93"/>
              </w:rPr>
              <w:t>Losses</w:t>
            </w:r>
            <w:r>
              <w:rPr>
                <w:rFonts w:ascii="Times New Roman" w:cs="Times New Roman" w:eastAsia="Times New Roman" w:hAnsi="Times New Roman"/>
                <w:sz w:val="29"/>
                <w:szCs w:val="29"/>
                <w:b w:val="1"/>
                <w:bCs w:val="1"/>
                <w:color w:val="auto"/>
                <w:w w:val="93"/>
                <w:vertAlign w:val="superscript"/>
              </w:rPr>
              <w:t>(1)</w:t>
            </w:r>
          </w:p>
        </w:tc>
        <w:tc>
          <w:tcPr>
            <w:tcW w:w="1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Charge-offs</w:t>
            </w: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Balance</w:t>
            </w:r>
          </w:p>
        </w:tc>
      </w:tr>
      <w:tr>
        <w:trPr>
          <w:trHeight w:val="175"/>
        </w:trPr>
        <w:tc>
          <w:tcPr>
            <w:tcW w:w="32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For the nine months ended September</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800" w:type="dxa"/>
            <w:vAlign w:val="bottom"/>
            <w:tcBorders>
              <w:top w:val="single" w:sz="8" w:color="auto"/>
            </w:tcBorders>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w w:val="95"/>
              </w:rPr>
              <w:t>30, 2023</w:t>
            </w:r>
          </w:p>
        </w:tc>
        <w:tc>
          <w:tcPr>
            <w:tcW w:w="194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14,945</w:t>
            </w:r>
          </w:p>
        </w:tc>
      </w:tr>
      <w:tr>
        <w:trPr>
          <w:trHeight w:val="216"/>
        </w:trPr>
        <w:tc>
          <w:tcPr>
            <w:tcW w:w="3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3,943</w:t>
            </w:r>
          </w:p>
        </w:tc>
      </w:tr>
      <w:tr>
        <w:trPr>
          <w:trHeight w:val="216"/>
        </w:trPr>
        <w:tc>
          <w:tcPr>
            <w:tcW w:w="3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(2,574)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6,370</w:t>
            </w:r>
          </w:p>
        </w:tc>
      </w:tr>
      <w:tr>
        <w:trPr>
          <w:trHeight w:val="216"/>
        </w:trPr>
        <w:tc>
          <w:tcPr>
            <w:tcW w:w="3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8,990</w:t>
            </w:r>
          </w:p>
        </w:tc>
      </w:tr>
      <w:tr>
        <w:trPr>
          <w:trHeight w:val="216"/>
        </w:trPr>
        <w:tc>
          <w:tcPr>
            <w:tcW w:w="32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3,786</w:t>
            </w:r>
          </w:p>
        </w:tc>
      </w:tr>
      <w:tr>
        <w:trPr>
          <w:trHeight w:val="216"/>
        </w:trPr>
        <w:tc>
          <w:tcPr>
            <w:tcW w:w="32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1,022</w:t>
            </w:r>
          </w:p>
        </w:tc>
      </w:tr>
      <w:tr>
        <w:trPr>
          <w:trHeight w:val="223"/>
        </w:trPr>
        <w:tc>
          <w:tcPr>
            <w:tcW w:w="3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3,019</w:t>
            </w:r>
          </w:p>
        </w:tc>
      </w:tr>
      <w:tr>
        <w:trPr>
          <w:trHeight w:val="256"/>
        </w:trPr>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39,288</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firstLine="8"/>
        <w:spacing w:after="0" w:line="282" w:lineRule="auto"/>
        <w:tabs>
          <w:tab w:leader="none" w:pos="26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$4.0 million provision for credit loss on the Consolidated Statement of Comprehensive Income (Loss) includes a $4.1 million provision for credit losses on loans and a $(50) thousand provision for off-balance sheet credit exposures for the nine months ended September 30,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the provision for credit losses during the three months ended September 30, 2024, compared to the same period in 2023, was primarily due to a decrease of $1.3 million in specific reserves during the three months ended September 30, 2023. The provision increased during the nine months ended September 30, 2024, compared to the same period in 2023, mainly due to a larger growth in loans during the 2023 period compared to the 2024 period.</w:t>
      </w:r>
    </w:p>
    <w:p>
      <w:pPr>
        <w:sectPr>
          <w:pgSz w:w="11900" w:h="16838" w:orient="portrait"/>
          <w:cols w:equalWidth="0" w:num="1">
            <w:col w:w="11240"/>
          </w:cols>
          <w:pgMar w:left="320" w:top="116" w:right="339" w:bottom="552"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552"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amortized cost in loans and related ACL for collateral dependent loans by class using the fair value of collateral loss estimation methodology of evaluating expected credit losses at the dates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Total ACL</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 Loans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Individually</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Individually</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Evaluated</w:t>
            </w:r>
          </w:p>
        </w:tc>
      </w:tr>
      <w:tr>
        <w:trPr>
          <w:trHeight w:val="245"/>
        </w:trPr>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2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20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Evaluated</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175"/>
        </w:trPr>
        <w:tc>
          <w:tcPr>
            <w:tcW w:w="46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September 30, 2024</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20,029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1,441</w:t>
            </w:r>
          </w:p>
        </w:tc>
        <w:tc>
          <w:tcPr>
            <w:tcW w:w="20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85"/>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provide an age analysis on accruing past-due loans and nonaccrual loans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30-89 Days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90 Days or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w:t>
            </w:r>
          </w:p>
        </w:tc>
      </w:tr>
      <w:tr>
        <w:trPr>
          <w:trHeight w:val="245"/>
        </w:trPr>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36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More Past Due</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20" w:type="dxa"/>
            <w:vAlign w:val="bottom"/>
          </w:tcPr>
          <w:p>
            <w:pPr>
              <w:spacing w:after="0"/>
              <w:rPr>
                <w:sz w:val="21"/>
                <w:szCs w:val="21"/>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with no ACL</w:t>
            </w:r>
          </w:p>
        </w:tc>
      </w:tr>
      <w:tr>
        <w:trPr>
          <w:trHeight w:val="175"/>
        </w:trPr>
        <w:tc>
          <w:tcPr>
            <w:tcW w:w="5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September 30, 2024</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20,029</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19"/>
                <w:szCs w:val="19"/>
                <w:color w:val="auto"/>
              </w:rPr>
            </w:pPr>
          </w:p>
        </w:tc>
      </w:tr>
      <w:tr>
        <w:trPr>
          <w:trHeight w:val="257"/>
        </w:trPr>
        <w:tc>
          <w:tcPr>
            <w:tcW w:w="1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22,574</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385"/>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4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5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r>
      <w:tr>
        <w:trPr>
          <w:trHeight w:val="256"/>
        </w:trPr>
        <w:tc>
          <w:tcPr>
            <w:tcW w:w="1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Quality Indicators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by the Company about the risks of default associated with the loan. The Company reviews the grades on loans as part of the Company’s on-going monitoring of the credit quality of the loan portfolio. These risk ratings are assigned based on relevant information about the ability of the borrowers to service their debt such as: current financial information, historical payment experience, credit documentation, public information, and current economic trends, among other factors.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mention loans have potential weaknesses that deserve management’s close attention. If left uncorrected, these potential weaknesses may result in deterioration of repayment prospects for the loans at some future date.</w:t>
      </w:r>
    </w:p>
    <w:p>
      <w:pPr>
        <w:sectPr>
          <w:pgSz w:w="11900" w:h="16838" w:orient="portrait"/>
          <w:cols w:equalWidth="0" w:num="1">
            <w:col w:w="11240"/>
          </w:cols>
          <w:pgMar w:left="320" w:top="116" w:right="339" w:bottom="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0" w:gutter="0" w:footer="0" w:header="0"/>
          <w:type w:val="continuous"/>
        </w:sectPr>
      </w:pPr>
    </w:p>
    <w:bookmarkStart w:id="13" w:name="page14"/>
    <w:bookmarkEnd w:id="13"/>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review of the Company’s loan portfolio, management considers risk elements attributable to particular loan type or categories in assessing the quality of individual loans. The list of loans to be analyzed for individual evaluation consists of non-accrual loans over $250 thousand with direct exposure. Interest income recognized using a cash-basis method on non-accrual loans for the three and nine months ended September 30, 2024 and 2023 was not significant. In addition, the Company closely monitors substandard accruing loans over $1 million with direct exposure, and past due accruing loans over $100 thousand for possible individual evaluation. All other loans will be evaluated collectively in designated pools unless a loss exposure has been identified. Additional funds committed to be advanced on individually analyzed loans are not significant.</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tables reflect the amortized cost basis in loans held for investment by credit quality indicator and origination year at the dates indicated, and related year-to-date gross charge-offs. Loans acquired are shown in the table by origination year, not merger date. The Company had an immaterial amount of revolving loans converted to term loans at September 30, 2024 and December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Term Loans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gridSpan w:val="11"/>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Amortized Cost Basis by Origination Year</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40" w:type="dxa"/>
            <w:vAlign w:val="bottom"/>
          </w:tcPr>
          <w:p>
            <w:pPr>
              <w:spacing w:after="0"/>
              <w:rPr>
                <w:sz w:val="21"/>
                <w:szCs w:val="21"/>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40" w:type="dxa"/>
            <w:vAlign w:val="bottom"/>
          </w:tcPr>
          <w:p>
            <w:pPr>
              <w:spacing w:after="0"/>
              <w:rPr>
                <w:sz w:val="21"/>
                <w:szCs w:val="21"/>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 real estate</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86,699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258,236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329,367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129,343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46,957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191,480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1,050,657</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32,444</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445</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5,522</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38,894</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28,837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1,663</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30,896</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commercial real estate</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86,699</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258,236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329,443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190,624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49,065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197,322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1,120,447</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 specialized</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109,932</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61,117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44,466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29,493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94,890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403,765</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commercial -</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specialized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110,240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61,117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94,890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406,255</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 - general</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66,836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81,786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110,723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30,296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83,441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516,065</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808</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2,460</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4,545</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1,119</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8,609</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commercial - general</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66,836</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81,969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114,149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30,345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84,560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72,283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526,448</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Consumer 1-4 family</w:t>
            </w:r>
          </w:p>
        </w:tc>
        <w:tc>
          <w:tcPr>
            <w:tcW w:w="1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8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67,699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100,414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157,031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98,989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46,582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74,939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551,174</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722</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8,351</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11,227</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consumer 1-4 family</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67,699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101,136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157,959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47,015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83,290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562,401</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Consumer auto loans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43,319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79,897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86,894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253,058</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7"/>
        </w:trPr>
        <w:tc>
          <w:tcPr>
            <w:tcW w:w="23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consumer auto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43,319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79,897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87,036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253,509</w:t>
            </w: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other consumer</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17,224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65,653</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63"/>
        </w:trPr>
        <w:tc>
          <w:tcPr>
            <w:tcW w:w="2380" w:type="dxa"/>
            <w:vAlign w:val="bottom"/>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16" w:right="3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consumer other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17,271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17,274</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6,094</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65,789</w:t>
            </w:r>
          </w:p>
        </w:tc>
        <w:tc>
          <w:tcPr>
            <w:tcW w:w="0" w:type="dxa"/>
            <w:vAlign w:val="bottom"/>
          </w:tcPr>
          <w:p>
            <w:pPr>
              <w:spacing w:after="0"/>
              <w:rPr>
                <w:sz w:val="1"/>
                <w:szCs w:val="1"/>
                <w:color w:val="auto"/>
              </w:rPr>
            </w:pPr>
          </w:p>
        </w:tc>
      </w:tr>
      <w:tr>
        <w:trPr>
          <w:trHeight w:val="275"/>
        </w:trPr>
        <w:tc>
          <w:tcPr>
            <w:tcW w:w="23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consumer loans</w:t>
            </w: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3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Year-to-date gross charge-offs</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24"/>
        </w:trPr>
        <w:tc>
          <w:tcPr>
            <w:tcW w:w="2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49,387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38,961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7,553</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100,168</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1,056</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821</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236"/>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construction loans</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49,387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40,017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8,034</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102,526</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$306 thousand in charged-off demand deposit overdrafts reported as 2024 originations.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Term Loans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gridSpan w:val="11"/>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Amortized Cost Basis by Origination Year</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40" w:type="dxa"/>
            <w:vAlign w:val="bottom"/>
          </w:tcPr>
          <w:p>
            <w:pPr>
              <w:spacing w:after="0"/>
              <w:rPr>
                <w:sz w:val="21"/>
                <w:szCs w:val="21"/>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40" w:type="dxa"/>
            <w:vAlign w:val="bottom"/>
          </w:tcPr>
          <w:p>
            <w:pPr>
              <w:spacing w:after="0"/>
              <w:rPr>
                <w:sz w:val="21"/>
                <w:szCs w:val="21"/>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32"/>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real estate</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324,601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189,211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47,988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174,859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1,045,927</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11,677</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11,677</w:t>
            </w:r>
          </w:p>
        </w:tc>
        <w:tc>
          <w:tcPr>
            <w:tcW w:w="0" w:type="dxa"/>
            <w:vAlign w:val="bottom"/>
          </w:tcPr>
          <w:p>
            <w:pPr>
              <w:spacing w:after="0"/>
              <w:rPr>
                <w:sz w:val="1"/>
                <w:szCs w:val="1"/>
                <w:color w:val="auto"/>
              </w:rPr>
            </w:pPr>
          </w:p>
        </w:tc>
      </w:tr>
      <w:tr>
        <w:trPr>
          <w:trHeight w:val="223"/>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21,152</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23,452</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commercial real estate</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254,766</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324,683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210,363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48,137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175,229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1,081,056</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 specialized</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117,912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56,152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57,839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10,376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22,758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368,288</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2,938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3,238</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commercial -</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specialized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117,912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59,195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58,035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372,376</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 general</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128,627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90,957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45,660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503,070</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1,565</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23"/>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2,930</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4,676</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2,749</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1,442</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12,476</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commercial - general</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89,112</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131,557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95,633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48,409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71,997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517,361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Consumer 1-4 family</w:t>
            </w:r>
          </w:p>
        </w:tc>
        <w:tc>
          <w:tcPr>
            <w:tcW w:w="1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8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113,897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156,549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106,619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31,345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56,666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520,786</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4,238</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3,758</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4,483</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13,945</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consumer 1-4 family</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114,273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156,931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110,857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35,103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534,731</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Consumer auto loans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124,588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48,686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304,694</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consumer auto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106,165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124,777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48,885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305,271</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other consumer</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26,899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10,198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74,016</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consumer other</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consumer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23,719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10,242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74,168</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3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624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24"/>
        </w:trPr>
        <w:tc>
          <w:tcPr>
            <w:tcW w:w="10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(1)</w:t>
            </w:r>
          </w:p>
        </w:tc>
        <w:tc>
          <w:tcPr>
            <w:tcW w:w="136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61,903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53,930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127,925</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57"/>
        </w:trPr>
        <w:tc>
          <w:tcPr>
            <w:tcW w:w="2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construction loans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54,244</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$574 thousand in charged-off demand deposit overdrafts reported as 2023 originations.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allowance for credit losses.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For the loans included in the “combination” columns below, multiple types of modifications have been made on the same loan within the current reporting period.</w:t>
      </w:r>
    </w:p>
    <w:p>
      <w:pPr>
        <w:sectPr>
          <w:pgSz w:w="11900" w:h="16838" w:orient="portrait"/>
          <w:cols w:equalWidth="0" w:num="1">
            <w:col w:w="11240"/>
          </w:cols>
          <w:pgMar w:left="320" w:top="114" w:right="339" w:bottom="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amortized cost basis of loans at September 30, 2024 and 2023 that were both experiencing financial difficulty and modified during the periods indicated, by class and by type of modification. The percentage of the amortized cost basis of loans that were modified to borrowers in financial distress as compared to the amortized cost basis of each class of financing receivable is also presented below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Delay, Term</w:t>
            </w: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8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and</w:t>
            </w:r>
          </w:p>
        </w:tc>
        <w:tc>
          <w:tcPr>
            <w:tcW w:w="10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and Interest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Delay and</w:t>
            </w:r>
          </w:p>
        </w:tc>
        <w:tc>
          <w:tcPr>
            <w:tcW w:w="100" w:type="dxa"/>
            <w:vAlign w:val="bottom"/>
          </w:tcPr>
          <w:p>
            <w:pPr>
              <w:spacing w:after="0"/>
              <w:rPr>
                <w:sz w:val="18"/>
                <w:szCs w:val="18"/>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and Interest</w:t>
            </w:r>
          </w:p>
        </w:tc>
        <w:tc>
          <w:tcPr>
            <w:tcW w:w="8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12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2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8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Financing</w:t>
            </w:r>
          </w:p>
        </w:tc>
      </w:tr>
      <w:tr>
        <w:trPr>
          <w:trHeight w:val="245"/>
        </w:trPr>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Delay</w:t>
            </w:r>
          </w:p>
        </w:tc>
        <w:tc>
          <w:tcPr>
            <w:tcW w:w="120" w:type="dxa"/>
            <w:vAlign w:val="bottom"/>
          </w:tcPr>
          <w:p>
            <w:pPr>
              <w:spacing w:after="0"/>
              <w:rPr>
                <w:sz w:val="21"/>
                <w:szCs w:val="21"/>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2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Delay</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Reduction</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r>
      <w:tr>
        <w:trPr>
          <w:trHeight w:val="175"/>
        </w:trPr>
        <w:tc>
          <w:tcPr>
            <w:tcW w:w="16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152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14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1660" w:type="dxa"/>
            <w:vAlign w:val="bottom"/>
            <w:tcBorders>
              <w:right w:val="single" w:sz="8" w:color="CCEEFF"/>
            </w:tcBorders>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real</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198"/>
        </w:trPr>
        <w:tc>
          <w:tcPr>
            <w:tcW w:w="16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specialized</w:t>
            </w:r>
          </w:p>
        </w:tc>
        <w:tc>
          <w:tcPr>
            <w:tcW w:w="1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198"/>
        </w:trPr>
        <w:tc>
          <w:tcPr>
            <w:tcW w:w="1660" w:type="dxa"/>
            <w:vAlign w:val="bottom"/>
            <w:tcBorders>
              <w:right w:val="single" w:sz="8" w:color="CCEEFF"/>
            </w:tcBorders>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6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r>
      <w:tr>
        <w:trPr>
          <w:trHeight w:val="27"/>
        </w:trPr>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1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r>
      <w:tr>
        <w:trPr>
          <w:trHeight w:val="169"/>
        </w:trPr>
        <w:tc>
          <w:tcPr>
            <w:tcW w:w="1660" w:type="dxa"/>
            <w:vAlign w:val="bottom"/>
            <w:tcBorders>
              <w:top w:val="single" w:sz="8" w:color="CCEEFF"/>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r>
      <w:tr>
        <w:trPr>
          <w:trHeight w:val="196"/>
        </w:trPr>
        <w:tc>
          <w:tcPr>
            <w:tcW w:w="152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September 30, 2023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14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1660" w:type="dxa"/>
            <w:vAlign w:val="bottom"/>
            <w:tcBorders>
              <w:right w:val="single" w:sz="8" w:color="CCEEFF"/>
            </w:tcBorders>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real</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0.21%</w:t>
            </w:r>
          </w:p>
        </w:tc>
      </w:tr>
      <w:tr>
        <w:trPr>
          <w:trHeight w:val="198"/>
        </w:trPr>
        <w:tc>
          <w:tcPr>
            <w:tcW w:w="16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specialized</w:t>
            </w:r>
          </w:p>
        </w:tc>
        <w:tc>
          <w:tcPr>
            <w:tcW w:w="1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0.19%</w:t>
            </w:r>
          </w:p>
        </w:tc>
      </w:tr>
      <w:tr>
        <w:trPr>
          <w:trHeight w:val="198"/>
        </w:trPr>
        <w:tc>
          <w:tcPr>
            <w:tcW w:w="1660" w:type="dxa"/>
            <w:vAlign w:val="bottom"/>
            <w:tcBorders>
              <w:right w:val="single" w:sz="8" w:color="CCEEFF"/>
            </w:tcBorders>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16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1,816</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1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0.20%</w:t>
            </w:r>
          </w:p>
        </w:tc>
      </w:tr>
      <w:tr>
        <w:trPr>
          <w:trHeight w:val="169"/>
        </w:trPr>
        <w:tc>
          <w:tcPr>
            <w:tcW w:w="1460" w:type="dxa"/>
            <w:vAlign w:val="bottom"/>
            <w:tcBorders>
              <w:top w:val="single" w:sz="8" w:color="CCEEFF"/>
              <w:bottom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9"/>
              </w:rPr>
              <w:t>Nine Months Ended</w:t>
            </w:r>
          </w:p>
        </w:tc>
        <w:tc>
          <w:tcPr>
            <w:tcW w:w="200" w:type="dxa"/>
            <w:vAlign w:val="bottom"/>
            <w:tcBorders>
              <w:top w:val="single" w:sz="8" w:color="CCEEFF"/>
            </w:tcBorders>
            <w:gridSpan w:val="2"/>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r>
      <w:tr>
        <w:trPr>
          <w:trHeight w:val="196"/>
        </w:trPr>
        <w:tc>
          <w:tcPr>
            <w:tcW w:w="1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1660" w:type="dxa"/>
            <w:vAlign w:val="bottom"/>
            <w:tcBorders>
              <w:right w:val="single" w:sz="8" w:color="CCEEFF"/>
            </w:tcBorders>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real</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198"/>
        </w:trPr>
        <w:tc>
          <w:tcPr>
            <w:tcW w:w="16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specialized</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198"/>
        </w:trPr>
        <w:tc>
          <w:tcPr>
            <w:tcW w:w="1660" w:type="dxa"/>
            <w:vAlign w:val="bottom"/>
            <w:tcBorders>
              <w:right w:val="single" w:sz="8" w:color="CCEEFF"/>
            </w:tcBorders>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6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r>
      <w:tr>
        <w:trPr>
          <w:trHeight w:val="27"/>
        </w:trPr>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1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r>
      <w:tr>
        <w:trPr>
          <w:trHeight w:val="169"/>
        </w:trPr>
        <w:tc>
          <w:tcPr>
            <w:tcW w:w="1460" w:type="dxa"/>
            <w:vAlign w:val="bottom"/>
            <w:tcBorders>
              <w:top w:val="single" w:sz="8" w:color="CCEEFF"/>
              <w:bottom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9"/>
              </w:rPr>
              <w:t>Nine Months Ended</w:t>
            </w:r>
          </w:p>
        </w:tc>
        <w:tc>
          <w:tcPr>
            <w:tcW w:w="200" w:type="dxa"/>
            <w:vAlign w:val="bottom"/>
            <w:tcBorders>
              <w:top w:val="single" w:sz="8" w:color="CCEEFF"/>
            </w:tcBorders>
            <w:gridSpan w:val="2"/>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r>
      <w:tr>
        <w:trPr>
          <w:trHeight w:val="196"/>
        </w:trPr>
        <w:tc>
          <w:tcPr>
            <w:tcW w:w="1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September 30, 2023</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1660" w:type="dxa"/>
            <w:vAlign w:val="bottom"/>
            <w:tcBorders>
              <w:right w:val="single" w:sz="8" w:color="CCEEFF"/>
            </w:tcBorders>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real</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0.21%</w:t>
            </w:r>
          </w:p>
        </w:tc>
      </w:tr>
      <w:tr>
        <w:trPr>
          <w:trHeight w:val="198"/>
        </w:trPr>
        <w:tc>
          <w:tcPr>
            <w:tcW w:w="16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specialized</w:t>
            </w:r>
          </w:p>
        </w:tc>
        <w:tc>
          <w:tcPr>
            <w:tcW w:w="1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0.43%</w:t>
            </w:r>
          </w:p>
        </w:tc>
      </w:tr>
      <w:tr>
        <w:trPr>
          <w:trHeight w:val="198"/>
        </w:trPr>
        <w:tc>
          <w:tcPr>
            <w:tcW w:w="1660" w:type="dxa"/>
            <w:vAlign w:val="bottom"/>
            <w:tcBorders>
              <w:right w:val="single" w:sz="8" w:color="CCEEFF"/>
            </w:tcBorders>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5,053</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16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3,002</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r>
      <w:tr>
        <w:trPr>
          <w:trHeight w:val="27"/>
        </w:trPr>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1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13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0.46%</w:t>
            </w:r>
          </w:p>
        </w:tc>
      </w:tr>
      <w:tr>
        <w:trPr>
          <w:trHeight w:val="20"/>
        </w:trPr>
        <w:tc>
          <w:tcPr>
            <w:tcW w:w="1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66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66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effects of the loan modifications presented above to borrowers experiencing financial difficulty during the periods indicated below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Term</w:t>
            </w:r>
          </w:p>
        </w:tc>
      </w:tr>
      <w:tr>
        <w:trPr>
          <w:trHeight w:val="216"/>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Extension</w:t>
            </w:r>
          </w:p>
        </w:tc>
      </w:tr>
      <w:tr>
        <w:trPr>
          <w:trHeight w:val="245"/>
        </w:trPr>
        <w:tc>
          <w:tcPr>
            <w:tcW w:w="2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Forgiveness</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(Months)</w:t>
            </w:r>
          </w:p>
        </w:tc>
      </w:tr>
      <w:tr>
        <w:trPr>
          <w:trHeight w:val="176"/>
        </w:trPr>
        <w:tc>
          <w:tcPr>
            <w:tcW w:w="4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Three Months Ended September 30, 2024</w:t>
            </w:r>
          </w:p>
        </w:tc>
        <w:tc>
          <w:tcPr>
            <w:tcW w:w="30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9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2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0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r>
      <w:tr>
        <w:trPr>
          <w:trHeight w:val="169"/>
        </w:trPr>
        <w:tc>
          <w:tcPr>
            <w:tcW w:w="4280" w:type="dxa"/>
            <w:vAlign w:val="bottom"/>
            <w:tcBorders>
              <w:top w:val="single" w:sz="8" w:color="CCEEFF"/>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rPr>
              <w:t>Three Months Ended September 30, 2023</w:t>
            </w:r>
          </w:p>
        </w:tc>
        <w:tc>
          <w:tcPr>
            <w:tcW w:w="30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
        </w:trPr>
        <w:tc>
          <w:tcPr>
            <w:tcW w:w="29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2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0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r>
      <w:tr>
        <w:trPr>
          <w:trHeight w:val="169"/>
        </w:trPr>
        <w:tc>
          <w:tcPr>
            <w:tcW w:w="4280" w:type="dxa"/>
            <w:vAlign w:val="bottom"/>
            <w:tcBorders>
              <w:top w:val="single" w:sz="8" w:color="CCEEFF"/>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rPr>
              <w:t>Nine Months Ended September 30, 2024</w:t>
            </w:r>
          </w:p>
        </w:tc>
        <w:tc>
          <w:tcPr>
            <w:tcW w:w="30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
        </w:trPr>
        <w:tc>
          <w:tcPr>
            <w:tcW w:w="29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2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0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r>
      <w:tr>
        <w:trPr>
          <w:trHeight w:val="169"/>
        </w:trPr>
        <w:tc>
          <w:tcPr>
            <w:tcW w:w="4280" w:type="dxa"/>
            <w:vAlign w:val="bottom"/>
            <w:tcBorders>
              <w:top w:val="single" w:sz="8" w:color="CCEEFF"/>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rPr>
              <w:t>Nine Months Ended September 30, 2023</w:t>
            </w:r>
          </w:p>
        </w:tc>
        <w:tc>
          <w:tcPr>
            <w:tcW w:w="30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
        </w:trPr>
        <w:tc>
          <w:tcPr>
            <w:tcW w:w="29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2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0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2"/>
                <w:szCs w:val="22"/>
                <w:color w:val="auto"/>
              </w:rPr>
            </w:pPr>
          </w:p>
        </w:tc>
      </w:tr>
      <w:tr>
        <w:trPr>
          <w:trHeight w:val="564"/>
        </w:trPr>
        <w:tc>
          <w:tcPr>
            <w:tcW w:w="29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3040" w:type="dxa"/>
            <w:vAlign w:val="bottom"/>
            <w:tcBorders>
              <w:top w:val="single" w:sz="8" w:color="CCEEFF"/>
            </w:tcBorders>
          </w:tcPr>
          <w:p>
            <w:pPr>
              <w:jc w:val="right"/>
              <w:ind w:right="1534"/>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2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closely monitors the performance of loans that are modified to borrowers experiencing financial difficulty to understand the effectiveness of its modification efforts. The following presents the performance of such loans that have been modified in the last twelve months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90 Days 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30-89 Days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More Past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46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Due</w:t>
            </w:r>
          </w:p>
        </w:tc>
        <w:tc>
          <w:tcPr>
            <w:tcW w:w="10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w:t>
            </w:r>
          </w:p>
        </w:tc>
      </w:tr>
      <w:tr>
        <w:trPr>
          <w:trHeight w:val="175"/>
        </w:trPr>
        <w:tc>
          <w:tcPr>
            <w:tcW w:w="5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September 30, 2024</w:t>
            </w: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46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1,442</w:t>
            </w:r>
          </w:p>
        </w:tc>
      </w:tr>
      <w:tr>
        <w:trPr>
          <w:trHeight w:val="257"/>
        </w:trPr>
        <w:tc>
          <w:tcPr>
            <w:tcW w:w="146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96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21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2023, the Company had no loans made to borrowers experiencing financial difficulty that were modified during the last twelve months that subsequently defaulted.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had $32 thousand in loans made to borrowers experiencing financial difficulty that were modified during the last twelve months that subsequently defaulted. Payment default is defined as movement to nonperforming status, foreclosure, or charge-off.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goodwill of $19.3 million at September 30, 2024 and December 31, 2023,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which consisted of core deposit intangibles at the dates indicated are summarized below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94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deposit intangible</w:t>
            </w:r>
          </w:p>
        </w:tc>
        <w:tc>
          <w:tcPr>
            <w:tcW w:w="494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6,679</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6,679</w:t>
            </w: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8"/>
              </w:rPr>
              <w:t>(4,797)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(4,250)</w:t>
            </w:r>
          </w:p>
        </w:tc>
      </w:tr>
      <w:tr>
        <w:trPr>
          <w:trHeight w:val="257"/>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474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1,882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3940" w:type="dxa"/>
            <w:vAlign w:val="bottom"/>
          </w:tcPr>
          <w:p>
            <w:pPr>
              <w:spacing w:after="0"/>
              <w:rPr>
                <w:sz w:val="24"/>
                <w:szCs w:val="24"/>
                <w:color w:val="auto"/>
              </w:rPr>
            </w:pPr>
          </w:p>
        </w:tc>
        <w:tc>
          <w:tcPr>
            <w:tcW w:w="4620" w:type="dxa"/>
            <w:vAlign w:val="bottom"/>
          </w:tcPr>
          <w:p>
            <w:pPr>
              <w:jc w:val="right"/>
              <w:ind w:right="2779"/>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940" w:type="dxa"/>
            <w:vAlign w:val="bottom"/>
            <w:tcBorders>
              <w:bottom w:val="single" w:sz="8" w:color="auto"/>
            </w:tcBorders>
          </w:tcPr>
          <w:p>
            <w:pPr>
              <w:spacing w:after="0"/>
              <w:rPr>
                <w:sz w:val="3"/>
                <w:szCs w:val="3"/>
                <w:color w:val="auto"/>
              </w:rPr>
            </w:pPr>
          </w:p>
        </w:tc>
        <w:tc>
          <w:tcPr>
            <w:tcW w:w="4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MORTGAGE SERVICING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changes in fair value of the Company’s mortgage servicing rights asset included in the Consolidated Balance Sheets, and other information related to the serviced portfolio, for the periods or dates presented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adjustment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(875)</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24,573</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24,573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27,749</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serviced for others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1,928,087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2,001,476</w:t>
            </w:r>
          </w:p>
        </w:tc>
        <w:tc>
          <w:tcPr>
            <w:tcW w:w="160" w:type="dxa"/>
            <w:vAlign w:val="bottom"/>
            <w:shd w:val="clear" w:color="auto" w:fill="CCEEFF"/>
          </w:tcPr>
          <w:p>
            <w:pPr>
              <w:spacing w:after="0"/>
              <w:rPr>
                <w:sz w:val="18"/>
                <w:szCs w:val="18"/>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 assets as a percentage of serviced mortgage loans</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key assumptions used in measuring the fair value of the Company’s mortgage servicing rights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constant prepayment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7.46%</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life in years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Subordinated Debt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2018, the Company issued $14.1 million of subordinated notes that have a maturity date of December 2030 and a weighted average fixed rate of 6.41% for the first seven years. After the fixed rate periods, these notes will float at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2020, the Company issued $50.0 million in subordinated debt notes. Proceeds were reduced by approximately $926 thousand in debt issuance costs. These notes have a maturity date of September 2030 with a fixed rate of 4.50% for the first five years. After the expiration of the fixed rate period, these notes will reset quarterly at a variable rate equal to the then current three-month Secured Overnight Financing Rate (“SOFR”), as published by the Federal Reserve Bank of New York, plus 438 basis points. These notes pay interest semi-annually, are unsecured, and may be called by the Company at any time after the remaining maturity is five years or less. Additionally, these notes are intended to qualify for Tier 2 capital treatment, subject to regulatory limitations.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total amount of subordinated notes outstanding was $64.1 million less approximately $186 thousand of remaining debt issuance costs for a total balance of $63.9 million. As of December 31, 2023, the total amount of subordinated notes outstanding was $64.1 million less approximately $325 thousand of remaining debt issuance costs for a total balance of $63.8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Payable and Other Borrowings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City Bank had no outstanding advances from the Federal Home Loan Bank of Dallas (“FHLB”).</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Incentive Plan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The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was 4,919,509 at September 30, 2024. The maximum aggregate number of shares that may be issued under the Plan may be increased annually by up to 3% of the total issued and outstanding common shares of the Company at the beginning of each fiscal year.</w:t>
      </w:r>
    </w:p>
    <w:p>
      <w:pPr>
        <w:sectPr>
          <w:pgSz w:w="11900" w:h="16838" w:orient="portrait"/>
          <w:cols w:equalWidth="0" w:num="1">
            <w:col w:w="11240"/>
          </w:cols>
          <w:pgMar w:left="320" w:top="115"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the U.S. Treasury yield curve in effect at the time of the grant.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in the Plan during the period indicated is presented in the table below (dollars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45"/>
        </w:trPr>
        <w:tc>
          <w:tcPr>
            <w:tcW w:w="29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21"/>
                <w:szCs w:val="21"/>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Life in Years</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176"/>
        </w:trPr>
        <w:tc>
          <w:tcPr>
            <w:tcW w:w="54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Nine Months Ended September 30, 2024</w:t>
            </w: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94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1,280,858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16.91</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21,786</w:t>
            </w:r>
          </w:p>
        </w:tc>
      </w:tr>
      <w:tr>
        <w:trPr>
          <w:trHeight w:val="216"/>
        </w:trPr>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32,465</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29.32</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5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(11,737)</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17.79</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1,301,586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17.21</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21,746</w:t>
            </w:r>
          </w:p>
        </w:tc>
      </w:tr>
      <w:tr>
        <w:trPr>
          <w:trHeight w:val="209"/>
        </w:trPr>
        <w:tc>
          <w:tcPr>
            <w:tcW w:w="29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end of period</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1,182,975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16.37</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20,761</w:t>
            </w:r>
          </w:p>
        </w:tc>
      </w:tr>
      <w:tr>
        <w:trPr>
          <w:trHeight w:val="209"/>
        </w:trPr>
        <w:tc>
          <w:tcPr>
            <w:tcW w:w="29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end of period</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1,182,975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16.37</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20,761</w:t>
            </w: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assumptions used to calculate the fair values of the awards granted during the periods noted is presented below:</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8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84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39.13% to 39.68%</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 to 1.90%</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6.1 to 6.3</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 to 3.98%</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nine months ended September 30, 2024 and 2023 was $134 thousand and $439 thousand,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Awards and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in the Plan during the period indicated is presented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29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45"/>
        </w:trPr>
        <w:tc>
          <w:tcPr>
            <w:tcW w:w="29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175"/>
        </w:trPr>
        <w:tc>
          <w:tcPr>
            <w:tcW w:w="84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Nine Months Ended September 30, 2024</w:t>
            </w: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94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26.58</w:t>
            </w:r>
          </w:p>
        </w:tc>
      </w:tr>
      <w:tr>
        <w:trPr>
          <w:trHeight w:val="216"/>
        </w:trPr>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89,103</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26.56</w:t>
            </w:r>
          </w:p>
        </w:tc>
      </w:tr>
      <w:tr>
        <w:trPr>
          <w:trHeight w:val="216"/>
        </w:trPr>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(23,478)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27.38</w:t>
            </w:r>
          </w:p>
        </w:tc>
      </w:tr>
      <w:tr>
        <w:trPr>
          <w:trHeight w:val="223"/>
        </w:trPr>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(3,647)</w:t>
            </w: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24.54</w:t>
            </w:r>
          </w:p>
        </w:tc>
      </w:tr>
      <w:tr>
        <w:trPr>
          <w:trHeight w:val="216"/>
        </w:trPr>
        <w:tc>
          <w:tcPr>
            <w:tcW w:w="294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187,895</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26.51</w:t>
            </w:r>
          </w:p>
        </w:tc>
      </w:tr>
      <w:tr>
        <w:trPr>
          <w:trHeight w:val="21"/>
        </w:trPr>
        <w:tc>
          <w:tcPr>
            <w:tcW w:w="29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stock units granted under the Plan typically vest from one to four years, but vesting periods may vary. Compensation expense for these grants will be recognized over the vesting period of the awards based on the fair value of the stock at the issue date. The total fair value of restricted stock units vested during each of the nine months ended September 30, 2024 and 2023 was $643 thousand and $931 thousand, respectively.</w:t>
      </w:r>
    </w:p>
    <w:p>
      <w:pPr>
        <w:sectPr>
          <w:pgSz w:w="11900" w:h="16838" w:orient="portrait"/>
          <w:cols w:equalWidth="0" w:num="1">
            <w:col w:w="11240"/>
          </w:cols>
          <w:pgMar w:left="320" w:top="115"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and 2023 the Company recorded stock-based compensation expense related to the Plan of $563 thousand and $511 thousand, respectively. The Company recorded stock-based compensation expense related to the Plan of $1.7 million and $1.6 million for the nine months ended September 30, 2024 and 2023, respectively. The total unrecognized compensation cost for the awards outstanding under the Plan at September 30, 2024 was $3.8 million and will be recognized over a weighted average remaining period of 1.67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OFF-BALANCE-SHEET ACTIVITIES, COMMITMENTS AND CONTINGENCIES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Financial instruments with off-balance-sheet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is a party to financial instruments with off-balance-sheet risk in the normal course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whose contract amounts represent credit risk outstanding at the dates indicated follow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to grant loans and unfunded commitments under lines of credit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598,800</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16,309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11,503</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FHLB Letters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may use FHLB letters of credit to pledge to certain public deposits. At September 30, 2024 there were FHLB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letters of credit outstanding of $75.0 million. There were no FHLB letters of credit outstanding at December 31, 2023.</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is a defendant in legal actions arising from time to time in the normal course of business. Management believes that the ultimate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if any, arising from these matters will not materially affect the consolidated financial statements, based on information known as of the date the consolidated financial statements were issued.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CAPITAL AND REGULATORY MATTERS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September 30, 2024 and December 31, 2023, that the Company and its bank subsidiary met all capital adequacy requirements to which they are subject.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and December 31, 2023, the Company met the definition of “well-capitalized” under the applicable regulations of the Board of Governors of the Federal Reserve System and the bank subsidiary was “well capitalized” under the FDIC’s regulatory framework for prompt corrective action and the Basel III capital guidelines. To be categorized as well capitalized, an institution must maintain minimum total risk-based, Tier 1 risk-based and Tier 1 leverage ratios as set forth in the following tables. There are no conditions or events since September 30, 2024 that management believes have changed the bank subsidiary’s category.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bank subsidiary’s actual capital amounts and ratios at the dates indicated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To Be Well Capitalized</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Minimum Required</w:t>
            </w:r>
          </w:p>
        </w:tc>
        <w:tc>
          <w:tcPr>
            <w:tcW w:w="160" w:type="dxa"/>
            <w:vAlign w:val="bottom"/>
          </w:tcPr>
          <w:p>
            <w:pPr>
              <w:spacing w:after="0"/>
              <w:rPr>
                <w:sz w:val="18"/>
                <w:szCs w:val="18"/>
                <w:color w:val="auto"/>
              </w:rPr>
            </w:pPr>
          </w:p>
        </w:tc>
        <w:tc>
          <w:tcPr>
            <w:tcW w:w="24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Under Prompt Corrective</w:t>
            </w:r>
          </w:p>
        </w:tc>
      </w:tr>
      <w:tr>
        <w:trPr>
          <w:trHeight w:val="245"/>
        </w:trPr>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Under BASEL III</w:t>
            </w:r>
          </w:p>
        </w:tc>
        <w:tc>
          <w:tcPr>
            <w:tcW w:w="160" w:type="dxa"/>
            <w:vAlign w:val="bottom"/>
          </w:tcPr>
          <w:p>
            <w:pPr>
              <w:spacing w:after="0"/>
              <w:rPr>
                <w:sz w:val="21"/>
                <w:szCs w:val="21"/>
                <w:color w:val="auto"/>
              </w:rPr>
            </w:pPr>
          </w:p>
        </w:tc>
        <w:tc>
          <w:tcPr>
            <w:tcW w:w="24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Action Provisions</w:t>
            </w:r>
          </w:p>
        </w:tc>
      </w:tr>
      <w:tr>
        <w:trPr>
          <w:trHeight w:val="223"/>
        </w:trPr>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60" w:type="dxa"/>
            <w:vAlign w:val="bottom"/>
          </w:tcPr>
          <w:p>
            <w:pPr>
              <w:spacing w:after="0"/>
              <w:rPr>
                <w:sz w:val="19"/>
                <w:szCs w:val="19"/>
                <w:color w:val="auto"/>
              </w:rPr>
            </w:pPr>
          </w:p>
        </w:tc>
      </w:tr>
      <w:tr>
        <w:trPr>
          <w:trHeight w:val="175"/>
        </w:trPr>
        <w:tc>
          <w:tcPr>
            <w:tcW w:w="1460" w:type="dxa"/>
            <w:vAlign w:val="bottom"/>
            <w:tcBorders>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w w:val="99"/>
              </w:rPr>
              <w:t>September 30, 2024</w:t>
            </w:r>
          </w:p>
        </w:tc>
        <w:tc>
          <w:tcPr>
            <w:tcW w:w="17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617,052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367,876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511,744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14.61%</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367,822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350,307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509,338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297,804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467,956</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13.36%</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297,761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280,245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32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to Risk Weighted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464,338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245,251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467,956</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13.36%</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245,215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227,699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509,338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174,049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467,956</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10.81%</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174,015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216,459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32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589,565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369,753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494,353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369,635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352,033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482,044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13.69%</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299,324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450,607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299,228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281,627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2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to Risk Weighted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437,044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12.41%</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246,502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450,607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246,423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228,822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482,044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11.33%</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171,037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450,607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170,945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212,594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the Basel III capital ratio requirements which include a “capital conservation buffer” of 2.50% above the regulatory minimum risk-based capital adequacy requirements. This 2.50% capital conservation buffer is reflected in the table above. Both the Company’s and the Bank’s actual ratios, as outlined in the table above, exceeded the Basel III risk-based capital requirement with the capital conservation buffer as of September 30,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amounts of the interest rate swaps do not represent amounts exchanged by the parties. The amount exchanged is determined by reference to the notional amounts and the other terms of the individual interest rate swap agreements.</w:t>
      </w:r>
    </w:p>
    <w:p>
      <w:pPr>
        <w:sectPr>
          <w:pgSz w:w="11900" w:h="16838" w:orient="portrait"/>
          <w:cols w:equalWidth="0" w:num="1">
            <w:col w:w="11240"/>
          </w:cols>
          <w:pgMar w:left="320" w:top="115" w:right="339"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changes in fair value hedges included in the Consolidated Statements of Comprehensive Income (Loss) for the periods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424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440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r>
      <w:tr>
        <w:trPr>
          <w:trHeight w:val="198"/>
        </w:trPr>
        <w:tc>
          <w:tcPr>
            <w:tcW w:w="42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interest rate swaps hedging</w:t>
            </w:r>
          </w:p>
        </w:tc>
        <w:tc>
          <w:tcPr>
            <w:tcW w:w="4280" w:type="dxa"/>
            <w:vAlign w:val="bottom"/>
            <w:tcBorders>
              <w:top w:val="single" w:sz="8" w:color="auto"/>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Other noninterest expense</w:t>
            </w:r>
          </w:p>
        </w:tc>
        <w:tc>
          <w:tcPr>
            <w:tcW w:w="1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46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hedged investment securities</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4,196</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(2,091)</w:t>
            </w:r>
          </w:p>
        </w:tc>
      </w:tr>
      <w:tr>
        <w:trPr>
          <w:trHeight w:val="198"/>
        </w:trPr>
        <w:tc>
          <w:tcPr>
            <w:tcW w:w="4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interest rate swaps hedging fixed</w:t>
            </w:r>
          </w:p>
        </w:tc>
        <w:tc>
          <w:tcPr>
            <w:tcW w:w="4680" w:type="dxa"/>
            <w:vAlign w:val="bottom"/>
            <w:gridSpan w:val="3"/>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Interest income - Loans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 loans</w:t>
            </w:r>
          </w:p>
        </w:tc>
        <w:tc>
          <w:tcPr>
            <w:tcW w:w="46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hedged fixed rate loans</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Interest income - Loans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424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4500" w:type="dxa"/>
            <w:vAlign w:val="bottom"/>
            <w:gridSpan w:val="3"/>
          </w:tcPr>
          <w:p>
            <w:pPr>
              <w:ind w:left="188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r>
      <w:tr>
        <w:trPr>
          <w:trHeight w:val="198"/>
        </w:trPr>
        <w:tc>
          <w:tcPr>
            <w:tcW w:w="42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interest rate swaps hedging</w:t>
            </w:r>
          </w:p>
        </w:tc>
        <w:tc>
          <w:tcPr>
            <w:tcW w:w="4280" w:type="dxa"/>
            <w:vAlign w:val="bottom"/>
            <w:tcBorders>
              <w:top w:val="single" w:sz="8" w:color="auto"/>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Other noninterest expense</w:t>
            </w:r>
          </w:p>
        </w:tc>
        <w:tc>
          <w:tcPr>
            <w:tcW w:w="120" w:type="dxa"/>
            <w:vAlign w:val="bottom"/>
            <w:shd w:val="clear" w:color="auto" w:fill="CCEEFF"/>
          </w:tcPr>
          <w:p>
            <w:pPr>
              <w:spacing w:after="0"/>
              <w:rPr>
                <w:sz w:val="17"/>
                <w:szCs w:val="17"/>
                <w:color w:val="auto"/>
              </w:rPr>
            </w:pPr>
          </w:p>
        </w:tc>
        <w:tc>
          <w:tcPr>
            <w:tcW w:w="380" w:type="dxa"/>
            <w:vAlign w:val="bottom"/>
            <w:tcBorders>
              <w:top w:val="single" w:sz="8" w:color="auto"/>
            </w:tcBorders>
            <w:gridSpan w:val="2"/>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4780" w:type="dxa"/>
            <w:vAlign w:val="bottom"/>
            <w:gridSpan w:val="4"/>
            <w:shd w:val="clear" w:color="auto" w:fill="CCEEFF"/>
          </w:tcPr>
          <w:p>
            <w:pPr>
              <w:ind w:left="45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(3,545)</w:t>
            </w:r>
          </w:p>
        </w:tc>
        <w:tc>
          <w:tcPr>
            <w:tcW w:w="6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hedged investment securities</w:t>
            </w:r>
          </w:p>
        </w:tc>
        <w:tc>
          <w:tcPr>
            <w:tcW w:w="47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3,274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198"/>
        </w:trPr>
        <w:tc>
          <w:tcPr>
            <w:tcW w:w="4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interest rate swaps hedging fixed</w:t>
            </w:r>
          </w:p>
        </w:tc>
        <w:tc>
          <w:tcPr>
            <w:tcW w:w="4780" w:type="dxa"/>
            <w:vAlign w:val="bottom"/>
            <w:gridSpan w:val="4"/>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Interest income - Loans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 loans</w:t>
            </w:r>
          </w:p>
        </w:tc>
        <w:tc>
          <w:tcPr>
            <w:tcW w:w="4780" w:type="dxa"/>
            <w:vAlign w:val="bottom"/>
            <w:gridSpan w:val="4"/>
            <w:shd w:val="clear" w:color="auto" w:fill="CCEEFF"/>
          </w:tcPr>
          <w:p>
            <w:pPr>
              <w:ind w:left="45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hedged fixed rate loans</w:t>
            </w:r>
          </w:p>
        </w:tc>
        <w:tc>
          <w:tcPr>
            <w:tcW w:w="47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Interest income - Loans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fair value hedges included in the Consolidated Balance Sheets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21"/>
                <w:szCs w:val="21"/>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94"/>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1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liabilities: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fixed rate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state and municipal securities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fixed rate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11,803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state and municipal securities</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123,760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13,083</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123,760</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16,628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banking derivatives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gains (losses) relating to free standing derivative instruments used for risk management are summarized below for the periods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0" w:type="dxa"/>
            <w:vAlign w:val="bottom"/>
          </w:tcPr>
          <w:p>
            <w:pPr>
              <w:spacing w:after="0"/>
              <w:rPr>
                <w:sz w:val="1"/>
                <w:szCs w:val="1"/>
                <w:color w:val="auto"/>
              </w:rPr>
            </w:pPr>
          </w:p>
        </w:tc>
      </w:tr>
      <w:tr>
        <w:trPr>
          <w:trHeight w:val="245"/>
        </w:trPr>
        <w:tc>
          <w:tcPr>
            <w:tcW w:w="3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8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4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mortgage banking derivatives</w:t>
            </w:r>
          </w:p>
        </w:tc>
        <w:tc>
          <w:tcPr>
            <w:tcW w:w="540" w:type="dxa"/>
            <w:vAlign w:val="bottom"/>
            <w:shd w:val="clear" w:color="auto" w:fill="CCEEFF"/>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(loss) on sales of loans</w:t>
            </w: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3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16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0" w:type="dxa"/>
            <w:vAlign w:val="bottom"/>
            <w:vMerge w:val="restart"/>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6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mortgage banking derivatives</w:t>
            </w:r>
          </w:p>
        </w:tc>
        <w:tc>
          <w:tcPr>
            <w:tcW w:w="540" w:type="dxa"/>
            <w:vAlign w:val="bottom"/>
            <w:shd w:val="clear" w:color="auto" w:fill="CCEEFF"/>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(loss) on sales of loans</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570"/>
        </w:trPr>
        <w:tc>
          <w:tcPr>
            <w:tcW w:w="3740" w:type="dxa"/>
            <w:vAlign w:val="bottom"/>
          </w:tcPr>
          <w:p>
            <w:pPr>
              <w:spacing w:after="0"/>
              <w:rPr>
                <w:sz w:val="24"/>
                <w:szCs w:val="24"/>
                <w:color w:val="auto"/>
              </w:rPr>
            </w:pPr>
          </w:p>
        </w:tc>
        <w:tc>
          <w:tcPr>
            <w:tcW w:w="4700" w:type="dxa"/>
            <w:vAlign w:val="bottom"/>
            <w:gridSpan w:val="2"/>
          </w:tcPr>
          <w:p>
            <w:pPr>
              <w:jc w:val="right"/>
              <w:ind w:right="2650"/>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7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amount and fair value of mortgage banking derivatives in the Consolidated Balance Sheets at the dates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94"/>
        </w:trPr>
        <w:tc>
          <w:tcPr>
            <w:tcW w:w="58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90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2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45"/>
        </w:trPr>
        <w:tc>
          <w:tcPr>
            <w:tcW w:w="5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21"/>
                <w:szCs w:val="21"/>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assets:</w:t>
            </w: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contracts related to mortgage loans held for sale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21,865</w:t>
            </w:r>
          </w:p>
        </w:tc>
        <w:tc>
          <w:tcPr>
            <w:tcW w:w="9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16,887</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5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contracts related to mortgage loans held for sale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22,166</w:t>
            </w:r>
          </w:p>
        </w:tc>
        <w:tc>
          <w:tcPr>
            <w:tcW w:w="9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19,021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received cash collateral of $13.7 million and $18.3 million to offset asset derivative positions on its interest rate swaps at September 30, 2024 and December 31, 2023, respectively. This amount is reported in other liabilities in the Consolidated Balance Sheets. The Company had advanced $1.1 million to offset liability derivative positions on its interest rate swaps at September 30, 2024 and December 31, 2023, respectively. Additionally, the Company had advanced $440 thousand on its mortgage forward contracts at September 30, 2024 and December 31, 2023, respectively. The advanced cash collateral amounts are reported in cash and due from banks in the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used in the earnings per share computation for the periods indicated follow (dollars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9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16,386,079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16,842,594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16,413,685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16,978,499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awards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670,880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511,588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565,753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462,402</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17,056,959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17,354,182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16,979,438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17,440,901</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DISCLOSURES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pacing w:after="0" w:line="192" w:lineRule="exact"/>
        <w:rPr>
          <w:sz w:val="20"/>
          <w:szCs w:val="20"/>
          <w:color w:val="auto"/>
        </w:rPr>
      </w:pPr>
    </w:p>
    <w:p>
      <w:pPr>
        <w:ind w:left="860" w:right="20" w:hanging="488"/>
        <w:spacing w:after="0" w:line="26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Inputs </w:t>
      </w:r>
      <w:r>
        <w:rPr>
          <w:rFonts w:ascii="Times New Roman" w:cs="Times New Roman" w:eastAsia="Times New Roman" w:hAnsi="Times New Roman"/>
          <w:sz w:val="18"/>
          <w:szCs w:val="18"/>
          <w:color w:val="auto"/>
        </w:rPr>
        <w:t>- Unadjusted quoted prices in active markets for identical assets or liabilities that the reporting entity has the ability to access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date.</w:t>
      </w:r>
    </w:p>
    <w:p>
      <w:pPr>
        <w:jc w:val="both"/>
        <w:ind w:left="860" w:hanging="488"/>
        <w:spacing w:after="0" w:line="250"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Inputs </w:t>
      </w:r>
      <w:r>
        <w:rPr>
          <w:rFonts w:ascii="Times New Roman" w:cs="Times New Roman" w:eastAsia="Times New Roman" w:hAnsi="Times New Roman"/>
          <w:sz w:val="18"/>
          <w:szCs w:val="18"/>
          <w:color w:val="auto"/>
        </w:rPr>
        <w:t>- Inputs other than quoted prices included in Level 1 that are observable for the asset or liability, either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 w:lineRule="exact"/>
        <w:rPr>
          <w:rFonts w:ascii="Times New Roman" w:cs="Times New Roman" w:eastAsia="Times New Roman" w:hAnsi="Times New Roman"/>
          <w:sz w:val="18"/>
          <w:szCs w:val="18"/>
          <w:color w:val="auto"/>
        </w:rPr>
      </w:pPr>
    </w:p>
    <w:p>
      <w:pPr>
        <w:ind w:left="860" w:hanging="488"/>
        <w:spacing w:after="0" w:line="260"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Inputs </w:t>
      </w:r>
      <w:r>
        <w:rPr>
          <w:rFonts w:ascii="Times New Roman" w:cs="Times New Roman" w:eastAsia="Times New Roman" w:hAnsi="Times New Roman"/>
          <w:sz w:val="18"/>
          <w:szCs w:val="18"/>
          <w:color w:val="auto"/>
        </w:rPr>
        <w:t>- Significant unobservable inputs for determining the fair values of assets or liabilities that reflect an entity’s own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the assumptions that market participants would use in pricing the assets or liabilities.</w:t>
      </w:r>
    </w:p>
    <w:p>
      <w:pPr>
        <w:sectPr>
          <w:pgSz w:w="11900" w:h="16838" w:orient="portrait"/>
          <w:cols w:equalWidth="0" w:num="1">
            <w:col w:w="11240"/>
          </w:cols>
          <w:pgMar w:left="320" w:top="115" w:right="339" w:bottom="1038"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038"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summarizes fair value measurements as of the dates indicated below (dollars in thousands):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75"/>
        </w:trPr>
        <w:tc>
          <w:tcPr>
            <w:tcW w:w="1460" w:type="dxa"/>
            <w:vAlign w:val="bottom"/>
            <w:tcBorders>
              <w:bottom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w w:val="99"/>
              </w:rPr>
              <w:t>September 30, 2024</w:t>
            </w:r>
          </w:p>
        </w:tc>
        <w:tc>
          <w:tcPr>
            <w:tcW w:w="45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8"/>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Assets (liabilities) measured at fair value on a 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municipal</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180,924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180,924</w:t>
            </w:r>
          </w:p>
        </w:tc>
      </w:tr>
      <w:tr>
        <w:trPr>
          <w:trHeight w:val="216"/>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287,745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287,745</w:t>
            </w:r>
          </w:p>
        </w:tc>
      </w:tr>
      <w:tr>
        <w:trPr>
          <w:trHeight w:val="216"/>
        </w:trPr>
        <w:tc>
          <w:tcPr>
            <w:tcW w:w="59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42,295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42,295</w:t>
            </w:r>
          </w:p>
        </w:tc>
      </w:tr>
      <w:tr>
        <w:trPr>
          <w:trHeight w:val="216"/>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68,885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68,885</w:t>
            </w:r>
          </w:p>
        </w:tc>
      </w:tr>
      <w:tr>
        <w:trPr>
          <w:trHeight w:val="216"/>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15,855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15,855</w:t>
            </w:r>
          </w:p>
        </w:tc>
      </w:tr>
      <w:tr>
        <w:trPr>
          <w:trHeight w:val="216"/>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11,185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11,185</w:t>
            </w: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(mandatory)</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9,490</w:t>
            </w: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24,573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24,573</w:t>
            </w: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13,600</w:t>
            </w: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Assets measured at fair value on a non-recurring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20,905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20,905</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5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0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Assets (liabilities) measured at fair value on a 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State and municipal</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180,575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180,575</w:t>
            </w:r>
          </w:p>
        </w:tc>
      </w:tr>
      <w:tr>
        <w:trPr>
          <w:trHeight w:val="216"/>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300,704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300,704</w:t>
            </w:r>
          </w:p>
        </w:tc>
      </w:tr>
      <w:tr>
        <w:trPr>
          <w:trHeight w:val="216"/>
        </w:trPr>
        <w:tc>
          <w:tcPr>
            <w:tcW w:w="5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41,748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41,748</w:t>
            </w:r>
          </w:p>
        </w:tc>
      </w:tr>
      <w:tr>
        <w:trPr>
          <w:trHeight w:val="216"/>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71,930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71,930</w:t>
            </w:r>
          </w:p>
        </w:tc>
      </w:tr>
      <w:tr>
        <w:trPr>
          <w:trHeight w:val="216"/>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17,040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17,040</w:t>
            </w:r>
          </w:p>
        </w:tc>
      </w:tr>
      <w:tr>
        <w:trPr>
          <w:trHeight w:val="216"/>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10,765</w:t>
            </w: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Loans held for sale (mandatory)</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6,615</w:t>
            </w: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26,569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26,569</w:t>
            </w: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17,230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17,230</w:t>
            </w: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measured at fair value on a non-recurring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90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1,482</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1,482</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speeds, default rates, and discount rates, which are significant unobservable inputs. Mortgage servicing rights are the only Level 3 asset measured at fair value on a recurring basis, see Note 5 for the Level 3 change activity for the three and nine months ended September 30, 2024 and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w:t>
      </w:r>
      <w:r>
        <w:rPr>
          <w:rFonts w:ascii="Times New Roman" w:cs="Times New Roman" w:eastAsia="Times New Roman" w:hAnsi="Times New Roman"/>
          <w:sz w:val="18"/>
          <w:szCs w:val="18"/>
          <w:color w:val="auto"/>
        </w:rPr>
        <w:t xml:space="preserve"> – Fair value of derivatives is based on valuation models using observable market data as of the measurement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Loans held for investment</w:t>
      </w:r>
      <w:r>
        <w:rPr>
          <w:rFonts w:ascii="Times New Roman" w:cs="Times New Roman" w:eastAsia="Times New Roman" w:hAnsi="Times New Roman"/>
          <w:sz w:val="18"/>
          <w:szCs w:val="18"/>
          <w:color w:val="auto"/>
        </w:rPr>
        <w:t xml:space="preserve"> – Includes certain collateral-dependent loans which are reported at fair value, for which a specific allocation of the allowance for credit losses is based off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Assets Recorded on a Recurring Basis for which the Fair Value Option has been Elected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Loans held for sale (mandatory)</w:t>
      </w:r>
      <w:r>
        <w:rPr>
          <w:rFonts w:ascii="Times New Roman" w:cs="Times New Roman" w:eastAsia="Times New Roman" w:hAnsi="Times New Roman"/>
          <w:sz w:val="18"/>
          <w:szCs w:val="18"/>
          <w:color w:val="auto"/>
        </w:rPr>
        <w:t xml:space="preserve"> – Loans held for sale originated for mandatory delivery are reported at fair value on a recurring basis due to the Company’s election to adopt fair value accounting treatment for these assets. This election allows for a more effective offset of the changes in fair values of the assets and the derivative instruments used to economically hedge them without the burden of complying with the requirements for hedge accounting under ASC Topic 815, Derivatives and Hedging. For assets for which the fair value option has been elected, the earned current contractual interest payment is recognized in interest income, loan origination costs and fees on fair value option loans are recognized in earnings as incurred and not deferred. At September 30, 2024, and December 31, 2023, there were no gains or losses recorded attributable to changes in instrument-specific credit risk. Fair value is determined using quoted prices for similar assets, adjusted for specific attributes of that loan. At September 30, 2024 and December 31, 2023 the aggregate fair value of loans held for sale for mandatory delivery was $9.5 million and $6.6 million, respectively. The aggregate unpaid principal balance as of the same dates was $9.3 million and $6.4 million, respectively, representing differences between fair value and unpaid principal balance of $216 thousand and $190 thousand, respectively. The Company had no loans held for sale for mandatory delivery designated as nonaccrual or 90 days or more past due at each of September 30, 2024 and December 31, 2023.</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fair value option impact on noninterest income for loans held for sale for mandatory delivery is included in Net gain on sales of loans in the Consolidated Statements of Comprehensive Income (Loss). For the three months ended September 30, 2024 and 2023 the net (gain) loss amount totaled $94 thousand and $330 thousand, respectively. For the nine months ended September 30, 2024 and 2023 the net (gain) loss amount totaled $(246) thousand and $78 thousand,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recurring and non-recurring Level 3 fair value measurements at the dates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0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Range of</w:t>
            </w:r>
          </w:p>
        </w:tc>
      </w:tr>
      <w:tr>
        <w:trPr>
          <w:trHeight w:val="245"/>
        </w:trPr>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40" w:type="dxa"/>
            <w:vAlign w:val="bottom"/>
          </w:tcPr>
          <w:p>
            <w:pPr>
              <w:spacing w:after="0"/>
              <w:rPr>
                <w:sz w:val="21"/>
                <w:szCs w:val="21"/>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Techniques</w:t>
            </w:r>
          </w:p>
        </w:tc>
        <w:tc>
          <w:tcPr>
            <w:tcW w:w="100" w:type="dxa"/>
            <w:vAlign w:val="bottom"/>
          </w:tcPr>
          <w:p>
            <w:pPr>
              <w:spacing w:after="0"/>
              <w:rPr>
                <w:sz w:val="21"/>
                <w:szCs w:val="21"/>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Discounts</w:t>
            </w:r>
          </w:p>
        </w:tc>
      </w:tr>
      <w:tr>
        <w:trPr>
          <w:trHeight w:val="176"/>
        </w:trPr>
        <w:tc>
          <w:tcPr>
            <w:tcW w:w="1460" w:type="dxa"/>
            <w:vAlign w:val="bottom"/>
            <w:tcBorders>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w w:val="99"/>
              </w:rPr>
              <w:t>September 30, 2024</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Non-recurring:</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20,905</w:t>
            </w: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party appraisals or inspections</w:t>
            </w: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Collateral discounts and selling costs</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Recurring:</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24,573</w:t>
            </w: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Discounted cash flows</w:t>
            </w: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Constant prepayment rate</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6"/>
        </w:trPr>
        <w:tc>
          <w:tcPr>
            <w:tcW w:w="2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1,482</w:t>
            </w: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Third party appraisals or inspections</w:t>
            </w: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Collateral discounts and selling costs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20%-100%</w:t>
            </w:r>
          </w:p>
        </w:tc>
      </w:tr>
      <w:tr>
        <w:trPr>
          <w:trHeight w:val="216"/>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26,569</w:t>
            </w: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Discounted cash flows</w:t>
            </w: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Constant prepayment rate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7.46%</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10.66%</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fair values, and related carrying amounts, of the Company’s financial instruments that are not previously disclosed in the recurring fair values section are as follows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1"/>
                <w:szCs w:val="21"/>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392"/>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3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471,167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471,167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471,167</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2,994,489</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2,903,905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2,903,905</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 (best efforts)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1,945</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19,155</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19,155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19,155</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3,719,360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3,719,388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3,719,388</w:t>
            </w: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4,603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4,603</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33,740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33,740</w:t>
            </w: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Subordinated debt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63,914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59,174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59,174</w:t>
            </w:r>
          </w:p>
        </w:tc>
      </w:tr>
      <w:tr>
        <w:trPr>
          <w:trHeight w:val="391"/>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20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330,158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330,158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330,158</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2,971,797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2,848,536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2,848,536</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 (best efforts)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7,884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7,977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7,977</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20,881</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20,881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20,881</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3,626,153</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3,625,321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3,625,321</w:t>
            </w: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5,057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5,057</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33,098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33,098</w:t>
            </w: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Subordinated debt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63,775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57,497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57,497</w:t>
            </w:r>
          </w:p>
        </w:tc>
      </w:tr>
    </w:tbl>
    <w:p>
      <w:pPr>
        <w:spacing w:after="0" w:line="200" w:lineRule="exact"/>
        <w:rPr>
          <w:sz w:val="20"/>
          <w:szCs w:val="20"/>
          <w:color w:val="auto"/>
        </w:rPr>
      </w:pPr>
    </w:p>
    <w:p>
      <w:pPr>
        <w:sectPr>
          <w:pgSz w:w="11900" w:h="16838" w:orient="portrait"/>
          <w:cols w:equalWidth="0" w:num="1">
            <w:col w:w="11240"/>
          </w:cols>
          <w:pgMar w:left="320" w:top="115" w:right="339" w:bottom="741"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741"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IMMATERIAL CORRECTION OF PRIOR PERIOD ERROR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identified an immaterial prior period error in the Consolidated Statements of Cash Flows related to cash flow activity of certain of the Company’s portfolio mortgage loans and third-party brokered loans erroneously being included in the cash flow activity for loans held for sale. The Company assessed the materiality of this change in presentation on prior period consolidated financial statements in accordance with SEC Staff Accounting Bulletin No. 99, “Materiality,” (ASC Topic 250, Accounting Changes and Error Corrections). Based on this assessment, the Company concluded that these error corrections in its Consolidated Statements of Cash Flows are not material to any previously presented consolidated financial statements. The corrections had no impact on the Consolidated Balance Sheets, Consolidated Statements of Comprehensive Income (Loss), or Consolidated Statements of Changes in Stockholders’ Equity, or notes to these consolidated financial statements, for any previously presented interim or annual consolidated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reporting periods affected by this error include the Company’s previously reported interim unaudited consolidated financial statements for each of the fiscal year-to-date periods ended March 31, 2023; June 30, 2023; and September 30, 2023. A summary of the immaterial corrections to the Company’s previously reported unaudited consolidated financial statements follows.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Corrected Consolidated Statement of Cash Flows for Nine Months Ended September 30, 2023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40" w:type="dxa"/>
            <w:vAlign w:val="bottom"/>
          </w:tcPr>
          <w:p>
            <w:pPr>
              <w:spacing w:after="0"/>
              <w:rPr>
                <w:sz w:val="21"/>
                <w:szCs w:val="21"/>
                <w:color w:val="auto"/>
              </w:rPr>
            </w:pP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Immaterial Correction</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Corrected</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339,220</w:t>
            </w:r>
          </w:p>
        </w:tc>
        <w:tc>
          <w:tcPr>
            <w:tcW w:w="2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(59,227)</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279,993</w:t>
            </w:r>
          </w:p>
        </w:tc>
        <w:tc>
          <w:tcPr>
            <w:tcW w:w="100" w:type="dxa"/>
            <w:vAlign w:val="bottom"/>
            <w:shd w:val="clear" w:color="auto" w:fill="CCEEFF"/>
          </w:tcPr>
          <w:p>
            <w:pPr>
              <w:spacing w:after="0"/>
              <w:rPr>
                <w:sz w:val="18"/>
                <w:szCs w:val="18"/>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Loans originated for sale</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(321,163)</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59,227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(261,936)</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Declaration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16, 2024, the Company declared a cash dividend of $0.15 per share of common stock to be paid on November 12, 2024 to all shareholders of record as of October 28, 2024.</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for the periods covered by this Quarterly Report on Form 10-Q (this “Form 10-Q”) and should be read in conjunction with our consolidated financial statements and the accompanying notes thereto included in this Form 10-Q and in our Annual Report on Form 10-K for the year ended December 31, 2023 (the “2023 Annual Report on Form 10-K”) filed with the U.S. Securities and Exchange Commission (the “SEC”) pursuant to Rule 424(b) of the Securities Act of 1933, as amended (the “Securities Act”), on March 15, 2024.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color w:val="auto"/>
        </w:rPr>
        <w:t>autionary Notice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162"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recession in the United States and our market areas;</w:t>
      </w:r>
    </w:p>
    <w:p>
      <w:pPr>
        <w:spacing w:after="0" w:line="27"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related to or resulting from bank failures and any uncertainty in the banking industry, including the associated impact to the Company and other financial institutions of any regulatory changes or other mitigation efforts taken by government agencies in response thereto;</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deposits and related changes in deposit customer behavior;</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resurgence of elevated levels of inflation or inflationary pressures, in the United States and our market areas, and its impact on market interest rates, the economy and credit quality;</w:t>
      </w: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allowance for credit losses;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expansion strategy and manage our growth, including identifying and consummating suitable acquisitions;</w:t>
      </w:r>
    </w:p>
    <w:p>
      <w:pPr>
        <w:ind w:left="98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economic conditions, particularly those affecting our market areas, as well as the concentration of our business in such market areas;</w:t>
      </w: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concentrations of loans secured by real estate located in our market areas;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commercial loan portfolio, including the risk of declines in commercial real estate prices or deterioration in value of the general business assets that secure such loans;</w:t>
      </w: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prices, values and sales volumes of commercial and residential real estate securing our real estate loans;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unemployment rates in the United States and our market areas;</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agricultural loan portfolio, including the heightened sensitivity to weather conditions, commodity prices, and other factors generally outside the borrowers and our control;</w:t>
      </w: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significant amount of credit that we have extended to a limited number of borrowers and in a limited geographic area;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funds deposits comprising a relatively high percentage of our deposits;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on the goodwill we have recorded or may record in connection with business acquisitions;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reputation;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credit risk and the sufficiency of our allowance for credit losses;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management personnel;</w:t>
      </w:r>
    </w:p>
    <w:p>
      <w:pPr>
        <w:spacing w:after="0" w:line="9"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management team, including our ability to retain executive officers and key employees and their customer and community relationships;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whether due to the current elevated interest rate environment or future reductions in interest rates, which could negatively impact the pricing of our loans and deposits and decrease our net interest income or net interest margin;</w:t>
      </w: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banks, credit unions and other financial services providers;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technological change or difficulties we may experience when implementing new technologies;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cyber incidents or other failures, disruptions or security breaches of our operational or security systems or infrastructure, or those of our third-party vendors or other service providers, including as a result of cyber-attacks;</w:t>
      </w: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error, fraudulent activity by employees or customers and inaccurate or incomplete information about our customers and counterparties;</w:t>
      </w:r>
    </w:p>
    <w:p>
      <w:pPr>
        <w:ind w:left="98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capital requirements imposed by banking regulators, which may require us to raise capital at a time when capital is not available on favorable terms or at all;</w:t>
      </w:r>
    </w:p>
    <w:p>
      <w:pPr>
        <w:ind w:left="980" w:right="2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to raise necessary capital to fund our acquisition strategy and operations or to meet increased minimum regulatory capital levels;</w:t>
      </w: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effects of litigation, investigations or similar matters to which we may be subject, including any effect on our reputation;</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acts of god, acts of war or terrorism, geopolitical instability, outbreaks of hostilities, public health outbreaks (such as the COVID-19 pandemic or any future pandemic), other international or domestic calamities, and other external events or matters beyond our control;</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U.S. presidential administrations or Congress;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United States fiscal debt, deficit, and budget matters;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governmental and regulatory requirements, including the Dodd-Frank Act Wall Street Reform and Consumer Protection Act, the Economic Growth, Regulatory Relief, and Consumer Protection Act (“EGRRCPA”), and others relating to banking, consumer protection, securities and tax matters; and</w:t>
      </w:r>
    </w:p>
    <w:p>
      <w:pPr>
        <w:spacing w:after="0" w:line="1" w:lineRule="exact"/>
        <w:rPr>
          <w:rFonts w:ascii="Times New Roman" w:cs="Times New Roman" w:eastAsia="Times New Roman" w:hAnsi="Times New Roman"/>
          <w:sz w:val="18"/>
          <w:szCs w:val="18"/>
          <w:color w:val="auto"/>
        </w:rPr>
      </w:pPr>
    </w:p>
    <w:p>
      <w:pPr>
        <w:jc w:val="both"/>
        <w:ind w:left="980" w:right="20" w:hanging="324"/>
        <w:spacing w:after="0" w:line="255"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rules, regulations, interpretations or policies relating to financial institutions, accounting, tax, trade, current and future governmental monetary and fiscal policies, including the uncertain impacts of ongoing quantitative tightening and current and future policies of the Board of Governors of the Federal Reserve System (“Federal Reserve”) and as a result of initiatives of the Biden administration.</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Form 10-Q and the risk factors set forth in our 2023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maintains an Internet web site at </w:t>
      </w:r>
      <w:r>
        <w:rPr>
          <w:rFonts w:ascii="Times New Roman" w:cs="Times New Roman" w:eastAsia="Times New Roman" w:hAnsi="Times New Roman"/>
          <w:sz w:val="18"/>
          <w:szCs w:val="18"/>
          <w:i w:val="1"/>
          <w:iCs w:val="1"/>
          <w:u w:val="single" w:color="auto"/>
          <w:color w:val="auto"/>
        </w:rPr>
        <w:t>www.spfi.bank</w:t>
      </w:r>
      <w:r>
        <w:rPr>
          <w:rFonts w:ascii="Times New Roman" w:cs="Times New Roman" w:eastAsia="Times New Roman" w:hAnsi="Times New Roman"/>
          <w:sz w:val="18"/>
          <w:szCs w:val="18"/>
          <w:color w:val="auto"/>
        </w:rPr>
        <w:t xml:space="preserve">. The Company makes available, free of charge, on its web site (under </w:t>
      </w:r>
      <w:r>
        <w:rPr>
          <w:rFonts w:ascii="Times New Roman" w:cs="Times New Roman" w:eastAsia="Times New Roman" w:hAnsi="Times New Roman"/>
          <w:sz w:val="18"/>
          <w:szCs w:val="18"/>
          <w:i w:val="1"/>
          <w:iCs w:val="1"/>
          <w:u w:val="single" w:color="auto"/>
          <w:color w:val="auto"/>
        </w:rPr>
        <w:t>www.spfi.bank/financials-filings/sec-filings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Company’s annual reports on Form 10-K, quarterly reports on Form 10-Q, current reports on Form 8-K,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Times New Roman" w:cs="Times New Roman" w:eastAsia="Times New Roman" w:hAnsi="Times New Roman"/>
          <w:sz w:val="18"/>
          <w:szCs w:val="18"/>
          <w:i w:val="1"/>
          <w:iCs w:val="1"/>
          <w:u w:val="single" w:color="auto"/>
          <w:color w:val="auto"/>
        </w:rPr>
        <w:t>www.spfi.bank/corporate-governance/documents-charters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links to the Company’s Code of Conduct and the charters for its board committees. In addition,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SEC maintains an Internet 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xml:space="preserve"> ) that contains reports, proxy and information statements, and other information regarding issuers that file electronically with the SEC.</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routinely posts important information for investors on its web site (under </w:t>
      </w:r>
      <w:r>
        <w:rPr>
          <w:rFonts w:ascii="Times New Roman" w:cs="Times New Roman" w:eastAsia="Times New Roman" w:hAnsi="Times New Roman"/>
          <w:sz w:val="18"/>
          <w:szCs w:val="18"/>
          <w:i w:val="1"/>
          <w:iCs w:val="1"/>
          <w:u w:val="single" w:color="auto"/>
          <w:color w:val="auto"/>
        </w:rPr>
        <w:t>www.spfi.bank</w:t>
      </w:r>
      <w:r>
        <w:rPr>
          <w:rFonts w:ascii="Times New Roman" w:cs="Times New Roman" w:eastAsia="Times New Roman" w:hAnsi="Times New Roman"/>
          <w:sz w:val="18"/>
          <w:szCs w:val="18"/>
          <w:color w:val="auto"/>
        </w:rPr>
        <w:t xml:space="preserve"> and, more specifically, under the News &amp; Events tab at </w:t>
      </w:r>
      <w:r>
        <w:rPr>
          <w:rFonts w:ascii="Times New Roman" w:cs="Times New Roman" w:eastAsia="Times New Roman" w:hAnsi="Times New Roman"/>
          <w:sz w:val="18"/>
          <w:szCs w:val="18"/>
          <w:i w:val="1"/>
          <w:iCs w:val="1"/>
          <w:u w:val="single" w:color="auto"/>
          <w:color w:val="auto"/>
        </w:rPr>
        <w:t>www.spfi.bank/news-events/press-releases</w:t>
      </w:r>
      <w:r>
        <w:rPr>
          <w:rFonts w:ascii="Times New Roman" w:cs="Times New Roman" w:eastAsia="Times New Roman" w:hAnsi="Times New Roman"/>
          <w:sz w:val="18"/>
          <w:szCs w:val="18"/>
          <w:color w:val="auto"/>
        </w:rPr>
        <w:t xml:space="preserve"> ).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contained on, or that may be accessed through, the Company’s web site is not incorporated by reference into, and is not a part of, this Form 10-Q.</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investment, trust and mortgage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net income of $11.2 million, or $0.66 per diluted common share, for the three months ended September 30, 2024, compared to net income of $13.5 million, or $0.78 per diluted common share for the three months ended September 30, 2023. Return on average equity (annualized) was 10.36% and return on average assets (annualized) was 1.05% for the three months ended September 30, 2024, compared to 14.01% and 1.27%, respectively, for the three months ended September 30,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net income of $33.2 million, or $1.96 per diluted common share for the nine months ended September 30, 2024, compared to net income of $52.4 million, or $3.01 per diluted common share for the nine months ended September 30, 2023. Return on average equity (annualized) was 10.63% and return on average assets (annualized) was 1.05% for the nine months ended September 30, 2024, compared to 18.70% and 1.73%, respectively, for the nine months ended September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present,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Loans</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3,069,900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51,513</w:t>
            </w:r>
          </w:p>
        </w:tc>
        <w:tc>
          <w:tcPr>
            <w:tcW w:w="15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3,005,699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46,250</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6.10%</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5,300</w:t>
            </w:r>
          </w:p>
        </w:tc>
        <w:tc>
          <w:tcPr>
            <w:tcW w:w="15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561,068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5,422</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1,016</w:t>
            </w:r>
          </w:p>
        </w:tc>
        <w:tc>
          <w:tcPr>
            <w:tcW w:w="15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159,577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1,054</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4,032</w:t>
            </w:r>
          </w:p>
        </w:tc>
        <w:tc>
          <w:tcPr>
            <w:tcW w:w="15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325,201</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4,031</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4,086,234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5"/>
              </w:rPr>
              <w:t>6.02</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4,051,545</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56,757</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5.56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177,216</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4,259,156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4,228,761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NOW, savings and money market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2,247,299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18,143</w:t>
            </w:r>
          </w:p>
        </w:tc>
        <w:tc>
          <w:tcPr>
            <w:tcW w:w="15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2,223,014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16,061</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2.87%</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4,510</w:t>
            </w:r>
          </w:p>
        </w:tc>
        <w:tc>
          <w:tcPr>
            <w:tcW w:w="15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344,395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2,904</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Notes payable &amp; other longer-term</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63,891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835</w:t>
            </w:r>
          </w:p>
        </w:tc>
        <w:tc>
          <w:tcPr>
            <w:tcW w:w="15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76,077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1,012</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Junior subordinated deferrable interest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debentures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46,393</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858</w:t>
            </w:r>
          </w:p>
        </w:tc>
        <w:tc>
          <w:tcPr>
            <w:tcW w:w="15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7.36</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46,393</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2,788,893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2,689,882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20,839</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3.07%</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1,071,175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63,661</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85,713</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noninterest-bearing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1,039,709</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1,156,888</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430,554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381,991</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4,259,156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4,228,761</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equity</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7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37,515</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35,918</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Pr>
          <w:p>
            <w:pPr>
              <w:spacing w:after="0" w:line="210" w:lineRule="exact"/>
              <w:rPr>
                <w:sz w:val="20"/>
                <w:szCs w:val="20"/>
                <w:color w:val="auto"/>
              </w:rPr>
            </w:pPr>
            <w:r>
              <w:rPr>
                <w:rFonts w:ascii="Times New Roman" w:cs="Times New Roman" w:eastAsia="Times New Roman" w:hAnsi="Times New Roman"/>
                <w:sz w:val="15"/>
                <w:szCs w:val="15"/>
                <w:color w:val="auto"/>
              </w:rPr>
              <w:t>Net interest margin</w:t>
            </w:r>
            <w:r>
              <w:rPr>
                <w:rFonts w:ascii="Times New Roman" w:cs="Times New Roman" w:eastAsia="Times New Roman" w:hAnsi="Times New Roman"/>
                <w:sz w:val="24"/>
                <w:szCs w:val="24"/>
                <w:color w:val="auto"/>
                <w:vertAlign w:val="superscript"/>
              </w:rPr>
              <w:t>(3)</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Loans</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3,055,679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151,031</w:t>
            </w:r>
          </w:p>
        </w:tc>
        <w:tc>
          <w:tcPr>
            <w:tcW w:w="15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6.60%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2,892,887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128,724</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5.95%</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16,096</w:t>
            </w:r>
          </w:p>
        </w:tc>
        <w:tc>
          <w:tcPr>
            <w:tcW w:w="15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574,159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16,027</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3,062</w:t>
            </w:r>
          </w:p>
        </w:tc>
        <w:tc>
          <w:tcPr>
            <w:tcW w:w="15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194,492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3,870</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3"/>
        </w:trPr>
        <w:tc>
          <w:tcPr>
            <w:tcW w:w="328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10,052</w:t>
            </w:r>
          </w:p>
        </w:tc>
        <w:tc>
          <w:tcPr>
            <w:tcW w:w="15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212,384</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7,010</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4,035,785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180,241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5"/>
              </w:rPr>
              <w:t>5.97</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3,873,922</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155,631</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5.37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183,149</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4,212,015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4,057,071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NOW, savings and money market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2,251,569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53,792</w:t>
            </w:r>
          </w:p>
        </w:tc>
        <w:tc>
          <w:tcPr>
            <w:tcW w:w="15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2,090,250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38,529</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2.46%</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12,153</w:t>
            </w:r>
          </w:p>
        </w:tc>
        <w:tc>
          <w:tcPr>
            <w:tcW w:w="15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309,250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6,239</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Notes payable &amp; other longer-term</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63,845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2,505</w:t>
            </w:r>
          </w:p>
        </w:tc>
        <w:tc>
          <w:tcPr>
            <w:tcW w:w="15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5.24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76,031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3,037</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Junior subordinated deferrable interest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debentures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46,393</w:t>
            </w:r>
          </w:p>
        </w:tc>
        <w:tc>
          <w:tcPr>
            <w:tcW w:w="1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2,575</w:t>
            </w:r>
          </w:p>
        </w:tc>
        <w:tc>
          <w:tcPr>
            <w:tcW w:w="15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7.41</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46,393</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2,402</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2,761,456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71,025</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2,522,035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50,212</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2.66%</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1,085,345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68,458</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74,865</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noninterest-bearing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1,033,287</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1,160,210</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417,272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374,826</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80" w:type="dxa"/>
            <w:vAlign w:val="bottom"/>
            <w:tcBorders>
              <w:top w:val="single" w:sz="8" w:color="CCEEFF"/>
            </w:tcBorders>
            <w:gridSpan w:val="2"/>
          </w:tcPr>
          <w:p>
            <w:pPr>
              <w:ind w:left="500"/>
              <w:spacing w:after="0" w:line="198" w:lineRule="exact"/>
              <w:rPr>
                <w:sz w:val="20"/>
                <w:szCs w:val="20"/>
                <w:color w:val="auto"/>
              </w:rPr>
            </w:pPr>
            <w:r>
              <w:rPr>
                <w:rFonts w:ascii="Times New Roman" w:cs="Times New Roman" w:eastAsia="Times New Roman" w:hAnsi="Times New Roman"/>
                <w:sz w:val="18"/>
                <w:szCs w:val="18"/>
                <w:color w:val="auto"/>
              </w:rPr>
              <w:t>Total liabilities and shareholders’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4,057,071</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109,216</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105,419</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2.71%</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gridSpan w:val="2"/>
          </w:tcPr>
          <w:p>
            <w:pPr>
              <w:spacing w:after="0" w:line="210" w:lineRule="exact"/>
              <w:rPr>
                <w:sz w:val="20"/>
                <w:szCs w:val="20"/>
                <w:color w:val="auto"/>
              </w:rPr>
            </w:pPr>
            <w:r>
              <w:rPr>
                <w:rFonts w:ascii="Times New Roman" w:cs="Times New Roman" w:eastAsia="Times New Roman" w:hAnsi="Times New Roman"/>
                <w:sz w:val="15"/>
                <w:szCs w:val="15"/>
                <w:color w:val="auto"/>
              </w:rPr>
              <w:t>Net interest margin</w:t>
            </w:r>
            <w:r>
              <w:rPr>
                <w:rFonts w:ascii="Times New Roman" w:cs="Times New Roman" w:eastAsia="Times New Roman" w:hAnsi="Times New Roman"/>
                <w:sz w:val="24"/>
                <w:szCs w:val="24"/>
                <w:color w:val="auto"/>
                <w:vertAlign w:val="superscript"/>
              </w:rPr>
              <w:t>(3)</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3.64%</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loan balances include nonaccrual loans and loans held for sale.</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and average balances for interest-earning deposits at other banks, nonmarketable securities, federal funds sold, and other miscellaneous interest-earning assets</w:t>
      </w: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is calculated as the annualized net interest income, on a fully tax-equivalent basis, divided by average interest-earning assets.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40" w:type="dxa"/>
            <w:vAlign w:val="bottom"/>
            <w:gridSpan w:val="9"/>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2024 over 2023</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0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4"/>
              </w:rPr>
              <w:t>(Dollars 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60" w:type="dxa"/>
            <w:vAlign w:val="bottom"/>
            <w:vMerge w:val="continue"/>
          </w:tcPr>
          <w:p>
            <w:pPr>
              <w:spacing w:after="0"/>
              <w:rPr>
                <w:sz w:val="16"/>
                <w:szCs w:val="16"/>
                <w:color w:val="auto"/>
              </w:rPr>
            </w:pPr>
          </w:p>
        </w:tc>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5,263</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(decrease) in interest income</w:t>
            </w:r>
          </w:p>
        </w:tc>
        <w:tc>
          <w:tcPr>
            <w:tcW w:w="266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NOW, Savings, MMDAs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increase (decrease) interest expense:</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net interest income</w:t>
            </w:r>
          </w:p>
        </w:tc>
        <w:tc>
          <w:tcPr>
            <w:tcW w:w="26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1,597</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9"/>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2024 over 2023</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0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4"/>
              </w:rPr>
              <w:t>(Dollars 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60" w:type="dxa"/>
            <w:vAlign w:val="bottom"/>
            <w:vMerge w:val="continue"/>
          </w:tcPr>
          <w:p>
            <w:pPr>
              <w:spacing w:after="0"/>
              <w:rPr>
                <w:sz w:val="16"/>
                <w:szCs w:val="16"/>
                <w:color w:val="auto"/>
              </w:rPr>
            </w:pPr>
          </w:p>
        </w:tc>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22,307</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2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(decrease) in interest income</w:t>
            </w:r>
          </w:p>
        </w:tc>
        <w:tc>
          <w:tcPr>
            <w:tcW w:w="2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16,698</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NOW, Savings, MMDAs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12,289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5,914</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increase (decrease) interest expense:</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16,507</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20,813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net interest income</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3,797</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2660" w:type="dxa"/>
            <w:vAlign w:val="bottom"/>
            <w:vMerge w:val="restart"/>
          </w:tcPr>
          <w:p>
            <w:pPr>
              <w:jc w:val="right"/>
              <w:ind w:right="1535"/>
              <w:spacing w:after="0"/>
              <w:rPr>
                <w:sz w:val="20"/>
                <w:szCs w:val="20"/>
                <w:color w:val="auto"/>
              </w:rPr>
            </w:pPr>
            <w:r>
              <w:rPr>
                <w:rFonts w:ascii="Times New Roman" w:cs="Times New Roman" w:eastAsia="Times New Roman" w:hAnsi="Times New Roman"/>
                <w:sz w:val="14"/>
                <w:szCs w:val="14"/>
                <w:color w:val="auto"/>
              </w:rPr>
              <w:t>32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66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66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for the three months ended September 30, 2024 was $37.3 million, compared to $35.7 million for the three months ended September 30, 2023, an increase of $1.6 million, or 4.5%, and was comprised of an increase of $5.1 million in interest income, partially offset by an increase of $3.5 million in interest expense. The growth in interest income was primarily attributable to an increase of $5.3 million in loan interest income from growth of $64.2 million in average loans outstanding and an increase of 58 basis points in the yield on loans. The $3.5 million increase in interest expense was primarily related to an increase of $111.2 million in average interest-bearing deposits and a 40 basis point increase in the rate paid on interest-bearing deposits over the same period in 2023. Additionally, average noninterest-bearing demand deposits decreased $95.1 million for the three months ended September 30, 2024 as compared to the three months ended September 30, 2023.</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net interest margin and net interest spread were 3.65% and 2.55%, respectively, compared to 3.52% and 2.48%, respectively, for the same period in 2023, which reflects the changes in interest income and interest expense discussed above.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for the nine months ended September 30, 2024 was $108.6 million, compared to $104.6 million for the nine months ended September 30, 2023, an increase of $4.0 million, or 3.8%, and was comprised of an increase of $24.8 million in interest income, partially offset by an increase of $20.8 million in interest expense. The growth in interest income was attributable to increases of $22.3 million in loan interest income and $2.4 million in interest income from securities and other interest-earning assets. The increase in loan interest income was mainly due to growth of $162.8 million in average loans outstanding and an increase of 65 basis points in the yield on loans. The increase in interest income on securities and other interest-earning assets was primarily due to higher market interest rates. The $20.8 million increase in interest expense was primarily related to an increase of $251.7 million in average interest-bearing deposits and an 82 basis point increase in the rate paid on interest-bearing deposits over the same period in 2023. Additionally, average noninterest-bearing demand deposits decreased $120.5 million for the nine months ended September 30, 2024 as compared to the nine months ended September 30, 2023.</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net interest margin and net interest spread were 3.61% and 2.53%, respectively, compared to 3.64% and 2.71%, respectively, for the same period in 2023, which reflects the changes in interest income and interest expense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Credit risk is inherent in the business of making loans. We establish an allowance for credit losses (“ACL”) through charges to earnings, which are shown in the consolidated statements of comprehensive income (loss) as the provision for credit losses. Credit losses on loans are charged against the allowance when management believes the uncollectibility of a loan balance is confirmed. The provision for credit losses is determined by conducting a quarterly evaluation of the adequacy of our ACL and charging the shortfall or excess, if any, to the current quarter’s expense. This has the effect of creating variability in the amount and frequency of charges to our earnings. The provision for credit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 provision for credit losses of $495 thousand for the three months ended September 30, 2024, compared to a negative provision of $700 thousand for the three months ended September 30, 2023. The increase in provision of $1.2 million was largely attributable to a decrease of $1.3 million in specific reserves during the three months ended September 30,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 provision for credit losses for the nine months ended September 30, 2024 of $3.1 million, compared to $4.0 million for the nine months ended September 30, 2023. The decline in provision of $900 thousand was largely attributable to a decrease in loan growth, partially offset by an increase in net charge-offs for the nine months ended September 30, 2024, compared to the same period in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credit losses is a significant factor in the Company’s operating results. For further discussion regarding the provision for credit losses and management’s assessment of the adequacy of the ACL for loans, see “Allowance for Credit Losses for Loans” and “Asset Quality” under “Financial Condition” in this Item 2,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noninterest income for the periods indicated: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8"/>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from insurance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card services and interchange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3,157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 banking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4,602</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12,146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Fiduciary income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613</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subsidiary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33,778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(33,778)</w:t>
            </w:r>
          </w:p>
        </w:tc>
        <w:tc>
          <w:tcPr>
            <w:tcW w:w="0" w:type="dxa"/>
            <w:vAlign w:val="bottom"/>
          </w:tcPr>
          <w:p>
            <w:pPr>
              <w:spacing w:after="0"/>
              <w:rPr>
                <w:sz w:val="1"/>
                <w:szCs w:val="1"/>
                <w:color w:val="auto"/>
              </w:rPr>
            </w:pPr>
          </w:p>
        </w:tc>
      </w:tr>
      <w:tr>
        <w:trPr>
          <w:trHeight w:val="223"/>
        </w:trPr>
        <w:tc>
          <w:tcPr>
            <w:tcW w:w="328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income and fees</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1,346</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12,277</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right="2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and fees includes income and fees associated with the increase in the cash surrender value of life insurance, safe deposit box rental, check printing, collections, legal settlements, wire transfer, Small Business Investment Company (“SBIC”) investments, and other miscellaneous services.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Noninterest income for the three months ended September 30, 2024 was $10.6 million, compared to $12.3 million for the three months ended September 30, 2023, a decrease of $1.6 million, or 13.4%. Significant changes in the components of noninterest income are detailed below.</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Service charges on deposit accounts </w:t>
      </w:r>
      <w:r>
        <w:rPr>
          <w:rFonts w:ascii="Times New Roman" w:cs="Times New Roman" w:eastAsia="Times New Roman" w:hAnsi="Times New Roman"/>
          <w:sz w:val="18"/>
          <w:szCs w:val="18"/>
          <w:color w:val="auto"/>
        </w:rPr>
        <w:t>- Income from service charges on deposit accounts increased $183 thousand, or 9.9%,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as compared to the same period in 2023. The increase was primarily the result of treasury management initiatives taken to drive growth.</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Mortgage banking activities </w:t>
      </w:r>
      <w:r>
        <w:rPr>
          <w:rFonts w:ascii="Times New Roman" w:cs="Times New Roman" w:eastAsia="Times New Roman" w:hAnsi="Times New Roman"/>
          <w:sz w:val="18"/>
          <w:szCs w:val="18"/>
          <w:color w:val="auto"/>
        </w:rPr>
        <w:t>- Income from mortgage banking activities decreased $2.7 million, or 58.9%, to $1.9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from $4.6 million for the three months ended September 30, 2023. This decrease was mainly the result of a decline of $2.7 million in the fair value adjustment of the mortgage servicing rights assets as interest rates that affect the value declined in the third quarter of 2024.</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Gain on sale of subsidiary </w:t>
      </w:r>
      <w:r>
        <w:rPr>
          <w:rFonts w:ascii="Times New Roman" w:cs="Times New Roman" w:eastAsia="Times New Roman" w:hAnsi="Times New Roman"/>
          <w:sz w:val="18"/>
          <w:szCs w:val="18"/>
          <w:color w:val="auto"/>
        </w:rPr>
        <w:t>- A $33.5 million gain from the sale of Windmark Insurance Agency, Inc. (“Windmark”) was recorded in the second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and an additional $290 thousand was recorded in the third quarter of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Other income and fees </w:t>
      </w:r>
      <w:r>
        <w:rPr>
          <w:rFonts w:ascii="Times New Roman" w:cs="Times New Roman" w:eastAsia="Times New Roman" w:hAnsi="Times New Roman"/>
          <w:sz w:val="18"/>
          <w:szCs w:val="18"/>
          <w:color w:val="auto"/>
        </w:rPr>
        <w:t>- The Company recognized $700 thousand in property insurance proceeds in the third quarter of 2024.</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income for the nine months ended September 30, 2024 was $34.8 million, compared to $70.1 million for the nine months ended September 30, 2023, a decrease of $35.3 million, or 50.4%. Significant changes in the components of noninterest income are detailed below.</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Service charges on deposit accounts </w:t>
      </w:r>
      <w:r>
        <w:rPr>
          <w:rFonts w:ascii="Times New Roman" w:cs="Times New Roman" w:eastAsia="Times New Roman" w:hAnsi="Times New Roman"/>
          <w:sz w:val="18"/>
          <w:szCs w:val="18"/>
          <w:color w:val="auto"/>
        </w:rPr>
        <w:t>- Income from service charges on deposit accounts increased $499 thousand, or 9.4%,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as compared to the same period in 2023. The increase was primarily the result of treasury management initiatives taken to drive growth.</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Mortgage banking activities </w:t>
      </w:r>
      <w:r>
        <w:rPr>
          <w:rFonts w:ascii="Times New Roman" w:cs="Times New Roman" w:eastAsia="Times New Roman" w:hAnsi="Times New Roman"/>
          <w:sz w:val="18"/>
          <w:szCs w:val="18"/>
          <w:color w:val="auto"/>
        </w:rPr>
        <w:t>- Income from mortgage banking activities decreased $2.9 million, or 24.0%, to $9.2 million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from $12.1 million for the nine months ended September 30, 2023. This decrease was mainly the result of a decline of $1.8 million in the fair value adjustment of the mortgage servicing rights assets as interest rates that affect the value declined in the third quarter of 2024. Additionally, mortgage loan originations declined $37.0 million, or 14.1%, in the current year period as compared to the prior 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Gain on sale of subsidiary </w:t>
      </w:r>
      <w:r>
        <w:rPr>
          <w:rFonts w:ascii="Times New Roman" w:cs="Times New Roman" w:eastAsia="Times New Roman" w:hAnsi="Times New Roman"/>
          <w:sz w:val="18"/>
          <w:szCs w:val="18"/>
          <w:color w:val="auto"/>
        </w:rPr>
        <w:t>- A $33.8 million gain from the sale of Windmark was recorded in the second and third quarters of 2023.</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from insurance activities </w:t>
      </w:r>
      <w:r>
        <w:rPr>
          <w:rFonts w:ascii="Times New Roman" w:cs="Times New Roman" w:eastAsia="Times New Roman" w:hAnsi="Times New Roman"/>
          <w:sz w:val="18"/>
          <w:szCs w:val="18"/>
          <w:color w:val="auto"/>
        </w:rPr>
        <w:t>- Due to the sale of Windmark in the second quarter of 2023, there was a decline of $1.4 million in income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activities for the nine months ended September 30, 2024 as compared to the same period in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Other income and fees </w:t>
      </w:r>
      <w:r>
        <w:rPr>
          <w:rFonts w:ascii="Times New Roman" w:cs="Times New Roman" w:eastAsia="Times New Roman" w:hAnsi="Times New Roman"/>
          <w:sz w:val="18"/>
          <w:szCs w:val="18"/>
          <w:color w:val="auto"/>
        </w:rPr>
        <w:t>- The Company recognized $700 thousand in property insurance proceeds in the third quarter of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noninterest expense for the periods indicated:</w:t>
      </w:r>
    </w:p>
    <w:p>
      <w:pPr>
        <w:sectPr>
          <w:pgSz w:w="11900" w:h="16838" w:orient="portrait"/>
          <w:cols w:equalWidth="0" w:num="1">
            <w:col w:w="11240"/>
          </w:cols>
          <w:pgMar w:left="320" w:top="113"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8"/>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56,954</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(4,446)</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Occupancy expense,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4,111</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12,246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Marketing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 and data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Bankcard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1,451</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Appraisal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sale of securities</w:t>
            </w:r>
          </w:p>
        </w:tc>
        <w:tc>
          <w:tcPr>
            <w:tcW w:w="240" w:type="dxa"/>
            <w:vAlign w:val="bottom"/>
          </w:tcPr>
          <w:p>
            <w:pPr>
              <w:spacing w:after="0"/>
              <w:rPr>
                <w:sz w:val="18"/>
                <w:szCs w:val="18"/>
                <w:color w:val="auto"/>
              </w:rPr>
            </w:pP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(3,409)</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expenses</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3,704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12,246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33,128</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31,489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97,630</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104,349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(6,719)</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items such as banking regulatory assessments, telephone expenses, postage, courier fees, directors’ fees, supplies, and insurance.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for the three months ended September 30, 2024 was $33.1 million compared to $31.5 million for the three months ended September 30, 2023, an increase of $1.6 million, or 5.2%. Significant changes in the components of noninterest expense are detailed below.</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 and data services - </w:t>
      </w:r>
      <w:r>
        <w:rPr>
          <w:rFonts w:ascii="Times New Roman" w:cs="Times New Roman" w:eastAsia="Times New Roman" w:hAnsi="Times New Roman"/>
          <w:sz w:val="18"/>
          <w:szCs w:val="18"/>
          <w:color w:val="auto"/>
        </w:rPr>
        <w:t>IT and data services increased $274 thousand, or 33.5%, from $818 thousand for the three months ended September 30, 2023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 million for the three months ended September 30, 2024. The increase relates primarily to the Company’s cloud migration project.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expenses - </w:t>
      </w:r>
      <w:r>
        <w:rPr>
          <w:rFonts w:ascii="Times New Roman" w:cs="Times New Roman" w:eastAsia="Times New Roman" w:hAnsi="Times New Roman"/>
          <w:sz w:val="18"/>
          <w:szCs w:val="18"/>
          <w:color w:val="auto"/>
        </w:rPr>
        <w:t>Other expenses increased $742 thousand, or 20.0%, from $3.7 million for the three months ended September 30, 2023 to $4.4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three months ended September 30, 2024. The largest increase in the compared periods was an increase of $388 thousand in the ineffective portion of fair value hedges. Additionally, there was also a $50 thousand loss on the disposal of fixed assets in the third quarter of 2024.</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Noninterest expense for the nine months ended September 30, 2024 was $97.6 million, compared to $104.3 million for the nine months ended September 30, 2023, a decrease of $6.7 million, or 6.4%. Significant changes in the components of noninterest expense are detailed below.</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Salaries and employee benefits </w:t>
      </w:r>
      <w:r>
        <w:rPr>
          <w:rFonts w:ascii="Times New Roman" w:cs="Times New Roman" w:eastAsia="Times New Roman" w:hAnsi="Times New Roman"/>
          <w:sz w:val="18"/>
          <w:szCs w:val="18"/>
          <w:color w:val="auto"/>
        </w:rPr>
        <w:t>- Salaries and employee benefits decreased $4.4 million, or 7.2%, from $61.4 million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2023 to $57.0 million for the nine months ended September 30, 2024. This decrease was primarily driven by $4.3 million of Windmark transaction and related incentive-based compensation expenses incurred in the second quarter of 2023.</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 and data services - </w:t>
      </w:r>
      <w:r>
        <w:rPr>
          <w:rFonts w:ascii="Times New Roman" w:cs="Times New Roman" w:eastAsia="Times New Roman" w:hAnsi="Times New Roman"/>
          <w:sz w:val="18"/>
          <w:szCs w:val="18"/>
          <w:color w:val="auto"/>
        </w:rPr>
        <w:t>IT and data services increased $598 thousand, or 23.3%, from $2.6 million for the nine months ended September 30, 2023 to $3.2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nine months ended September 30, 2023. The increase relates primarily to the Company’s cloud migration project.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Loss on sale of securities </w:t>
      </w:r>
      <w:r>
        <w:rPr>
          <w:rFonts w:ascii="Times New Roman" w:cs="Times New Roman" w:eastAsia="Times New Roman" w:hAnsi="Times New Roman"/>
          <w:sz w:val="18"/>
          <w:szCs w:val="18"/>
          <w:color w:val="auto"/>
        </w:rPr>
        <w:t>- The Company sold approximately $56.2 million of available for sale securities in the second quarter of 2023. This resulted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on sale of $3.4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assets increased $132.9 million, or 3.2%, to $4.34 billion at September 30, 2024, compared to $4.20 billion at December 31, 2023. Our gross loans held for investment increased $23.2 million, or 0.8%, to $3.04 billion at September 30, 2024, compared to $3.01 billion at December 31, 2023. Our securities portfolio decreased $15.9 million, or 2.5%, to $606.9 million at September 30, 2024, compared to $622.8 million at December 31, 2023. Total deposits increased $93.2 million, or 2.6%, to $3.72 billion at September 30, 2024, compared to $3.63 billion at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held for investment increased $23.2 million, or 0.8%, to $3.04 billion at September 30, 2024, compared to $3.01 billion at December 31, 2023. The growth in loans remained relationship-focused and occurred primarily in direct-energy loans, seasonal agricultural-related loans, and single-family property loans, partially offset by decreases in consumer auto loans and residential construction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contractual maturities of our loans held for investment portfolio at September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Due after One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Due after Five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Due in</w:t>
            </w:r>
          </w:p>
        </w:tc>
        <w:tc>
          <w:tcPr>
            <w:tcW w:w="22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One Year or</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Through Five</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Due after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Fifteen Years</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Fifteen Years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2"/>
              </w:rPr>
              <w:t>(Dollars in thousands)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166,853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562,267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321,591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69,736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1,120,447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135,099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145,207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75,653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50,296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406,255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78,756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198,569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140,243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108,880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526,448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33,360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104,882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91,470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332,689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562,401</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183,895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66,772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253,509</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40,802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16,192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65,789</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88,890</w:t>
            </w:r>
          </w:p>
        </w:tc>
        <w:tc>
          <w:tcPr>
            <w:tcW w:w="220" w:type="dxa"/>
            <w:vAlign w:val="bottom"/>
          </w:tcPr>
          <w:p>
            <w:pPr>
              <w:spacing w:after="0"/>
              <w:rPr>
                <w:sz w:val="19"/>
                <w:szCs w:val="19"/>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10,626</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1,356</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102,526</w:t>
            </w:r>
          </w:p>
        </w:tc>
      </w:tr>
      <w:tr>
        <w:trPr>
          <w:trHeight w:val="257"/>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514,595</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1,246,248</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713,277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563,255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3,037,375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distribution between fixed and adjustable interest rate loans for maturities greater than one year as of September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Adjustable</w:t>
            </w:r>
          </w:p>
        </w:tc>
      </w:t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560,354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87,010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184,146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285,192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198,521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56,994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6,108</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1,288,459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1,234,321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September 30, 2024, there was $1.56 billion in adjustable rate loans, with $900.9 million of these loans that mature or reprice in the next twelve months. Of these loans that mature or reprice in the next twelve months, $587.6 million will reprice immediately upon changes in the underlying index rate, with the remaining $313.3 million being subject to rate floors above the current index or a future repricing date.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prime rate is the predominate index used by the Bank. Further, there is $169.9 million of fixed rate loans that mature in the next twelve months as of September 30, 2024.</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Bank is primarily involved in real estate, commercial, agricultural and consumer lending activities with customers throughout Texas and Eastern New Mexico. We have a collateral concentration, as 72.8% of our loans were secured by real property as of September 30, 2024, compared to 72.7% as of December 31, 2023.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and residential construction loans represent 40.2% of loans held for investment as of September 30, 2024 and represented 40.1% of loans held for investment as of December 31, 2023. Further, 97% of the total dollar amount of these loans are secured by collateral located in the state of Texas.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Commercial Real Estate</w:t>
      </w:r>
      <w:r>
        <w:rPr>
          <w:rFonts w:ascii="Times New Roman" w:cs="Times New Roman" w:eastAsia="Times New Roman" w:hAnsi="Times New Roman"/>
          <w:sz w:val="18"/>
          <w:szCs w:val="18"/>
          <w:color w:val="auto"/>
        </w:rPr>
        <w:t>. Our commercial real estate portfolio includes loans for commercial property that is owned by real estate investors, 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Commercial real estate loans increased $39.4 million, or 3.6%, to $1.12 billion as of September 30, 2024 from $1.08 billion as of December 31, 2023. The increase was primarily driven by an increase in multifamily property loans of $67.1 million and an increase in other commercial real estate loans of $24.0 million, partially offset by a decrease in commercial land development and construction loans of $51.9 million due to the completion of several large projects.</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Commercial – General and Specialized</w:t>
      </w:r>
      <w:r>
        <w:rPr>
          <w:rFonts w:ascii="Times New Roman" w:cs="Times New Roman" w:eastAsia="Times New Roman" w:hAnsi="Times New Roman"/>
          <w:sz w:val="18"/>
          <w:szCs w:val="18"/>
          <w:color w:val="auto"/>
        </w:rPr>
        <w:t>. Commercial loans are underwritten after evaluating and understanding the borrower’s ability to operate profitably.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Underwriting standards have been designed to determine whether the borrower possesses sound business ethics and practices, to evaluate current and projected cash flows to determine the ability of the borrower to repay their obligations as agreed,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general loans increased $9.1 million, or 1.8%, to $526.4 million as of September 30, 2024 from $517.4 million as of December 31, 2023. The increase in commercial general loans was primarily due to increases in loans to companies in the services industry of $16.0 million, partially offset by a decrease of $4.5 million in restaurant and retail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specialized loans increased $33.9 million, or 9.1%, to $406.3 million as of September 30, 2024 from $372.4 million as of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primarily due to growth of $28.5 million in energy sector loans and $5.6 million in agricultural loans.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Consumer</w:t>
      </w:r>
      <w:r>
        <w:rPr>
          <w:rFonts w:ascii="Times New Roman" w:cs="Times New Roman" w:eastAsia="Times New Roman" w:hAnsi="Times New Roman"/>
          <w:sz w:val="18"/>
          <w:szCs w:val="18"/>
          <w:color w:val="auto"/>
        </w:rPr>
        <w:t>. We utilize a computer-based credit scoring analysis to supplement our policies and procedures in underwriting consumer loans. Our loan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 and other loans decreased $32.5 million, or 3.6%, to $881.7 million as of September 30, 2024, from $914.2 million as of December 31, 2023. The decrease in these loans was a result of declines of $51.8 million in consumer auto loans and $8.4 million in other consumer loans, partially offset by an increase of $27.7 million in residential mortgage loans. As of September 30, 2024, our consumer loan portfolio was comprised of $562.4 million in 1-4 family residential loans, $253.5 million in auto loans, and $65.8 million in other consumer loans. The consumer auto and other consumer loans portfolios have experienced a decline in new originations due to higher loan rates and economic pressures from inflation on consumers.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Loans for residential construction are for single-family properties to developers, builders, or end-users. These loans are underwritten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Construction loans decreased $26.7 million, or 20.6%, to $102.5 million as of September 30, 2024 from $129.2 million as of December 31, 2023. The decrease resulted from reduced demand for residential construction as interest rate levels remained elevated and projects were completed and sold.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commercial real estate and construction categories comprise the Company’s nonowner-occupied real estate loans. Total nonowner-occupied real estate loans were $1.22 billion at September 30, 2024 and $1.21 billion at December 31, 2023. Nonowner-occupied commercial real estate loans are made up of income-producing commercial real estate property loans and construction, acquisition, and development property loans. As of September 30, 2024, total income-producing commercial real estate property loans totaled $865.9 million and was comprised of $286.6 million of multi-family property loans, $175.1 million of retail property loans, $138.6 million of office property loans, $63.5 million in hospitality loans, and $202.1 million in other property loans. Other property loans include types such as industrial, warehouse, mini-storage, and convenience stores. As of September 30, 2024, total construction, acquisition, and development property loans totaled $357.0 million and was comprised of $102.5 million in residential construction property loans and $254.5 million of commercial construction and other land development loans. The weighted average loan-to-value of income-producing nonowner-occupied commercial real estate loans was approximately 53% at September 30, 2024. The weighted average loan-to-value of nonowner-occupied office commercial real estate loans was approximately 59% at September 30,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Owner-occupied commercial real estate loans totaled $335.4 million at September 30, 2024 and $341.1 million at December 31, 2023.</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Company’s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commitments we have made as of the dates presented.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to grant loans and unfunded commitments under lines of credit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598,800</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16,309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11,503</w:t>
            </w: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561,789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610,303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for Loans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ACL provides a reserve against which loan losses are charged for current expected credit losses. Management evaluates the appropriate level of the ACL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ACL is assessed by regulatory examinations and the Company’s internal and external loan reviews. The ACL consists of two elements: (1) specific valuation allowances established for expected losses on specifically analyzed loans and (2) collective valuation allowances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determine the adequacy of the ACL on loans, the Company applied a dual credit risk rating (“DCRR”) methodology that estimates each loan’s probability of default and loss given default to calculate the expected credit loss to non-analyzed loans. The DCRR process quantifies the expected credit loss at the loan level for the entire loan portfolio. Loan grades are assigned by a customized scorecard that risk rates each loan based on multiple probability of default and loss given default elements to measure the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one-year through the cycle estimate of expected credit loss to a life of loan measurement that reflects current conditions and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a one to two years. The Company has developed regression models to project net charge-off rates based on macroeconomic variables (“MEVs”), typically a one-year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 These regression models are applied to the Company’s economic forecast to determine the corresponding net charge-off rates. The projected net charge-off rates for the given economic scenario are used to adjust the through the cycle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 In addition to the loan level evaluations, nonaccrual loans with a balance of $250 thousand or more are individually analyzed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ACL for loans was $42.9 million at September 30, 2024, compared to $42.4 million at December 31, 2023, an increase of $500 thousand, or 1.3%. The increase is primarily a result of a provision for credit losses on loans of $3.1 million being recorded during the nine months ended September 30, 2024 largely attributable to growth of $23.2 million in loans held for investment, partially offset by net charge-offs of $2.6 million during the period. Uncertainty regarding forecasted economic conditions remains, due to the continued elevated interest rate environment and persistent inflation in the United States, and additional provisions for credit losses may be necessary in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an analysis of the ACL for loans and other data during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50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gridSpan w:val="5"/>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1"/>
                <w:szCs w:val="21"/>
                <w:color w:val="auto"/>
              </w:rPr>
            </w:pPr>
          </w:p>
        </w:tc>
        <w:tc>
          <w:tcPr>
            <w:tcW w:w="250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Average loans outstanding during the periods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79"/>
              </w:rPr>
              <w:t>in</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1,112,753</w:t>
            </w: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1,029,888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1,105,626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962,767</w:t>
            </w: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 specialized</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416,437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365,258</w:t>
            </w: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391,819</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342,355</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 general</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523,393</w:t>
            </w: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528,668</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524,348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519,375</w:t>
            </w: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residential</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569,798</w:t>
            </w: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528,835</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558,950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503,878</w:t>
            </w:r>
          </w:p>
        </w:tc>
        <w:tc>
          <w:tcPr>
            <w:tcW w:w="0" w:type="dxa"/>
            <w:vAlign w:val="bottom"/>
          </w:tcPr>
          <w:p>
            <w:pPr>
              <w:spacing w:after="0"/>
              <w:rPr>
                <w:sz w:val="1"/>
                <w:szCs w:val="1"/>
                <w:color w:val="auto"/>
              </w:rPr>
            </w:pP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Auto loans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262,769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316,895</w:t>
            </w: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281,409</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319,617</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67,211</w:t>
            </w: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78,787</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70,278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79,912</w:t>
            </w: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139,761</w:t>
            </w: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109,590</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143,970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17,607</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13,659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21,013</w:t>
            </w:r>
          </w:p>
        </w:tc>
        <w:tc>
          <w:tcPr>
            <w:tcW w:w="0" w:type="dxa"/>
            <w:vAlign w:val="bottom"/>
          </w:tcPr>
          <w:p>
            <w:pPr>
              <w:spacing w:after="0"/>
              <w:rPr>
                <w:sz w:val="1"/>
                <w:szCs w:val="1"/>
                <w:color w:val="auto"/>
              </w:rPr>
            </w:pPr>
          </w:p>
        </w:tc>
      </w:tr>
      <w:tr>
        <w:trPr>
          <w:trHeight w:val="27"/>
        </w:trPr>
        <w:tc>
          <w:tcPr>
            <w:tcW w:w="5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average loans outstanding during the periods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3,069,900</w:t>
            </w:r>
          </w:p>
        </w:tc>
        <w:tc>
          <w:tcPr>
            <w:tcW w:w="3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3,005,699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3,055,679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2,892,887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 (recoveries) during the periods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 specialized</w:t>
            </w: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 general</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residential</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Auto loans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23"/>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56"/>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charge-offs (recoveries) during the periods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net charge-offs (recoveries) to average loans during the periods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 specialized</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 general</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8"/>
                <w:szCs w:val="18"/>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residential</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Auto loans</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0.46%</w:t>
            </w:r>
          </w:p>
        </w:tc>
        <w:tc>
          <w:tcPr>
            <w:tcW w:w="220" w:type="dxa"/>
            <w:vAlign w:val="bottom"/>
          </w:tcPr>
          <w:p>
            <w:pPr>
              <w:spacing w:after="0"/>
              <w:rPr>
                <w:sz w:val="18"/>
                <w:szCs w:val="18"/>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7"/>
        </w:trPr>
        <w:tc>
          <w:tcPr>
            <w:tcW w:w="5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ratio of net charge-offs (recoveries) to average loans during the periods</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18"/>
                <w:szCs w:val="18"/>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8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other loan data as of the dates indicated.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2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38"/>
        </w:trPr>
        <w:tc>
          <w:tcPr>
            <w:tcW w:w="10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194"/>
        </w:trPr>
        <w:tc>
          <w:tcPr>
            <w:tcW w:w="10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 held for investment outstanding</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3,037,375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3,014,153</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22,574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3,242</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42,886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42,356</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Ratio of allowance to total loans held for investment</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allowance to nonaccrual loans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189.98%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1,306.48%</w:t>
            </w:r>
          </w:p>
        </w:tc>
      </w:tr>
      <w:tr>
        <w:trPr>
          <w:trHeight w:val="23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Ratio of nonaccrual loans to total loans held for investment</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0.74%</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r>
    </w:tbl>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charge-offs totaled $887 thousand and were 0.11% (annualized) of average loans outstanding for the three months ended September 30, 2024, compared to $362 thousand and 0.05% (annualized) for the three months ended September 30, 2023. There was an increase of $315 thousand in net charge-offs on residential construction loans in the third quarter of 2024 due to the charge-off of one loan and an increase in net charge-offs on consumer auto loans of $146 thousand. Net charge-offs totaled $2.6 million and were 0.11% (annualized) of average loans outstanding for the nine months ended September 30, 2024, compared to $1.4 million and 0.06% (annualized) for the nine months ended September 30, 2023. There was an increase of $479 thousand in net charge-offs on commercial-general loans during the first three quarters of 2024 due to the charge-off of several loans under $150 thousand each. There was also an increase of $596 thousand in net charge-offs on consumer loans during the first three quarters of 2024. The allowance for credit losses on loans as a percentage of loans held for investment was 1.41% at September 30, 2024 and 1.41% at December 31, 2023.</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entire ACL for loans is available to absorb losses from any part of our loan portfolio, the following table sets forth the allocation of the ACL for loans for the periods presented and the percentage of allowance in each classification to total allowance: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1"/>
                <w:szCs w:val="21"/>
                <w:color w:val="auto"/>
              </w:rPr>
            </w:pPr>
          </w:p>
        </w:tc>
        <w:tc>
          <w:tcPr>
            <w:tcW w:w="24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15,924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15,808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9,177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5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42,356</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Loans that exhibit characteristics different from their pool characteristics are evaluated on an individual basis. Loans evaluated individually are not included in the collective ACL evaluation. Income from loans on nonaccrual status is recognized to the extent cash is received and when the loan’s principal balance is deemed collectible. Depending on a particular loan’s circumstances, we analyze loans for specific allowance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specific allowance amount on a collateral-dependent loan is charged-off to the allowance if deemed not collectible and the impairment amount on a loan that is not collateral-dependent is set up as a specific reserve.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 estate we acquire as a result of foreclosure or by deed-in-lieu of foreclosure is classified as other real estate owned (“OREO”) until sold and is initially recorded at fair value less costs to sell when acquired, establishing a new cost basis. OREO and repossessed assets are reported as foreclosed assets.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Nonperforming loans include nonaccrual loans and loans past due 90 days or more. Nonperforming assets consist of nonperforming loans plus foreclosed assets.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September 30, 2024, our total nonaccrual loans were $22.6 million, or 0.74% of total loans held for investment, as compared to $3.2 million, or 0.11% of total loans held for investment, at December 31, 2023. These loans within this amount that exceeded $250 thousand were specifically analyzed and specific valuation allowances were established as necessary and included in the ACL for loans as of September 30, 2024 to cover any probable loss. The previously disclosed $20.0 million multi-family property credit that was placed on nonaccrual status in the second quarter of 2024 after the maturity date was accelerated, was subsequently modified during the third quarter. The modification included more stringent credit metrics. Although the loan remains in nonaccrual status, the loan continues to pay as agreed and is showing improving credit trends. Additionally, two relationships totaling approximately $972 thousand that were on nonaccrual at December 31, 2023 were fully repaid in the first quarter of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Nonperforming loans were $24.7 million at September 30, 2024 and $5.2 million at December 31, 2023. This increase of $19.5 million is mainly due to the changes in nonaccrual loans noted above.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ACL for loans.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The Company closely monitors the performance of loans that are modified to borrowers experiencing financial difficulty to understand the effectiveness of its modification efforts. Upon the Company’s determination that a modified loan has subsequently been deemed to not be fully collectible, the uncollectible amount is written off. Therefore, the amortized cost basis of the loan is reduced by the uncollectible amount and the ACL for loans is adjusted by the same amount.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Portfolio</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securities portfolio decreased $15.9 million, or 2.5%, to $606.9 million at September 30, 2024, compared to $622.8 million at December 31, 2023. The decrease was primarily due to $28.9 million in maturities, prepayments and calls, net of purchases, partially offset by a $15.0 million increase in the fair value of available for sale securities at September 30, 2024 as compared to December 31, 2023.</w:t>
      </w:r>
    </w:p>
    <w:p>
      <w:pPr>
        <w:sectPr>
          <w:pgSz w:w="11900" w:h="16838" w:orient="portrait"/>
          <w:cols w:equalWidth="0" w:num="1">
            <w:col w:w="11240"/>
          </w:cols>
          <w:pgMar w:left="320" w:top="116"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securities have fair values less than amortized cost and, therefore, contain unrealized losses. At September 30, 2024, the unrealized loss on the Company’s available for sale securities was $67.1 million, down from $82.1 million at December 31, 2023. At September 30, 2024, the Company evaluated whether the decline in fair value has resulted from credit losses or other factors. Within this evaluation, management considers the extent to which fair value is less than amortized cost, any changes to the rating of the security by rating agency, and adverse conditions specifically related to the security, among other factors. Based on management’s evaluation no unrealized losses on securities were determined to be due to credit loss. Additionally,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 thus no ACL or losses have been recognized in the Company’s consolidated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an obligation with or without call or prepayment penalties.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 of September 30, 2024</w:t>
            </w:r>
          </w:p>
        </w:tc>
        <w:tc>
          <w:tcPr>
            <w:tcW w:w="8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Due in One</w:t>
            </w:r>
          </w:p>
        </w:tc>
        <w:tc>
          <w:tcPr>
            <w:tcW w:w="160" w:type="dxa"/>
            <w:vAlign w:val="bottom"/>
          </w:tcPr>
          <w:p>
            <w:pPr>
              <w:spacing w:after="0"/>
              <w:rPr>
                <w:sz w:val="16"/>
                <w:szCs w:val="16"/>
                <w:color w:val="auto"/>
              </w:rPr>
            </w:pPr>
          </w:p>
        </w:tc>
        <w:tc>
          <w:tcPr>
            <w:tcW w:w="2120" w:type="dxa"/>
            <w:vAlign w:val="bottom"/>
            <w:gridSpan w:val="5"/>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Due after One Year</w:t>
            </w:r>
          </w:p>
        </w:tc>
        <w:tc>
          <w:tcPr>
            <w:tcW w:w="140" w:type="dxa"/>
            <w:vAlign w:val="bottom"/>
          </w:tcPr>
          <w:p>
            <w:pPr>
              <w:spacing w:after="0"/>
              <w:rPr>
                <w:sz w:val="16"/>
                <w:szCs w:val="16"/>
                <w:color w:val="auto"/>
              </w:rPr>
            </w:pPr>
          </w:p>
        </w:tc>
        <w:tc>
          <w:tcPr>
            <w:tcW w:w="2120" w:type="dxa"/>
            <w:vAlign w:val="bottom"/>
            <w:gridSpan w:val="4"/>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Due after Five Years</w:t>
            </w:r>
          </w:p>
        </w:tc>
        <w:tc>
          <w:tcPr>
            <w:tcW w:w="180" w:type="dxa"/>
            <w:vAlign w:val="bottom"/>
          </w:tcPr>
          <w:p>
            <w:pPr>
              <w:spacing w:after="0"/>
              <w:rPr>
                <w:sz w:val="16"/>
                <w:szCs w:val="16"/>
                <w:color w:val="auto"/>
              </w:rPr>
            </w:pPr>
          </w:p>
        </w:tc>
        <w:tc>
          <w:tcPr>
            <w:tcW w:w="1820" w:type="dxa"/>
            <w:vAlign w:val="bottom"/>
            <w:gridSpan w:val="3"/>
          </w:tcPr>
          <w:p>
            <w:pPr>
              <w:ind w:left="460"/>
              <w:spacing w:after="0" w:line="194" w:lineRule="exact"/>
              <w:rPr>
                <w:sz w:val="20"/>
                <w:szCs w:val="20"/>
                <w:color w:val="auto"/>
              </w:rPr>
            </w:pPr>
            <w:r>
              <w:rPr>
                <w:rFonts w:ascii="Times New Roman" w:cs="Times New Roman" w:eastAsia="Times New Roman" w:hAnsi="Times New Roman"/>
                <w:sz w:val="18"/>
                <w:szCs w:val="18"/>
                <w:b w:val="1"/>
                <w:bCs w:val="1"/>
                <w:color w:val="auto"/>
              </w:rPr>
              <w:t>Due after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or Less</w:t>
            </w:r>
          </w:p>
        </w:tc>
        <w:tc>
          <w:tcPr>
            <w:tcW w:w="160" w:type="dxa"/>
            <w:vAlign w:val="bottom"/>
          </w:tcPr>
          <w:p>
            <w:pPr>
              <w:spacing w:after="0"/>
              <w:rPr>
                <w:sz w:val="21"/>
                <w:szCs w:val="21"/>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40" w:type="dxa"/>
            <w:vAlign w:val="bottom"/>
          </w:tcPr>
          <w:p>
            <w:pPr>
              <w:spacing w:after="0"/>
              <w:rPr>
                <w:sz w:val="21"/>
                <w:szCs w:val="21"/>
                <w:color w:val="auto"/>
              </w:rPr>
            </w:pP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Through Ten Years</w:t>
            </w:r>
          </w:p>
        </w:tc>
        <w:tc>
          <w:tcPr>
            <w:tcW w:w="180" w:type="dxa"/>
            <w:vAlign w:val="bottom"/>
          </w:tcPr>
          <w:p>
            <w:pPr>
              <w:spacing w:after="0"/>
              <w:rPr>
                <w:sz w:val="21"/>
                <w:szCs w:val="21"/>
                <w:color w:val="auto"/>
              </w:rPr>
            </w:pPr>
          </w:p>
        </w:tc>
        <w:tc>
          <w:tcPr>
            <w:tcW w:w="198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Ten Years</w:t>
            </w:r>
          </w:p>
        </w:tc>
        <w:tc>
          <w:tcPr>
            <w:tcW w:w="0" w:type="dxa"/>
            <w:vAlign w:val="bottom"/>
          </w:tcPr>
          <w:p>
            <w:pPr>
              <w:spacing w:after="0"/>
              <w:rPr>
                <w:sz w:val="1"/>
                <w:szCs w:val="1"/>
                <w:color w:val="auto"/>
              </w:rPr>
            </w:pPr>
          </w:p>
        </w:tc>
      </w:tr>
      <w:tr>
        <w:trPr>
          <w:trHeight w:val="194"/>
        </w:trPr>
        <w:tc>
          <w:tcPr>
            <w:tcW w:w="2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6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Yield</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4,521</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3,801</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189,351</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Residential mortgage-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backed securities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2,220</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745</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325,963</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Commercial mortgage-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backed securities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46,932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Commercial collateralized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obligations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69,027</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Asset-backed and other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amortizing securities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13,968</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3"/>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available-for-sale</w:t>
            </w: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135,395</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529,282</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433"/>
        </w:trPr>
        <w:tc>
          <w:tcPr>
            <w:tcW w:w="2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Due in One</w:t>
            </w:r>
          </w:p>
        </w:tc>
        <w:tc>
          <w:tcPr>
            <w:tcW w:w="160" w:type="dxa"/>
            <w:vAlign w:val="bottom"/>
          </w:tcPr>
          <w:p>
            <w:pPr>
              <w:spacing w:after="0"/>
              <w:rPr>
                <w:sz w:val="16"/>
                <w:szCs w:val="16"/>
                <w:color w:val="auto"/>
              </w:rPr>
            </w:pPr>
          </w:p>
        </w:tc>
        <w:tc>
          <w:tcPr>
            <w:tcW w:w="2120" w:type="dxa"/>
            <w:vAlign w:val="bottom"/>
            <w:gridSpan w:val="5"/>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Due after One Year</w:t>
            </w:r>
          </w:p>
        </w:tc>
        <w:tc>
          <w:tcPr>
            <w:tcW w:w="140" w:type="dxa"/>
            <w:vAlign w:val="bottom"/>
          </w:tcPr>
          <w:p>
            <w:pPr>
              <w:spacing w:after="0"/>
              <w:rPr>
                <w:sz w:val="16"/>
                <w:szCs w:val="16"/>
                <w:color w:val="auto"/>
              </w:rPr>
            </w:pPr>
          </w:p>
        </w:tc>
        <w:tc>
          <w:tcPr>
            <w:tcW w:w="2120" w:type="dxa"/>
            <w:vAlign w:val="bottom"/>
            <w:gridSpan w:val="4"/>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Due after Five Years</w:t>
            </w:r>
          </w:p>
        </w:tc>
        <w:tc>
          <w:tcPr>
            <w:tcW w:w="180" w:type="dxa"/>
            <w:vAlign w:val="bottom"/>
          </w:tcPr>
          <w:p>
            <w:pPr>
              <w:spacing w:after="0"/>
              <w:rPr>
                <w:sz w:val="16"/>
                <w:szCs w:val="16"/>
                <w:color w:val="auto"/>
              </w:rPr>
            </w:pPr>
          </w:p>
        </w:tc>
        <w:tc>
          <w:tcPr>
            <w:tcW w:w="1820" w:type="dxa"/>
            <w:vAlign w:val="bottom"/>
            <w:gridSpan w:val="3"/>
          </w:tcPr>
          <w:p>
            <w:pPr>
              <w:ind w:left="460"/>
              <w:spacing w:after="0" w:line="194" w:lineRule="exact"/>
              <w:rPr>
                <w:sz w:val="20"/>
                <w:szCs w:val="20"/>
                <w:color w:val="auto"/>
              </w:rPr>
            </w:pPr>
            <w:r>
              <w:rPr>
                <w:rFonts w:ascii="Times New Roman" w:cs="Times New Roman" w:eastAsia="Times New Roman" w:hAnsi="Times New Roman"/>
                <w:sz w:val="18"/>
                <w:szCs w:val="18"/>
                <w:b w:val="1"/>
                <w:bCs w:val="1"/>
                <w:color w:val="auto"/>
              </w:rPr>
              <w:t>Due after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or Less</w:t>
            </w:r>
          </w:p>
        </w:tc>
        <w:tc>
          <w:tcPr>
            <w:tcW w:w="160" w:type="dxa"/>
            <w:vAlign w:val="bottom"/>
          </w:tcPr>
          <w:p>
            <w:pPr>
              <w:spacing w:after="0"/>
              <w:rPr>
                <w:sz w:val="21"/>
                <w:szCs w:val="21"/>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40" w:type="dxa"/>
            <w:vAlign w:val="bottom"/>
          </w:tcPr>
          <w:p>
            <w:pPr>
              <w:spacing w:after="0"/>
              <w:rPr>
                <w:sz w:val="21"/>
                <w:szCs w:val="21"/>
                <w:color w:val="auto"/>
              </w:rPr>
            </w:pP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Through Ten Years</w:t>
            </w:r>
          </w:p>
        </w:tc>
        <w:tc>
          <w:tcPr>
            <w:tcW w:w="180" w:type="dxa"/>
            <w:vAlign w:val="bottom"/>
          </w:tcPr>
          <w:p>
            <w:pPr>
              <w:spacing w:after="0"/>
              <w:rPr>
                <w:sz w:val="21"/>
                <w:szCs w:val="21"/>
                <w:color w:val="auto"/>
              </w:rPr>
            </w:pPr>
          </w:p>
        </w:tc>
        <w:tc>
          <w:tcPr>
            <w:tcW w:w="198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Ten Years</w:t>
            </w:r>
          </w:p>
        </w:tc>
        <w:tc>
          <w:tcPr>
            <w:tcW w:w="0" w:type="dxa"/>
            <w:vAlign w:val="bottom"/>
          </w:tcPr>
          <w:p>
            <w:pPr>
              <w:spacing w:after="0"/>
              <w:rPr>
                <w:sz w:val="1"/>
                <w:szCs w:val="1"/>
                <w:color w:val="auto"/>
              </w:rPr>
            </w:pPr>
          </w:p>
        </w:tc>
      </w:tr>
      <w:tr>
        <w:trPr>
          <w:trHeight w:val="194"/>
        </w:trPr>
        <w:tc>
          <w:tcPr>
            <w:tcW w:w="2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6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Yield</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6,112</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191,070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Residential mortgage-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backed securities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3,038</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347,293</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Commercial mortgage-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backed securities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47,898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Commercial collateralized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obligations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72,391</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Asset-backed and other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amortizing securities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2,359</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16,117</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3"/>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available-for-sale</w:t>
            </w: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140,465</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554,480</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564"/>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14"/>
                <w:szCs w:val="14"/>
                <w:color w:val="auto"/>
              </w:rPr>
              <w:t>42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deposits at September 30, 2024 were $3.72 billion, representing an increase of $93.2 million, or 2.6%, compared to $3.63 billion at December 31, 2023. The increase since December 31, 2023 consisted of increases of $69.0 million in interest-bearing deposits and $24.2 million in non-interest-bearing deposits. As of September 30, 2024, 26.8% of total deposits were comprised of noninterest-bearing demand accounts, 61.3% of interest-bearing non-maturity accounts and 11.9% of time deposits.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deposit mix as of the dates presented: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4"/>
                <w:szCs w:val="24"/>
                <w:color w:val="auto"/>
              </w:rPr>
            </w:pPr>
          </w:p>
        </w:tc>
        <w:tc>
          <w:tcPr>
            <w:tcW w:w="24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998,480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974,201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NOW and other transaction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496,176</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562,066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and other savings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1,780,337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1,722,170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444,367</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367,716</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9"/>
                <w:szCs w:val="19"/>
                <w:color w:val="auto"/>
              </w:rPr>
            </w:pPr>
          </w:p>
        </w:tc>
      </w:tr>
      <w:tr>
        <w:trPr>
          <w:trHeight w:val="237"/>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3,719,360</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3,626,153</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average deposit balances and weighted average rates paid on deposits, on an annualized basis,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9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194"/>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60" w:type="dxa"/>
            <w:vAlign w:val="bottom"/>
          </w:tcPr>
          <w:p>
            <w:pPr>
              <w:spacing w:after="0"/>
              <w:rPr>
                <w:sz w:val="16"/>
                <w:szCs w:val="16"/>
                <w:color w:val="auto"/>
              </w:rPr>
            </w:pPr>
          </w:p>
        </w:tc>
        <w:tc>
          <w:tcPr>
            <w:tcW w:w="110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60" w:type="dxa"/>
            <w:vAlign w:val="bottom"/>
          </w:tcPr>
          <w:p>
            <w:pPr>
              <w:spacing w:after="0"/>
              <w:rPr>
                <w:sz w:val="16"/>
                <w:szCs w:val="16"/>
                <w:color w:val="auto"/>
              </w:rPr>
            </w:pPr>
          </w:p>
        </w:tc>
      </w:tr>
      <w:tr>
        <w:trPr>
          <w:trHeight w:val="245"/>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1"/>
                <w:szCs w:val="21"/>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 Rate</w:t>
            </w:r>
          </w:p>
        </w:tc>
        <w:tc>
          <w:tcPr>
            <w:tcW w:w="14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Average Rate</w:t>
            </w:r>
          </w:p>
        </w:tc>
      </w:tr>
      <w:tr>
        <w:trPr>
          <w:trHeight w:val="216"/>
        </w:trPr>
        <w:tc>
          <w:tcPr>
            <w:tcW w:w="5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93"/>
              </w:rPr>
              <w:t>(Dollars in</w:t>
            </w:r>
          </w:p>
        </w:tc>
        <w:tc>
          <w:tcPr>
            <w:tcW w:w="26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976,048</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1,071,175</w:t>
            </w: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 and interest-bearing demand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463,873</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472,180</w:t>
            </w: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134,570</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0.93%</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143,919</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0.92%</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1,648,856</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1,606,915</w:t>
            </w: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r>
      <w:tr>
        <w:trPr>
          <w:trHeight w:val="22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431,307</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344,395</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r>
      <w:tr>
        <w:trPr>
          <w:trHeight w:val="223"/>
        </w:trPr>
        <w:tc>
          <w:tcPr>
            <w:tcW w:w="5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2,678,606</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2,567,409</w:t>
            </w: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5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3,654,654</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3,638,584</w:t>
            </w:r>
          </w:p>
        </w:tc>
        <w:tc>
          <w:tcPr>
            <w:tcW w:w="16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r>
      <w:tr>
        <w:trPr>
          <w:trHeight w:val="21"/>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03"/>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194"/>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60" w:type="dxa"/>
            <w:vAlign w:val="bottom"/>
          </w:tcPr>
          <w:p>
            <w:pPr>
              <w:spacing w:after="0"/>
              <w:rPr>
                <w:sz w:val="16"/>
                <w:szCs w:val="16"/>
                <w:color w:val="auto"/>
              </w:rPr>
            </w:pPr>
          </w:p>
        </w:tc>
        <w:tc>
          <w:tcPr>
            <w:tcW w:w="110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60" w:type="dxa"/>
            <w:vAlign w:val="bottom"/>
          </w:tcPr>
          <w:p>
            <w:pPr>
              <w:spacing w:after="0"/>
              <w:rPr>
                <w:sz w:val="16"/>
                <w:szCs w:val="16"/>
                <w:color w:val="auto"/>
              </w:rPr>
            </w:pPr>
          </w:p>
        </w:tc>
      </w:tr>
      <w:tr>
        <w:trPr>
          <w:trHeight w:val="245"/>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1"/>
                <w:szCs w:val="21"/>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 Rate</w:t>
            </w:r>
          </w:p>
        </w:tc>
        <w:tc>
          <w:tcPr>
            <w:tcW w:w="14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Average Rate</w:t>
            </w:r>
          </w:p>
        </w:tc>
      </w:tr>
      <w:tr>
        <w:trPr>
          <w:trHeight w:val="216"/>
        </w:trPr>
        <w:tc>
          <w:tcPr>
            <w:tcW w:w="5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93"/>
              </w:rPr>
              <w:t>(Dollars in</w:t>
            </w:r>
          </w:p>
        </w:tc>
        <w:tc>
          <w:tcPr>
            <w:tcW w:w="26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964,829</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1,085,345</w:t>
            </w: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 and interest-bearing demand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481,628</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371,526</w:t>
            </w: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134,784</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0.92%</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147,802</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0.86%</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1,635,157</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1,570,922</w:t>
            </w: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r>
      <w:tr>
        <w:trPr>
          <w:trHeight w:val="22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399,646</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309,250</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5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2,651,215</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2,399,500</w:t>
            </w: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5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3,616,044</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3,484,845</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Time deposits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maturities of time deposits of more than $250 thousand as of September 30, 2024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Three to</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Six to</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800" w:type="dxa"/>
            <w:vAlign w:val="bottom"/>
            <w:gridSpan w:val="2"/>
          </w:tcPr>
          <w:p>
            <w:pPr>
              <w:jc w:val="right"/>
              <w:ind w:right="3010"/>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37,167</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46,261</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114,919</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amount of uninsured deposits as of September 30, 2024 was $1.22 billion. This represented approximately 33% of total deposits and excludes collateralized public fund deposits.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Borrowed Funds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deposits, we may utilize advances from the FHLB and other borrowings as a supplementary funding source to finance our operations.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FHLB Advances</w:t>
      </w:r>
      <w:r>
        <w:rPr>
          <w:rFonts w:ascii="Times New Roman" w:cs="Times New Roman" w:eastAsia="Times New Roman" w:hAnsi="Times New Roman"/>
          <w:sz w:val="18"/>
          <w:szCs w:val="18"/>
          <w:color w:val="auto"/>
        </w:rPr>
        <w:t>. The FHLB allows us to borrow, both short and long-term, on a blanket floating lien status collateralized by first mortgage loans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real estate loans as well as FHLB stock. At September 30, 2024 and December 31, 2023, we had total remaining borrowing capacity from the FHLB of $1.11 billion and $1.10 billion, respectively, with no outstanding balance. We had no long-term FHLB borrowings during the three and nine months ended September 30, 2024 or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Federal Reserve Bank of Dallas</w:t>
      </w:r>
      <w:r>
        <w:rPr>
          <w:rFonts w:ascii="Times New Roman" w:cs="Times New Roman" w:eastAsia="Times New Roman" w:hAnsi="Times New Roman"/>
          <w:sz w:val="18"/>
          <w:szCs w:val="18"/>
          <w:color w:val="auto"/>
        </w:rPr>
        <w:t>. The Bank has a line of credit with the Federal Reserve Bank of Dallas (the “FRB”). The amount of the line is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monthly basis by the FRB. The line is collateralized by a blanket floating lien on all agriculture, commercial and consumer loans. The amount of the line was $664.2 million and $595.4 million at September 30, 2024 and December 31, 2023, respectively, with no outstanding balance. We had no long-term FRB borrowings during the nine months ended September 30, 2024 or 2023.</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Lines of Credit</w:t>
      </w:r>
      <w:r>
        <w:rPr>
          <w:rFonts w:ascii="Times New Roman" w:cs="Times New Roman" w:eastAsia="Times New Roman" w:hAnsi="Times New Roman"/>
          <w:sz w:val="18"/>
          <w:szCs w:val="18"/>
          <w:color w:val="auto"/>
        </w:rPr>
        <w:t>. The Bank has uncollateralized lines of credit with multiple banks as a source of funding for liquidity management. The total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lines was $140.0 million and $140.0 million as of September 30, 2024 and December 31, 2023, respectively. The lines were not used, other than testing during the three and nine months September 30, 2024 or the three and nine months September 30, 2023.</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FHLB Letters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may use FHLB letters of credit to pledge to certain public deposits. The outstanding balance of FHLB letters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was $75.0 million and $-0- at September 30, 2024 and December 31, 2023, respectively.</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Subordinated Debt</w:t>
      </w:r>
      <w:r>
        <w:rPr>
          <w:rFonts w:ascii="Times New Roman" w:cs="Times New Roman" w:eastAsia="Times New Roman" w:hAnsi="Times New Roman"/>
          <w:sz w:val="18"/>
          <w:szCs w:val="18"/>
          <w:color w:val="auto"/>
        </w:rPr>
        <w:t>. In December 2018, the Company issued $14.1 million of subordinated notes that have a maturity date of December 2030 and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average fixed rate of 6.41% for the first seven years. After the fixed rate periods, these notes will float at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29, 2020, the Company issued $50.0 million in subordinated notes. Proceeds were reduced by approximately $926 thousand in debt issuance costs. These notes have a maturity date of September 2030 with a fixed rate of 4.50% for the first five years. After the expiration of the fixed rate period, the notes will reset quarterly at a variable rate equal to the then current three-month Secured Overnight Financing Rate, as published by the Federal Reserve Bank of New York, plus 438 basis points. These notes pay interest semi-annually, are unsecured, and may be called by the Company at any time after the remaining maturity is five years or less. Additionally, these notes are intended to qualify for Tier 2 capital treatment, subject to regulatory limitations.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2024, the total amount of subordinated debt securities outstanding was $64.1 million less approximately $186 thousand of remaining debt issuance costs for a total balance of $63.9 million.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Junior Subordinated Deferrable Interest Debentures and Trust Preferred Securities</w:t>
      </w:r>
      <w:r>
        <w:rPr>
          <w:rFonts w:ascii="Times New Roman" w:cs="Times New Roman" w:eastAsia="Times New Roman" w:hAnsi="Times New Roman"/>
          <w:sz w:val="18"/>
          <w:szCs w:val="18"/>
          <w:color w:val="auto"/>
        </w:rPr>
        <w:t>. Between March 2004 and June 2007, the Company formed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September 30, 2024 and December 31, 2023.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chart below indicates certain information, as of September 30, 2024,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and the interest rates on the junior subordinated deferrable interest debentures.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Stated</w:t>
            </w:r>
          </w:p>
        </w:tc>
        <w:tc>
          <w:tcPr>
            <w:tcW w:w="224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 Date of</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 of</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Trust Preferred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Trust Preferred</w:t>
            </w:r>
          </w:p>
        </w:tc>
      </w:tr>
      <w:tr>
        <w:trPr>
          <w:trHeight w:val="206"/>
        </w:trPr>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00" w:type="dxa"/>
            <w:vAlign w:val="bottom"/>
          </w:tcPr>
          <w:p>
            <w:pPr>
              <w:spacing w:after="0"/>
              <w:rPr>
                <w:sz w:val="17"/>
                <w:szCs w:val="17"/>
                <w:color w:val="auto"/>
              </w:rPr>
            </w:pPr>
          </w:p>
        </w:tc>
        <w:tc>
          <w:tcPr>
            <w:tcW w:w="14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Trust Preferred</w:t>
            </w:r>
          </w:p>
        </w:tc>
        <w:tc>
          <w:tcPr>
            <w:tcW w:w="10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 and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and</w:t>
            </w:r>
          </w:p>
        </w:tc>
      </w:tr>
      <w:tr>
        <w:trPr>
          <w:trHeight w:val="255"/>
        </w:trPr>
        <w:tc>
          <w:tcPr>
            <w:tcW w:w="2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Trust</w:t>
            </w:r>
          </w:p>
        </w:tc>
        <w:tc>
          <w:tcPr>
            <w:tcW w:w="100" w:type="dxa"/>
            <w:vAlign w:val="bottom"/>
          </w:tcPr>
          <w:p>
            <w:pPr>
              <w:spacing w:after="0"/>
              <w:rPr>
                <w:sz w:val="22"/>
                <w:szCs w:val="22"/>
                <w:color w:val="auto"/>
              </w:rPr>
            </w:pPr>
          </w:p>
        </w:tc>
        <w:tc>
          <w:tcPr>
            <w:tcW w:w="2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Debentures</w:t>
            </w:r>
          </w:p>
        </w:tc>
        <w:tc>
          <w:tcPr>
            <w:tcW w:w="220" w:type="dxa"/>
            <w:vAlign w:val="bottom"/>
          </w:tcPr>
          <w:p>
            <w:pPr>
              <w:spacing w:after="0"/>
              <w:rPr>
                <w:sz w:val="22"/>
                <w:szCs w:val="22"/>
                <w:color w:val="auto"/>
              </w:rPr>
            </w:pPr>
          </w:p>
        </w:tc>
        <w:tc>
          <w:tcPr>
            <w:tcW w:w="130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9"/>
              </w:rPr>
              <w:t>Debentures</w:t>
            </w:r>
            <w:r>
              <w:rPr>
                <w:rFonts w:ascii="Times New Roman" w:cs="Times New Roman" w:eastAsia="Times New Roman" w:hAnsi="Times New Roman"/>
                <w:sz w:val="28"/>
                <w:szCs w:val="28"/>
                <w:b w:val="1"/>
                <w:bCs w:val="1"/>
                <w:color w:val="auto"/>
                <w:w w:val="99"/>
                <w:vertAlign w:val="superscript"/>
              </w:rPr>
              <w:t>(1)</w:t>
            </w:r>
          </w:p>
        </w:tc>
        <w:tc>
          <w:tcPr>
            <w:tcW w:w="100" w:type="dxa"/>
            <w:vAlign w:val="bottom"/>
          </w:tcPr>
          <w:p>
            <w:pPr>
              <w:spacing w:after="0"/>
              <w:rPr>
                <w:sz w:val="22"/>
                <w:szCs w:val="22"/>
                <w:color w:val="auto"/>
              </w:rPr>
            </w:pPr>
          </w:p>
        </w:tc>
        <w:tc>
          <w:tcPr>
            <w:tcW w:w="224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7"/>
              </w:rPr>
              <w:t>Debentures</w:t>
            </w:r>
            <w:r>
              <w:rPr>
                <w:rFonts w:ascii="Times New Roman" w:cs="Times New Roman" w:eastAsia="Times New Roman" w:hAnsi="Times New Roman"/>
                <w:sz w:val="28"/>
                <w:szCs w:val="28"/>
                <w:b w:val="1"/>
                <w:bCs w:val="1"/>
                <w:color w:val="auto"/>
                <w:w w:val="97"/>
                <w:vertAlign w:val="superscript"/>
              </w:rPr>
              <w:t>(2)(3)</w:t>
            </w:r>
          </w:p>
        </w:tc>
      </w:tr>
      <w:tr>
        <w:trPr>
          <w:trHeight w:val="216"/>
        </w:trPr>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240" w:type="dxa"/>
            <w:vAlign w:val="bottom"/>
          </w:tcPr>
          <w:p>
            <w:pPr>
              <w:spacing w:after="0"/>
              <w:rPr>
                <w:sz w:val="18"/>
                <w:szCs w:val="18"/>
                <w:color w:val="auto"/>
              </w:rPr>
            </w:pPr>
          </w:p>
        </w:tc>
      </w:tr>
      <w:tr>
        <w:trPr>
          <w:trHeight w:val="198"/>
        </w:trPr>
        <w:tc>
          <w:tcPr>
            <w:tcW w:w="2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South Plains Financial Capital</w:t>
            </w: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3-mo. CME Term SOFR + 291</w:t>
            </w:r>
          </w:p>
        </w:tc>
      </w:tr>
      <w:tr>
        <w:trPr>
          <w:trHeight w:val="234"/>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Trust III</w:t>
            </w:r>
          </w:p>
        </w:tc>
        <w:tc>
          <w:tcPr>
            <w:tcW w:w="2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2004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10,310</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2034</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bps; 8.19%</w:t>
            </w:r>
          </w:p>
        </w:tc>
      </w:tr>
      <w:tr>
        <w:trPr>
          <w:trHeight w:val="198"/>
        </w:trPr>
        <w:tc>
          <w:tcPr>
            <w:tcW w:w="2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South Plains Financial Capital</w:t>
            </w:r>
          </w:p>
        </w:tc>
        <w:tc>
          <w:tcPr>
            <w:tcW w:w="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3-mo. CME Term SOFR + 165</w:t>
            </w:r>
          </w:p>
        </w:tc>
      </w:tr>
      <w:tr>
        <w:trPr>
          <w:trHeight w:val="234"/>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Trust IV</w:t>
            </w:r>
          </w:p>
        </w:tc>
        <w:tc>
          <w:tcPr>
            <w:tcW w:w="2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20,619</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2035</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bps; 6.60%</w:t>
            </w:r>
          </w:p>
        </w:tc>
      </w:tr>
      <w:tr>
        <w:trPr>
          <w:trHeight w:val="198"/>
        </w:trPr>
        <w:tc>
          <w:tcPr>
            <w:tcW w:w="2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South Plains Financial Capital</w:t>
            </w: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3-mo. CME Term SOFR + 176</w:t>
            </w:r>
          </w:p>
        </w:tc>
      </w:tr>
      <w:tr>
        <w:trPr>
          <w:trHeight w:val="241"/>
        </w:trPr>
        <w:tc>
          <w:tcPr>
            <w:tcW w:w="2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Trust V</w:t>
            </w:r>
          </w:p>
        </w:tc>
        <w:tc>
          <w:tcPr>
            <w:tcW w:w="242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2037</w:t>
            </w:r>
          </w:p>
        </w:tc>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bps; 6.71%</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46,393</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redeemed at the Company’s option.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quarterly with principal due at maturity.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as of last reset date, prior to September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 At September 30, 2024, the Bank had the capacity to borrow additional funds from the FHLB and Federal Reserve discount window of up to approximately $1.1 billion and $664.2 million,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believes that the Company has adequate liquidity to meet its obligations. However, if general economic conditions, potential recession in the United States and our market areas, the impacts related to or resulting from bank failures and any uncertainty in the banking industry, including the associated impact to the Company and other financial institutions of any regulatory changes or other mitigation efforts taken by government agencies in response thereto, increased competition for deposits and related changes in deposit customer behavior, changes in market interest rates, the resurgence of elevated levels of inflation or inflationary pressures in the United States and our market areas, or other events, cause these sources of external funding to become restricted or are eliminated, the Company may not be able to raise adequate funds or may incur substantially higher funding costs or operating restrictions in order to raise the necessary funds to support the Company’s operations and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stockholders’ equity increased to $443.1 million as of September 30, 2024, compared to $407.1 million as of December 31, 2023, an increase of $36.0 million, or 8.8%. The increase from December 31, 2023 was primarily the result of $33.2 million in net earnings for the nine months ended September 30, 2024 and an increase in accumulated other comprehensive income (“AOCI”) of $9.3 million, net of tax, partially offset by $6.7 million of dividends paid. The increase in AOCI was attributable to the increase in fair value of our available for sale securities and fair value hedges, net of tax, as a result of the decline in market interest rates experienced during the period.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sectPr>
          <w:pgSz w:w="11900" w:h="16838" w:orient="portrait"/>
          <w:cols w:equalWidth="0" w:num="1">
            <w:col w:w="11240"/>
          </w:cols>
          <w:pgMar w:left="320" w:top="114"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2024 and December 31, 2023, both we and the Bank met all the capital adequacy requirements to which we and the Bank were subject. At September 30, 2024, we and the Bank were “well capitalized” under the regulatory framework for prompt corrective action. Management believes that no conditions or events have occurred since September 30, 2024 that would materially adversely change such capital classifications. From time to time, we may need to raise additional capital to support our and the Bank’s further growth and to maintain our “well capitalized” status.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capital requirements applicable to us and the Bank in order to be considered “well capitalized” from a regulatory perspective, as well as our and the Bank’s capital ratios as of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1"/>
                <w:szCs w:val="21"/>
                <w:color w:val="auto"/>
              </w:rPr>
            </w:pPr>
          </w:p>
        </w:tc>
        <w:tc>
          <w:tcPr>
            <w:tcW w:w="242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South Plains Financial, Inc.</w:t>
            </w: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9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617,052</w:t>
            </w:r>
          </w:p>
        </w:tc>
        <w:tc>
          <w:tcPr>
            <w:tcW w:w="13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17.61%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589,565</w:t>
            </w: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7"/>
              </w:rPr>
              <w:t>16.74%</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509,338</w:t>
            </w:r>
          </w:p>
        </w:tc>
        <w:tc>
          <w:tcPr>
            <w:tcW w:w="1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14.54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482,044</w:t>
            </w: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CET 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464,338</w:t>
            </w:r>
          </w:p>
        </w:tc>
        <w:tc>
          <w:tcPr>
            <w:tcW w:w="13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13.25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437,044</w:t>
            </w: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509,338</w:t>
            </w:r>
          </w:p>
        </w:tc>
        <w:tc>
          <w:tcPr>
            <w:tcW w:w="1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11.76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482,044</w:t>
            </w: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9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City Bank:</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511,744</w:t>
            </w:r>
          </w:p>
        </w:tc>
        <w:tc>
          <w:tcPr>
            <w:tcW w:w="13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14.61%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494,353</w:t>
            </w: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7"/>
              </w:rPr>
              <w:t>14.04%</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467,956</w:t>
            </w:r>
          </w:p>
        </w:tc>
        <w:tc>
          <w:tcPr>
            <w:tcW w:w="1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13.36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450,607</w:t>
            </w: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CET 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467,956</w:t>
            </w:r>
          </w:p>
        </w:tc>
        <w:tc>
          <w:tcPr>
            <w:tcW w:w="13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13.36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450,607</w:t>
            </w: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3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467,956</w:t>
            </w:r>
          </w:p>
        </w:tc>
        <w:tc>
          <w:tcPr>
            <w:tcW w:w="1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10.81</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450,607</w:t>
            </w: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Bank Leverage Ratio</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 sheet exposures and trading assets and liabilities. Although the Company and the Bank are qualifying community banking organizations, the Company and the Bank have elected not to opt in to the CBLR framework at this time and will continue to follow the Basel III capital requirements as described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repurchased stock in accordance with its previously-announced stock repurchase program during the three and nine months ended September 30, 2024. For the three months ended September 30, 2024, we repurchased 40,000 shares of common stock for a total of $1.0 million. For the nine months ended September 30, 2024, we repurchased 53,799 share of common stock for a total of $1.3 million. These shares were retired immediately upon repurchase by the Company and not included in treasury stock. See Part II, Item 2, “Unregistered Sales of Equity Securities and Use of Proceeds,” of this Form 10-Q for further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and Market Risk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compliance with the limits set by the Bank’s board of directors.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simulated change in net interest income over a 12-month horizon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21"/>
                <w:szCs w:val="21"/>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r>
      <w:tr>
        <w:trPr>
          <w:trHeight w:val="194"/>
        </w:trPr>
        <w:tc>
          <w:tcPr>
            <w:tcW w:w="30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 Change in</w:t>
            </w:r>
          </w:p>
        </w:tc>
        <w:tc>
          <w:tcPr>
            <w:tcW w:w="320" w:type="dxa"/>
            <w:vAlign w:val="bottom"/>
          </w:tcPr>
          <w:p>
            <w:pPr>
              <w:spacing w:after="0"/>
              <w:rPr>
                <w:sz w:val="16"/>
                <w:szCs w:val="16"/>
                <w:color w:val="auto"/>
              </w:rPr>
            </w:pPr>
          </w:p>
        </w:tc>
        <w:tc>
          <w:tcPr>
            <w:tcW w:w="2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Percent Change in</w:t>
            </w:r>
          </w:p>
        </w:tc>
        <w:tc>
          <w:tcPr>
            <w:tcW w:w="220" w:type="dxa"/>
            <w:vAlign w:val="bottom"/>
          </w:tcPr>
          <w:p>
            <w:pPr>
              <w:spacing w:after="0"/>
              <w:rPr>
                <w:sz w:val="16"/>
                <w:szCs w:val="16"/>
                <w:color w:val="auto"/>
              </w:rPr>
            </w:pPr>
          </w:p>
        </w:tc>
      </w:tr>
      <w:tr>
        <w:trPr>
          <w:trHeight w:val="198"/>
        </w:trPr>
        <w:tc>
          <w:tcPr>
            <w:tcW w:w="6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Change in Interest Rates (Basis Points)</w:t>
            </w:r>
          </w:p>
        </w:tc>
        <w:tc>
          <w:tcPr>
            <w:tcW w:w="244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Interest Income</w:t>
            </w:r>
          </w:p>
        </w:tc>
        <w:tc>
          <w:tcPr>
            <w:tcW w:w="23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b w:val="1"/>
                <w:bCs w:val="1"/>
                <w:color w:val="auto"/>
              </w:rPr>
              <w:t>Net Interest Income</w:t>
            </w:r>
          </w:p>
        </w:tc>
      </w:tr>
      <w:tr>
        <w:trPr>
          <w:trHeight w:val="28"/>
        </w:trPr>
        <w:tc>
          <w:tcPr>
            <w:tcW w:w="3000" w:type="dxa"/>
            <w:vAlign w:val="bottom"/>
            <w:tcBorders>
              <w:top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w:t>
            </w:r>
          </w:p>
        </w:tc>
        <w:tc>
          <w:tcPr>
            <w:tcW w:w="34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+200</w:t>
            </w:r>
          </w:p>
        </w:tc>
        <w:tc>
          <w:tcPr>
            <w:tcW w:w="3480" w:type="dxa"/>
            <w:vAlign w:val="bottom"/>
          </w:tcPr>
          <w:p>
            <w:pPr>
              <w:spacing w:after="0"/>
              <w:rPr>
                <w:sz w:val="18"/>
                <w:szCs w:val="18"/>
                <w:color w:val="auto"/>
              </w:rPr>
            </w:pPr>
          </w:p>
        </w:tc>
        <w:tc>
          <w:tcPr>
            <w:tcW w:w="2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34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3480" w:type="dxa"/>
            <w:vAlign w:val="bottom"/>
          </w:tcPr>
          <w:p>
            <w:pPr>
              <w:spacing w:after="0"/>
              <w:rPr>
                <w:sz w:val="18"/>
                <w:szCs w:val="18"/>
                <w:color w:val="auto"/>
              </w:rPr>
            </w:pPr>
          </w:p>
        </w:tc>
        <w:tc>
          <w:tcPr>
            <w:tcW w:w="2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0.27%</w:t>
            </w:r>
          </w:p>
        </w:tc>
        <w:tc>
          <w:tcPr>
            <w:tcW w:w="2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w:t>
            </w:r>
          </w:p>
        </w:tc>
        <w:tc>
          <w:tcPr>
            <w:tcW w:w="34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0.85%</w:t>
            </w:r>
          </w:p>
        </w:tc>
        <w:tc>
          <w:tcPr>
            <w:tcW w:w="2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and related notes included elsewhere in this Form 10-Q have been prepared in accordance with U.S. generally accepted accounting principles (“GAAP”). GAAP requires the measurement of financial position and operating results in terms of historical dollars, without considering changes in the relative value of money over time due to inflation or recession.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w:t>
      </w:r>
    </w:p>
    <w:p>
      <w:pPr>
        <w:spacing w:after="0" w:line="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2, “Management’s Discussion and Analysis of Financial Condition and Results of Operations” of this Report under the heading “Interest Rate Sensitivity and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consolidated statements of comprehensive income (loss),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Tangible Book Value Per Common Share</w:t>
      </w:r>
      <w:r>
        <w:rPr>
          <w:rFonts w:ascii="Times New Roman" w:cs="Times New Roman" w:eastAsia="Times New Roman" w:hAnsi="Times New Roman"/>
          <w:sz w:val="18"/>
          <w:szCs w:val="18"/>
          <w:color w:val="auto"/>
        </w:rPr>
        <w:t>. Tangible book value per share is a non-GAAP measure generally used by investors, financial analysts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Tangible Common Equity to Tangible Assets</w:t>
      </w:r>
      <w:r>
        <w:rPr>
          <w:rFonts w:ascii="Times New Roman" w:cs="Times New Roman" w:eastAsia="Times New Roman" w:hAnsi="Times New Roman"/>
          <w:sz w:val="18"/>
          <w:szCs w:val="18"/>
          <w:color w:val="auto"/>
        </w:rPr>
        <w:t>. Tangible common equity to tangible assets is a non-GAAP measure generally used by investors,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443,122</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407,114</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other intangibles</w:t>
            </w:r>
          </w:p>
        </w:tc>
        <w:tc>
          <w:tcPr>
            <w:tcW w:w="18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(21,197)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(21,744)</w:t>
            </w:r>
          </w:p>
        </w:tc>
      </w:tr>
      <w:tr>
        <w:trPr>
          <w:trHeight w:val="257"/>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Tangible common equity</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421,925</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385,370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4,337,659</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4,204,793</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other intangibles</w:t>
            </w:r>
          </w:p>
        </w:tc>
        <w:tc>
          <w:tcPr>
            <w:tcW w:w="18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(21,197)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(21,744)</w:t>
            </w:r>
          </w:p>
        </w:tc>
      </w:tr>
      <w:tr>
        <w:trPr>
          <w:trHeight w:val="25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Tangible assets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4,316,462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4,183,049</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5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w:t>
            </w:r>
          </w:p>
        </w:tc>
        <w:tc>
          <w:tcPr>
            <w:tcW w:w="18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16,386,627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16,417,099</w:t>
            </w:r>
          </w:p>
        </w:tc>
      </w:tr>
      <w:tr>
        <w:trPr>
          <w:trHeight w:val="209"/>
        </w:trPr>
        <w:tc>
          <w:tcPr>
            <w:tcW w:w="86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 to total assets</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9.68%</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Tangible common equity to tangible assets</w:t>
            </w:r>
          </w:p>
        </w:tc>
        <w:tc>
          <w:tcPr>
            <w:tcW w:w="18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9.21%</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Book value per share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27.04</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24.80</w:t>
            </w:r>
          </w:p>
        </w:tc>
      </w:tr>
      <w:tr>
        <w:trPr>
          <w:trHeight w:val="234"/>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Tangible book value per share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25.75</w:t>
            </w:r>
          </w:p>
        </w:tc>
        <w:tc>
          <w:tcPr>
            <w:tcW w:w="160" w:type="dxa"/>
            <w:vAlign w:val="bottom"/>
          </w:tcPr>
          <w:p>
            <w:pPr>
              <w:spacing w:after="0"/>
              <w:rPr>
                <w:sz w:val="20"/>
                <w:szCs w:val="20"/>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23.47</w:t>
            </w: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accounting and reporting policies conform to GAAP and conform to general practices within the industry in which we operate. To prepare consolidated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Jumpstart Our Business Startups Act (the “JOBS Act”) permits us an extended transition period for complying with new or revised accounting standards affecting public companies. We have elected to take advantage of this extended transition period, which means that the consolidated financial statements included in this Form 10-Q,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critical accounting policies and significant estimates that we believe require us to make the most complex or subjective decisions or assessments.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Investment securities may be classified into trading, held-to-maturity, or available-for-sale portfolios. Securities that are held principally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(loss).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The cost of securities sold is based on the specific identification method.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Loans that management has the intent and ability to hold for the foreseeable future or until maturity or payoff are reported at their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The ACL for loans is established for future expected credit losses through a provision for credit losses charged to earnings.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losses are calculated using comparable and quantifiable information both internal and external about past events, including historical experience, current conditions, and reasonable and supportable forecasts that affect the collectability of the reported amount. Expected credit losses are estimated over the contractual term of the loans and adjusted for expected prepayments when appropriate. Loan losses are charged against the allowance when management believes the uncollectibility of a loan balance is confirmed. Subsequent recoveries, if any, are credited to the allowance. The Company’s ACL for loans consists of specific valuation allowances established for probable losses on specifically analyzed loans and collective valuation allowances calculated using comparable and quantifiable information both internal and external about past events, including historical experience, current conditions, and reasonable and supportable forecasts that affect the collectability of the reported amount.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ACL for loans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ACL for loans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that exhibit characteristics different from their pool characteristics are evaluated on an individual basis. Loans evaluated individually are not included in the collective ACL for loans evaluation. Certain of these loans are considered to be collateral dependent with the borrower experiencing financial difficulty. For these loans, the fair value of collateral practical expedient is elected whereby the allowance is calculated as the amount by which the amortized cost exceeds the fair value of collateral, less costs to sell. All non-accrual loans $250 thousand or greater are analyzed for a specific ACL.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expected credit losses on off-balance sheet credit exposures over the contractual period in which the Company is exposed to credit risk via a contractual obligation to extend credit, unless that obligation is unconditionally cancellable by the Company. The ACL for off-balance sheet credit exposures is adjusted through provision for credit losses. The estimate includes consideration of the likelihood that funding will occur and an estimate of expected credit losses on commitments expected to be funded over its estimated life. Utilization rates are determined based on a two-year rolling average of historical usage. Expected loss rates for all pass rated loans are used to determine the ACL for off-balance sheet credit exposures.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AFS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costs basis is written down to fair value through income. For AFS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 credit loss, limited by the amount that the fair value is less than the amortized cost basis. Any impairment that has not been recorded through an ACL is recognized in other comprehensive income (loss). Changes in the ACL are recorded as provision for credit losses. Losses are charged against the allowance when management believes the uncollectibility of an AFS security is confirmed or when either of the criteria regarding intent or requirement to sell is met. Accrued interest is excluded from the estimate of credit losses on securities.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Loans Held for Sale. </w:t>
      </w:r>
      <w:r>
        <w:rPr>
          <w:rFonts w:ascii="Times New Roman" w:cs="Times New Roman" w:eastAsia="Times New Roman" w:hAnsi="Times New Roman"/>
          <w:sz w:val="18"/>
          <w:szCs w:val="18"/>
          <w:color w:val="auto"/>
        </w:rPr>
        <w:t>Loans held for sale are comprised of residential mortgage loans. Loans that are originated for best efforts delivery are carried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Mortgage Servicing Rights Asset. </w:t>
      </w:r>
      <w:r>
        <w:rPr>
          <w:rFonts w:ascii="Times New Roman" w:cs="Times New Roman" w:eastAsia="Times New Roman" w:hAnsi="Times New Roman"/>
          <w:sz w:val="18"/>
          <w:szCs w:val="18"/>
          <w:color w:val="auto"/>
        </w:rPr>
        <w:t>When mortgage loans are sold with servicing retained, servicing rights are initially recorded at fair value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 of comprehensive income (loss) 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fair value measurement method, the Company measures servicing rights at fair value at each reporting date and reports change in fair value of servicing assets in earnings in the period in which the changes occur, and are included with other noninterest income in the consolidated financial statements. The fair values of servicing rights are subject to significant fluctuations as a result of changes in estimated and actual prepayment speeds and default rates and losses.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w:t>
      </w:r>
      <w:r>
        <w:rPr>
          <w:rFonts w:ascii="Times New Roman" w:cs="Times New Roman" w:eastAsia="Times New Roman" w:hAnsi="Times New Roman"/>
          <w:sz w:val="18"/>
          <w:szCs w:val="18"/>
          <w:color w:val="auto"/>
        </w:rPr>
        <w:t>Goodwill resulting from business combinations is generally determined as the excess of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 Summary of Significant Accounting Policies, in the notes to the consolidated financial statements included elsewhere in this Form 10-Q regarding the impact of new accounting pronouncements.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Control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Rules 13a-15(f) and 15d-15(f) under the Exchange Act) that occurred during the three months ended September 30, 2024 that have materially affected, or are reasonably likely to materially affect, the Company’s internal control over financial reporting.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are subject to various legal actions, as described in our Annual Report on Form 10-K for the year ended December 31, 2023 (the “2023 Annual Report on Form 10-K”) filed with the SEC on March 15, 2024. Except as described in our 2023 Annual Report on Form 10-K,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Form 10-Q and the risk factors previously disclosed under the heading “Risk Factors” in Part I, Item 1A of our 2023 Annual Report on Form 10-K. Management believes there have been no material changes in the risk factors disclosed by the Company in Part I, Item 1A, “Risk Factors,” of the 2023 Annual Report on Form 10-K. Additional risks and uncertainties not currently known to us or that we currently deem to be immaterial also may materially adversely affect our business, financial condition and/or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21, 2024, the Company’s board of directors approved a new stock repurchase program pursuant to which the Company may, from time to time, purchase up to $10.0 million of its outstanding shares of common stock (the “New Program”). The shares can be repurchased from time to time in privately negotiated transactions or the open market, including pursuant to Rule 10b5-1 trading plans, and in accordance with applicable regulations of the SEC. The Company is not obligated to purchase any shares of its common stock under the New Program and the timing and exact amount of any repurchases depends on various factors including, the performance of the Company’s stock price, general market and other conditions, applicable legal requirements and other factors. The New Program may be terminated or amended by the Company’s board of directors at any time prior to the expiration date of February 26,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share repurchase activity for the three months ended September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Maximum Dollar Amount</w:t>
            </w:r>
          </w:p>
        </w:tc>
      </w:tr>
      <w:tr>
        <w:trPr>
          <w:trHeight w:val="216"/>
        </w:trPr>
        <w:tc>
          <w:tcPr>
            <w:tcW w:w="4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Dollar Amount</w:t>
            </w:r>
          </w:p>
        </w:tc>
        <w:tc>
          <w:tcPr>
            <w:tcW w:w="80" w:type="dxa"/>
            <w:vAlign w:val="bottom"/>
          </w:tcPr>
          <w:p>
            <w:pPr>
              <w:spacing w:after="0"/>
              <w:rPr>
                <w:sz w:val="18"/>
                <w:szCs w:val="18"/>
                <w:color w:val="auto"/>
              </w:rPr>
            </w:pPr>
          </w:p>
        </w:tc>
        <w:tc>
          <w:tcPr>
            <w:tcW w:w="21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43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Purchased Pursuant to</w:t>
            </w:r>
          </w:p>
        </w:tc>
        <w:tc>
          <w:tcPr>
            <w:tcW w:w="80" w:type="dxa"/>
            <w:vAlign w:val="bottom"/>
          </w:tcPr>
          <w:p>
            <w:pPr>
              <w:spacing w:after="0"/>
              <w:rPr>
                <w:sz w:val="18"/>
                <w:szCs w:val="18"/>
                <w:color w:val="auto"/>
              </w:rPr>
            </w:pPr>
          </w:p>
        </w:tc>
        <w:tc>
          <w:tcPr>
            <w:tcW w:w="2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Repurchase Pursuant to</w:t>
            </w:r>
          </w:p>
        </w:tc>
      </w:tr>
      <w:tr>
        <w:trPr>
          <w:trHeight w:val="245"/>
        </w:trPr>
        <w:tc>
          <w:tcPr>
            <w:tcW w:w="43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Repurchased</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22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Publicly-Announced Plans</w:t>
            </w:r>
          </w:p>
        </w:tc>
        <w:tc>
          <w:tcPr>
            <w:tcW w:w="2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Publicly-Announced Plans</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July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8,659,477</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August 2024</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8,659,477</w:t>
            </w:r>
          </w:p>
        </w:tc>
      </w:tr>
      <w:tr>
        <w:trPr>
          <w:trHeight w:val="22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2024</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8,659,477</w:t>
            </w:r>
          </w:p>
        </w:tc>
      </w:tr>
      <w:tr>
        <w:trPr>
          <w:trHeight w:val="216"/>
        </w:trPr>
        <w:tc>
          <w:tcPr>
            <w:tcW w:w="43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none of the directors or officers of the Company adopted or terminated a “Rule 10b5-1 trading arrangement” or a “non-Rule 10b5-1 trading arrangement,” as each term is defined in Item 408 of Regulation S-K.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Announcement of Designation of Principal Executive Officer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Board of Directors routinely reviews and considers the roles and responsibilities of the Company’s executive officers on an annual basis. As a result of such routine annual review, effective November 5, 2024, the Company’s Board of Directors determined that it is most appropriate for Mr. Cory T. Newsom, the current President of the Company, to be designated as the principal executive officer of the Company. Previously, Mr. Curtis C. Griffith, the Chairman and Chief Executive Officer of the Company, was designated as the principal executive officer of the Company for SEC reporting purposes.</w:t>
      </w:r>
    </w:p>
    <w:p>
      <w:pPr>
        <w:sectPr>
          <w:pgSz w:w="11900" w:h="16838" w:orient="portrait"/>
          <w:cols w:equalWidth="0" w:num="1">
            <w:col w:w="11240"/>
          </w:cols>
          <w:pgMar w:left="320" w:top="116"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Griffith will continue to serve as Chairman and Chief Executive Officer of the Company and his role and responsibilities within the organization have not been diminished.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change in designation of the Company’s principal executive officer was approved by the Company’s Board of Directors in light of Mr. Newsom’s responsibilities and role within the organization as President of the Company, as well as the Company’s upcoming loss of its status as an emerging growth company on December 31, 2024, which will require additional and more robust executive compensation disclosures of the Company’s named executive officers. Because Mr. Newsom is currently, and is expected to remain, the highest compensated executive officer of the Company, the designation of Mr. Newsom as the principal executive officer of the Company is also intended to provide a more fulsome pay ratio disclosure, as will be required under Item 402(u) of Regulation S-K following the Company’s upcoming loss of its status as an emerging growth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Employment Agreement with Curtis C. Griffith.</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5, 2024, the Company’s Board of Directors approved an Amendment No. 2 to that certain Employment Agreement, dated December 18, 2019, by and among the Company, City Bank and Mr. Curtis C. Griffith, as previously amended by an Amendment No. 1, dated December 15, 2021 (as so amended, the “Griffith Employment Agreement”), providing for: (i) an increase in Mr. Griffith’s annual base salary to $425,000, annualized, commencing with the first pay period for January 1, 2025, and (ii) a cost-of-living adjustment of $14,200 to Mr. Griffith’s annual base salary on January 1st of each year beginning with January 1, 2026.</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description is a summary of the Griffith Employment Agreement, the Amendment No. 1 thereto, and the Amendment No. 2 thereto, and is qualified in its entirety by reference to the copy of the Griffith Employment Agreement filed as Exhibit 10.1 to the Company’s Current Report on Form 8-K filed with the SEC on December 19, 2019, the copy of the Amendment No. 1 filed as Exhibit 10.1 to the Company’s Current Report on Form 8-K filed with the SEC on December 21, 2021, and the copy of the Amendment No. 2 that is filed as Exhibit 10.1 to this Form 10-Q, respectively, and is hereby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Employment Agreement with Cory T. Newsom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5, 2024, the Company’s Board of Directors approved an Amendment No. 2 to that certain Employment Agreement, dated March 6, 2019, by and among the Company, City Bank and Mr. Cory T. Newsom, as previously amended by an Amendment No. 1, dated December 15, 2021 (as so amended, the “Newsom Employment Agreement”), providing for: (i) an increase in Mr. Newsom’s annual base salary to $720,000, annualized, commencing with the first pay period for January 1, 2025, and (ii) a cost-of-living adjustment of $24,000 to Mr. Newsom’s annual base salary on January 1st of each year beginning with January 1, 2026.</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description is a summary of the Newsom Employment Agreement, the Amendment No. 1 thereto, and the Amendment No. 2 thereto, and is qualified in its entirety by reference to the copy of the Newsom Employment Agreement filed as Exhibit 10.4 to the Company’s Registration Statement on Form S-1/A filed with the SEC on April 29, 2018, the copy of the Amendment No. 1 filed as Exhibit 10.2 to the Company’s Current Report on Form 8-K filed with the SEC on December 21, 2021, and the copy of the Amendment No. 2 that is filed as Exhibit 10.2 to this Form 10-Q, respectively, and is hereby incorporated herein by reference.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245"/>
        </w:trPr>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bottom w:val="single" w:sz="8" w:color="CCEEFF"/>
            </w:tcBorders>
          </w:tcPr>
          <w:p>
            <w:pPr>
              <w:spacing w:after="0"/>
              <w:rPr>
                <w:sz w:val="21"/>
                <w:szCs w:val="21"/>
                <w:color w:val="auto"/>
              </w:rPr>
            </w:pPr>
          </w:p>
        </w:tc>
        <w:tc>
          <w:tcPr>
            <w:tcW w:w="998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3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Amended and Restated Certificate of Formation of South Plains Financial, Inc. (incorporated by reference to Exhibit 3.1 to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Company’s Registration Statement on Form S-1 filed with the SEC on April 12, 2019) (File No. 333-230851).</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176"/>
        </w:trPr>
        <w:tc>
          <w:tcPr>
            <w:tcW w:w="3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Second Amended and Restated Bylaws of South Plains Financial, Inc. (incorporated by reference to Exhibit 3.1 to the Company’s Current</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Report on Form 8-K filed with the SEC on November 1, 2021) (File No. 001-38895).</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175"/>
        </w:trPr>
        <w:tc>
          <w:tcPr>
            <w:tcW w:w="5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600" w:type="dxa"/>
            <w:vAlign w:val="bottom"/>
            <w:shd w:val="clear" w:color="auto" w:fill="CCEEFF"/>
          </w:tcPr>
          <w:p>
            <w:pPr>
              <w:spacing w:after="0"/>
              <w:rPr>
                <w:sz w:val="15"/>
                <w:szCs w:val="15"/>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Amendment No. 2 to Employment Agreement, by and among City Bank, Curtis C. Griffith and South Plains Financial, Inc., dated as of</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November 5, 2024.</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176"/>
        </w:trPr>
        <w:tc>
          <w:tcPr>
            <w:tcW w:w="5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600" w:type="dxa"/>
            <w:vAlign w:val="bottom"/>
            <w:shd w:val="clear" w:color="auto" w:fill="CCEEFF"/>
          </w:tcPr>
          <w:p>
            <w:pPr>
              <w:spacing w:after="0"/>
              <w:rPr>
                <w:sz w:val="15"/>
                <w:szCs w:val="15"/>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Amendment No. 2 to Employment Agreement, by and among City Bank, Cory T. Newsom and South Plains Financial, Inc., dated as of</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November 5, 2024</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196"/>
        </w:trPr>
        <w:tc>
          <w:tcPr>
            <w:tcW w:w="5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60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5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60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1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1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76"/>
        </w:trPr>
        <w:tc>
          <w:tcPr>
            <w:tcW w:w="4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South Plains Financial, Inc. 2023 Employee Stock Purchase Plan (incorporated by reference to Exhibit 99.1 to the Company’s</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Registration Statement on Form S-8 filed with the SEC on July 15, 2024) (File No. 333-280809).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175"/>
        </w:trPr>
        <w:tc>
          <w:tcPr>
            <w:tcW w:w="4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hyperlink>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Amendment No. 1 to South Plains Financial, Inc. Employee Stock Purchase Plan (incorporated by reference to Exhibit 99.2 to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Company’s Registration Statement on Form S-8 filed with the SEC on July 15, 2024) (File No. 333-280809).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198"/>
        </w:trPr>
        <w:tc>
          <w:tcPr>
            <w:tcW w:w="4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The following material from South Plains Financial, Inc.’s Form 10-Q for the quarter ended September 30, 2024, formatted in XBRL</w:t>
            </w:r>
          </w:p>
        </w:tc>
      </w:tr>
      <w:tr>
        <w:trPr>
          <w:trHeight w:val="216"/>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(eXtensible  Business  Reporting  Language),  filed  herewith:  (i)  Consolidated  Balance  Sheets,  (ii)  Consolidated  Statements  of</w:t>
            </w:r>
          </w:p>
        </w:tc>
      </w:tr>
      <w:tr>
        <w:trPr>
          <w:trHeight w:val="216"/>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Comprehensive Income, (iii) Consolidated Statements of Changes in Stockholders’ Equity, (iv) Consolidated Statements of Cash Flows,</w:t>
            </w:r>
          </w:p>
        </w:tc>
      </w:tr>
      <w:tr>
        <w:trPr>
          <w:trHeight w:val="234"/>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(v) Notes to Unaudited Consolidated Financial Statements.</w:t>
            </w:r>
          </w:p>
        </w:tc>
      </w:tr>
    </w:tbl>
    <w:p>
      <w:pPr>
        <w:spacing w:after="0" w:line="198"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Filed with this Form 10-Q</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222222"/>
        </w:rPr>
        <w:t>**</w:t>
      </w:r>
      <w:r>
        <w:rPr>
          <w:sz w:val="20"/>
          <w:szCs w:val="20"/>
          <w:color w:val="auto"/>
        </w:rPr>
        <w:tab/>
      </w:r>
      <w:r>
        <w:rPr>
          <w:rFonts w:ascii="Times New Roman" w:cs="Times New Roman" w:eastAsia="Times New Roman" w:hAnsi="Times New Roman"/>
          <w:sz w:val="17"/>
          <w:szCs w:val="17"/>
          <w:color w:val="222222"/>
        </w:rPr>
        <w:t>Furnished with this Form 10-Q</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6040" w:val="left"/>
          <w:tab w:leader="none" w:pos="806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17145</wp:posOffset>
            </wp:positionV>
            <wp:extent cx="307721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077210" cy="17145"/>
                    </a:xfrm>
                    <a:prstGeom prst="rect">
                      <a:avLst/>
                    </a:prstGeom>
                    <a:noFill/>
                  </pic:spPr>
                </pic:pic>
              </a:graphicData>
            </a:graphic>
          </wp:anchor>
        </w:drawing>
      </w:r>
    </w:p>
    <w:p>
      <w:pPr>
        <w:spacing w:after="0" w:line="21"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3"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7" w:lineRule="exact"/>
        <w:rPr>
          <w:sz w:val="20"/>
          <w:szCs w:val="20"/>
          <w:color w:val="auto"/>
        </w:rPr>
      </w:pPr>
    </w:p>
    <w:p>
      <w:pPr>
        <w:spacing w:after="0"/>
        <w:tabs>
          <w:tab w:leader="none" w:pos="6040" w:val="left"/>
          <w:tab w:leader="none" w:pos="800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17145</wp:posOffset>
            </wp:positionV>
            <wp:extent cx="307721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077210" cy="17145"/>
                    </a:xfrm>
                    <a:prstGeom prst="rect">
                      <a:avLst/>
                    </a:prstGeom>
                    <a:noFill/>
                  </pic:spPr>
                </pic:pic>
              </a:graphicData>
            </a:graphic>
          </wp:anchor>
        </w:drawing>
      </w:r>
    </w:p>
    <w:p>
      <w:pPr>
        <w:spacing w:after="0" w:line="21"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3"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CURTIS C. GRIFFITH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No. 2</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AMENDMENT NO. 2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entered into by and between City Bank, Texas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Curtis C. Griffith (the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and South Plains Financial, Inc. (the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to amend the Employment Agreement previously entered into by and between the parties on December 18, 2019, as previously amended on December 15, 2021 (as amended, the "</w:t>
      </w:r>
      <w:r>
        <w:rPr>
          <w:rFonts w:ascii="Times New Roman" w:cs="Times New Roman" w:eastAsia="Times New Roman" w:hAnsi="Times New Roman"/>
          <w:sz w:val="18"/>
          <w:szCs w:val="18"/>
          <w:b w:val="1"/>
          <w:bCs w:val="1"/>
          <w:i w:val="1"/>
          <w:iCs w:val="1"/>
          <w:color w:val="auto"/>
        </w:rPr>
        <w:t>Employment Agreement</w:t>
      </w:r>
      <w:r>
        <w:rPr>
          <w:rFonts w:ascii="Times New Roman" w:cs="Times New Roman" w:eastAsia="Times New Roman" w:hAnsi="Times New Roman"/>
          <w:sz w:val="18"/>
          <w:szCs w:val="18"/>
          <w:color w:val="auto"/>
        </w:rPr>
        <w:t>"). Unless otherwise indicated, all terms used in this Amendment shall have the meaning as set forth in the Employment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parties hereby amend the terms of the Employment Agreement in the following respects:</w:t>
      </w:r>
    </w:p>
    <w:p>
      <w:pPr>
        <w:spacing w:after="0" w:line="229" w:lineRule="exact"/>
        <w:rPr>
          <w:sz w:val="20"/>
          <w:szCs w:val="20"/>
          <w:color w:val="auto"/>
        </w:rPr>
      </w:pPr>
    </w:p>
    <w:p>
      <w:pPr>
        <w:ind w:left="1340" w:hanging="684"/>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Section 3(a) of the Employment Agreement is hereby deleted in its entirety and replaced with the following:</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33" w:lineRule="auto"/>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Employer shall pay to the Executive an annual salary of not less than $425,000.00, plus a cost-of-living adjustment of $14,200.00 on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each year beginning with January 1, 2026 (the foregoing, with the cost-of-living adjustment each year, being the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payable in substantially equal installments at such intervals as may be determined by the Employer in accordance with the Employer’s then-current ordinary payroll practices as established from time to time, but not less frequently than monthly. The Base Salary shall be reviewed in good faith by the Compensation Committee of the Parent Board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or in the absence thereof, the Parent Board, based upon the Executive’s performance, not less often than annually, and may be increased, but not decreased, from time to time by the Parent Board.</w:t>
      </w:r>
    </w:p>
    <w:p>
      <w:pPr>
        <w:spacing w:after="0" w:line="198" w:lineRule="exact"/>
        <w:rPr>
          <w:rFonts w:ascii="Times New Roman" w:cs="Times New Roman" w:eastAsia="Times New Roman" w:hAnsi="Times New Roman"/>
          <w:sz w:val="18"/>
          <w:szCs w:val="18"/>
          <w:color w:val="auto"/>
        </w:rPr>
      </w:pPr>
    </w:p>
    <w:p>
      <w:pPr>
        <w:ind w:firstLine="656"/>
        <w:spacing w:after="0" w:line="282" w:lineRule="auto"/>
        <w:tabs>
          <w:tab w:leader="none" w:pos="13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Full Force and Effect</w:t>
      </w:r>
      <w:r>
        <w:rPr>
          <w:rFonts w:ascii="Times New Roman" w:cs="Times New Roman" w:eastAsia="Times New Roman" w:hAnsi="Times New Roman"/>
          <w:sz w:val="18"/>
          <w:szCs w:val="18"/>
          <w:color w:val="auto"/>
        </w:rPr>
        <w:t>. The effective date of this Amendment is January 1, 2025. Except as otherwise set forth in this Amendment, the Employment Agreement shall continue in full force and effect.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 and Counterparts</w:t>
      </w:r>
      <w:r>
        <w:rPr>
          <w:rFonts w:ascii="Times New Roman" w:cs="Times New Roman" w:eastAsia="Times New Roman" w:hAnsi="Times New Roman"/>
          <w:sz w:val="18"/>
          <w:szCs w:val="18"/>
          <w:color w:val="auto"/>
        </w:rPr>
        <w:t>. Except as otherwise provided herein, all terms and conditions of the Employment Agreement are fully incorporated herein. This Amendment may be executed simultaneously in two or more counterparts, each of which shall be deemed an original, and together constitute one instrument.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NEXT PAGE]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9" w:name="page60"/>
    <w:bookmarkEnd w:id="5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this Amendment No. 2 to the Employment Agreement as of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herein.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tc>
        <w:tc>
          <w:tcPr>
            <w:tcW w:w="7300" w:type="dxa"/>
            <w:vAlign w:val="bottom"/>
            <w:gridSpan w:val="4"/>
          </w:tcPr>
          <w:p>
            <w:pPr>
              <w:ind w:left="3380"/>
              <w:spacing w:after="0"/>
              <w:rPr>
                <w:sz w:val="20"/>
                <w:szCs w:val="20"/>
                <w:color w:val="auto"/>
              </w:rPr>
            </w:pPr>
            <w:r>
              <w:rPr>
                <w:rFonts w:ascii="Times New Roman" w:cs="Times New Roman" w:eastAsia="Times New Roman" w:hAnsi="Times New Roman"/>
                <w:sz w:val="18"/>
                <w:szCs w:val="18"/>
                <w:b w:val="1"/>
                <w:bCs w:val="1"/>
                <w:color w:val="auto"/>
              </w:rPr>
              <w:t>CITY BANK, TEXAS</w:t>
            </w:r>
          </w:p>
        </w:tc>
      </w:tr>
      <w:tr>
        <w:trPr>
          <w:trHeight w:val="45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600" w:type="dxa"/>
            <w:vAlign w:val="bottom"/>
            <w:tcBorders>
              <w:bottom w:val="single" w:sz="8" w:color="auto"/>
            </w:tcBorders>
            <w:gridSpan w:val="2"/>
          </w:tcPr>
          <w:p>
            <w:pPr>
              <w:spacing w:after="0"/>
              <w:rPr>
                <w:sz w:val="24"/>
                <w:szCs w:val="24"/>
                <w:color w:val="auto"/>
              </w:rPr>
            </w:pPr>
          </w:p>
        </w:tc>
        <w:tc>
          <w:tcPr>
            <w:tcW w:w="2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Cory Newsom</w:t>
            </w:r>
          </w:p>
        </w:tc>
        <w:tc>
          <w:tcPr>
            <w:tcW w:w="418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Signature:</w:t>
            </w:r>
          </w:p>
        </w:tc>
        <w:tc>
          <w:tcPr>
            <w:tcW w:w="320" w:type="dxa"/>
            <w:vAlign w:val="bottom"/>
          </w:tcPr>
          <w:p>
            <w:pPr>
              <w:spacing w:after="0"/>
              <w:rPr>
                <w:sz w:val="24"/>
                <w:szCs w:val="24"/>
                <w:color w:val="auto"/>
              </w:rPr>
            </w:pPr>
          </w:p>
        </w:tc>
        <w:tc>
          <w:tcPr>
            <w:tcW w:w="28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 Cory Newsom</w:t>
            </w: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11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President</w:t>
            </w:r>
          </w:p>
        </w:tc>
        <w:tc>
          <w:tcPr>
            <w:tcW w:w="2200" w:type="dxa"/>
            <w:vAlign w:val="bottom"/>
            <w:tcBorders>
              <w:bottom w:val="single" w:sz="8" w:color="auto"/>
            </w:tcBorders>
          </w:tcPr>
          <w:p>
            <w:pPr>
              <w:spacing w:after="0"/>
              <w:rPr>
                <w:sz w:val="24"/>
                <w:szCs w:val="24"/>
                <w:color w:val="auto"/>
              </w:rPr>
            </w:pPr>
          </w:p>
        </w:tc>
        <w:tc>
          <w:tcPr>
            <w:tcW w:w="39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Its:</w:t>
            </w:r>
          </w:p>
        </w:tc>
        <w:tc>
          <w:tcPr>
            <w:tcW w:w="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CEO and President</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11-05-2024</w:t>
            </w:r>
          </w:p>
        </w:tc>
        <w:tc>
          <w:tcPr>
            <w:tcW w:w="2200" w:type="dxa"/>
            <w:vAlign w:val="bottom"/>
          </w:tcPr>
          <w:p>
            <w:pPr>
              <w:spacing w:after="0"/>
              <w:rPr>
                <w:sz w:val="24"/>
                <w:szCs w:val="24"/>
                <w:color w:val="auto"/>
              </w:rPr>
            </w:pPr>
          </w:p>
        </w:tc>
        <w:tc>
          <w:tcPr>
            <w:tcW w:w="7300" w:type="dxa"/>
            <w:vAlign w:val="bottom"/>
            <w:gridSpan w:val="4"/>
          </w:tcPr>
          <w:p>
            <w:pPr>
              <w:ind w:left="3380"/>
              <w:spacing w:after="0"/>
              <w:rPr>
                <w:sz w:val="20"/>
                <w:szCs w:val="20"/>
                <w:color w:val="auto"/>
              </w:rPr>
            </w:pPr>
            <w:r>
              <w:rPr>
                <w:rFonts w:ascii="Times New Roman" w:cs="Times New Roman" w:eastAsia="Times New Roman" w:hAnsi="Times New Roman"/>
                <w:sz w:val="18"/>
                <w:szCs w:val="18"/>
                <w:color w:val="auto"/>
                <w:w w:val="99"/>
              </w:rPr>
              <w:t>Date:11-05-2024</w:t>
            </w:r>
          </w:p>
        </w:tc>
      </w:tr>
      <w:tr>
        <w:trPr>
          <w:trHeight w:val="34"/>
        </w:trPr>
        <w:tc>
          <w:tcPr>
            <w:tcW w:w="580" w:type="dxa"/>
            <w:vAlign w:val="bottom"/>
          </w:tcPr>
          <w:p>
            <w:pPr>
              <w:spacing w:after="0"/>
              <w:rPr>
                <w:sz w:val="2"/>
                <w:szCs w:val="2"/>
                <w:color w:val="auto"/>
              </w:rPr>
            </w:pPr>
          </w:p>
        </w:tc>
        <w:tc>
          <w:tcPr>
            <w:tcW w:w="780" w:type="dxa"/>
            <w:vAlign w:val="bottom"/>
            <w:gridSpan w:val="2"/>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0" w:type="dxa"/>
            <w:vAlign w:val="bottom"/>
            <w:shd w:val="clear" w:color="auto" w:fill="000000"/>
          </w:tcPr>
          <w:p>
            <w:pPr>
              <w:spacing w:after="0"/>
              <w:rPr>
                <w:sz w:val="2"/>
                <w:szCs w:val="2"/>
                <w:color w:val="auto"/>
              </w:rPr>
            </w:pPr>
          </w:p>
        </w:tc>
      </w:tr>
      <w:tr>
        <w:trPr>
          <w:trHeight w:val="432"/>
        </w:trPr>
        <w:tc>
          <w:tcPr>
            <w:tcW w:w="17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22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53"/>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w:t>
            </w:r>
          </w:p>
        </w:tc>
        <w:tc>
          <w:tcPr>
            <w:tcW w:w="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Curtis C. Griffith</w:t>
            </w:r>
          </w:p>
        </w:tc>
        <w:tc>
          <w:tcPr>
            <w:tcW w:w="3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r>
        <w:trPr>
          <w:trHeight w:val="453"/>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Print Name:</w:t>
            </w:r>
          </w:p>
        </w:tc>
        <w:tc>
          <w:tcPr>
            <w:tcW w:w="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Curtis C. Griffith</w:t>
            </w:r>
          </w:p>
        </w:tc>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1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11-05-2024</w:t>
            </w:r>
          </w:p>
        </w:tc>
        <w:tc>
          <w:tcPr>
            <w:tcW w:w="2200" w:type="dxa"/>
            <w:vAlign w:val="bottom"/>
            <w:tcBorders>
              <w:bottom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598"/>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94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84"/>
        </w:trPr>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39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CORY T. NEWSOM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No. 2</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AMENDMENT NO. 2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entered into by and between City Bank, Texas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Cory T. Newsom (the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and South Plains Financial, Inc. (the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to amend the Employment Agreement previously entered into by and between the parties on March 6, 2019, as previously amended on December 15, 2021 (as amended, the "</w:t>
      </w:r>
      <w:r>
        <w:rPr>
          <w:rFonts w:ascii="Times New Roman" w:cs="Times New Roman" w:eastAsia="Times New Roman" w:hAnsi="Times New Roman"/>
          <w:sz w:val="18"/>
          <w:szCs w:val="18"/>
          <w:b w:val="1"/>
          <w:bCs w:val="1"/>
          <w:i w:val="1"/>
          <w:iCs w:val="1"/>
          <w:color w:val="auto"/>
        </w:rPr>
        <w:t>Employment Agreement</w:t>
      </w:r>
      <w:r>
        <w:rPr>
          <w:rFonts w:ascii="Times New Roman" w:cs="Times New Roman" w:eastAsia="Times New Roman" w:hAnsi="Times New Roman"/>
          <w:sz w:val="18"/>
          <w:szCs w:val="18"/>
          <w:color w:val="auto"/>
        </w:rPr>
        <w:t>"). Unless otherwise indicated, all terms used in this Amendment shall have the meaning as set forth in the Employment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parties hereby amend the terms of the Employment Agreement in the following respects:</w:t>
      </w:r>
    </w:p>
    <w:p>
      <w:pPr>
        <w:spacing w:after="0" w:line="229" w:lineRule="exact"/>
        <w:rPr>
          <w:sz w:val="20"/>
          <w:szCs w:val="20"/>
          <w:color w:val="auto"/>
        </w:rPr>
      </w:pPr>
    </w:p>
    <w:p>
      <w:pPr>
        <w:ind w:left="1340" w:hanging="684"/>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Section 3(a) of the Employment Agreement is hereby deleted in its entirety and replaced with the following:</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33" w:lineRule="auto"/>
        <w:tabs>
          <w:tab w:leader="none" w:pos="1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Employer shall pay to the Executive an annual salary of not less than $720,000.00, plus a cost-of-living adjustment of $24,000.00 on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each year beginning with January 1, 2026 (the foregoing, with the cost-of-living adjustment each year, being the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payable in substantially equal installments at such intervals as may be determined by the Employer in accordance with the Employer’s then-current ordinary payroll practices as established from time to time, but not less frequently than monthly. The Base Salary shall be reviewed in good faith by the Compensation Committee of the Parent Board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or in the absence thereof, the Parent Board, based upon the Executive’s performance, not less often than annually, and may be increased, but not decreased, from time to time by the Parent Board.</w:t>
      </w:r>
    </w:p>
    <w:p>
      <w:pPr>
        <w:spacing w:after="0" w:line="198" w:lineRule="exact"/>
        <w:rPr>
          <w:rFonts w:ascii="Times New Roman" w:cs="Times New Roman" w:eastAsia="Times New Roman" w:hAnsi="Times New Roman"/>
          <w:sz w:val="18"/>
          <w:szCs w:val="18"/>
          <w:color w:val="auto"/>
        </w:rPr>
      </w:pPr>
    </w:p>
    <w:p>
      <w:pPr>
        <w:ind w:firstLine="656"/>
        <w:spacing w:after="0" w:line="282" w:lineRule="auto"/>
        <w:tabs>
          <w:tab w:leader="none" w:pos="13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Full Force and Effect</w:t>
      </w:r>
      <w:r>
        <w:rPr>
          <w:rFonts w:ascii="Times New Roman" w:cs="Times New Roman" w:eastAsia="Times New Roman" w:hAnsi="Times New Roman"/>
          <w:sz w:val="18"/>
          <w:szCs w:val="18"/>
          <w:color w:val="auto"/>
        </w:rPr>
        <w:t>. The effective date of this Amendment is January 1, 2025. Except as otherwise set forth in this Amendment, the Employment Agreement shall continue in full force and effect.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 and Counterparts</w:t>
      </w:r>
      <w:r>
        <w:rPr>
          <w:rFonts w:ascii="Times New Roman" w:cs="Times New Roman" w:eastAsia="Times New Roman" w:hAnsi="Times New Roman"/>
          <w:sz w:val="18"/>
          <w:szCs w:val="18"/>
          <w:color w:val="auto"/>
        </w:rPr>
        <w:t>. Except as otherwise provided herein, all terms and conditions of the Employment Agreement are fully incorporated herein. This Amendment may be executed simultaneously in two or more counterparts, each of which shall be deemed an original, and together constitute one instrument.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NEXT PAGE]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1" w:name="page62"/>
    <w:bookmarkEnd w:id="61"/>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this Amendment No. 2 to the Employment Agreement as of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herein.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tc>
        <w:tc>
          <w:tcPr>
            <w:tcW w:w="5180" w:type="dxa"/>
            <w:vAlign w:val="bottom"/>
            <w:gridSpan w:val="4"/>
          </w:tcPr>
          <w:p>
            <w:pPr>
              <w:ind w:left="3380"/>
              <w:spacing w:after="0"/>
              <w:rPr>
                <w:sz w:val="20"/>
                <w:szCs w:val="20"/>
                <w:color w:val="auto"/>
              </w:rPr>
            </w:pPr>
            <w:r>
              <w:rPr>
                <w:rFonts w:ascii="Times New Roman" w:cs="Times New Roman" w:eastAsia="Times New Roman" w:hAnsi="Times New Roman"/>
                <w:sz w:val="18"/>
                <w:szCs w:val="18"/>
                <w:b w:val="1"/>
                <w:bCs w:val="1"/>
                <w:color w:val="auto"/>
              </w:rPr>
              <w:t>CITY BANK, TEXAS</w:t>
            </w:r>
          </w:p>
        </w:tc>
        <w:tc>
          <w:tcPr>
            <w:tcW w:w="2120" w:type="dxa"/>
            <w:vAlign w:val="bottom"/>
          </w:tcPr>
          <w:p>
            <w:pPr>
              <w:spacing w:after="0"/>
              <w:rPr>
                <w:sz w:val="20"/>
                <w:szCs w:val="20"/>
                <w:color w:val="auto"/>
              </w:rPr>
            </w:pPr>
          </w:p>
        </w:tc>
      </w:tr>
      <w:tr>
        <w:trPr>
          <w:trHeight w:val="439"/>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Signature:</w:t>
            </w:r>
          </w:p>
        </w:tc>
        <w:tc>
          <w:tcPr>
            <w:tcW w:w="5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 Curtis Griffith</w:t>
            </w:r>
          </w:p>
        </w:tc>
        <w:tc>
          <w:tcPr>
            <w:tcW w:w="4500" w:type="dxa"/>
            <w:vAlign w:val="bottom"/>
            <w:gridSpan w:val="3"/>
          </w:tcPr>
          <w:p>
            <w:pPr>
              <w:ind w:left="3380"/>
              <w:spacing w:after="0"/>
              <w:rPr>
                <w:sz w:val="20"/>
                <w:szCs w:val="20"/>
                <w:color w:val="auto"/>
              </w:rPr>
            </w:pPr>
            <w:r>
              <w:rPr>
                <w:rFonts w:ascii="Times New Roman" w:cs="Times New Roman" w:eastAsia="Times New Roman" w:hAnsi="Times New Roman"/>
                <w:sz w:val="18"/>
                <w:szCs w:val="18"/>
                <w:color w:val="auto"/>
              </w:rPr>
              <w:t>Signature:</w:t>
            </w:r>
          </w:p>
        </w:tc>
        <w:tc>
          <w:tcPr>
            <w:tcW w:w="6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Curtis Griffith</w:t>
            </w:r>
          </w:p>
        </w:tc>
      </w:tr>
      <w:tr>
        <w:trPr>
          <w:trHeight w:val="439"/>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Chairman and CEO</w:t>
            </w:r>
          </w:p>
        </w:tc>
        <w:tc>
          <w:tcPr>
            <w:tcW w:w="370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Its:</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Chairman</w:t>
            </w:r>
          </w:p>
        </w:tc>
        <w:tc>
          <w:tcPr>
            <w:tcW w:w="2120" w:type="dxa"/>
            <w:vAlign w:val="bottom"/>
            <w:tcBorders>
              <w:bottom w:val="single" w:sz="8" w:color="auto"/>
            </w:tcBorders>
          </w:tcPr>
          <w:p>
            <w:pPr>
              <w:spacing w:after="0"/>
              <w:rPr>
                <w:sz w:val="24"/>
                <w:szCs w:val="24"/>
                <w:color w:val="auto"/>
              </w:rPr>
            </w:pPr>
          </w:p>
        </w:tc>
      </w:tr>
      <w:tr>
        <w:trPr>
          <w:trHeight w:val="439"/>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10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11-05-2024</w:t>
            </w:r>
          </w:p>
        </w:tc>
        <w:tc>
          <w:tcPr>
            <w:tcW w:w="2280" w:type="dxa"/>
            <w:vAlign w:val="bottom"/>
            <w:tcBorders>
              <w:bottom w:val="single" w:sz="8" w:color="auto"/>
            </w:tcBorders>
          </w:tcPr>
          <w:p>
            <w:pPr>
              <w:spacing w:after="0"/>
              <w:rPr>
                <w:sz w:val="24"/>
                <w:szCs w:val="24"/>
                <w:color w:val="auto"/>
              </w:rPr>
            </w:pPr>
          </w:p>
        </w:tc>
        <w:tc>
          <w:tcPr>
            <w:tcW w:w="39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Date:</w:t>
            </w:r>
          </w:p>
        </w:tc>
        <w:tc>
          <w:tcPr>
            <w:tcW w:w="12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11-05-2024</w:t>
            </w:r>
          </w:p>
        </w:tc>
        <w:tc>
          <w:tcPr>
            <w:tcW w:w="2120" w:type="dxa"/>
            <w:vAlign w:val="bottom"/>
            <w:tcBorders>
              <w:bottom w:val="single" w:sz="8" w:color="auto"/>
            </w:tcBorders>
          </w:tcPr>
          <w:p>
            <w:pPr>
              <w:spacing w:after="0"/>
              <w:rPr>
                <w:sz w:val="24"/>
                <w:szCs w:val="24"/>
                <w:color w:val="auto"/>
              </w:rPr>
            </w:pPr>
          </w:p>
        </w:tc>
      </w:tr>
      <w:tr>
        <w:trPr>
          <w:trHeight w:val="432"/>
        </w:trPr>
        <w:tc>
          <w:tcPr>
            <w:tcW w:w="16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2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53"/>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w:t>
            </w:r>
          </w:p>
        </w:tc>
        <w:tc>
          <w:tcPr>
            <w:tcW w:w="640" w:type="dxa"/>
            <w:vAlign w:val="bottom"/>
            <w:tcBorders>
              <w:bottom w:val="single" w:sz="8" w:color="auto"/>
            </w:tcBorders>
            <w:gridSpan w:val="2"/>
          </w:tcPr>
          <w:p>
            <w:pPr>
              <w:spacing w:after="0"/>
              <w:rPr>
                <w:sz w:val="24"/>
                <w:szCs w:val="24"/>
                <w:color w:val="auto"/>
              </w:rPr>
            </w:pPr>
          </w:p>
        </w:tc>
        <w:tc>
          <w:tcPr>
            <w:tcW w:w="2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Cory T. Newsom</w:t>
            </w: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5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Print Name:</w:t>
            </w:r>
          </w:p>
        </w:tc>
        <w:tc>
          <w:tcPr>
            <w:tcW w:w="5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Cory T. Newsom</w:t>
            </w:r>
          </w:p>
        </w:tc>
        <w:tc>
          <w:tcPr>
            <w:tcW w:w="3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r>
        <w:trPr>
          <w:trHeight w:val="453"/>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10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11-05-2024</w:t>
            </w:r>
          </w:p>
        </w:tc>
        <w:tc>
          <w:tcPr>
            <w:tcW w:w="2280" w:type="dxa"/>
            <w:vAlign w:val="bottom"/>
            <w:tcBorders>
              <w:bottom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98"/>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70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84"/>
        </w:trPr>
        <w:tc>
          <w:tcPr>
            <w:tcW w:w="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Curtis C. Griffith, certify that:</w:t>
      </w:r>
    </w:p>
    <w:p>
      <w:pPr>
        <w:spacing w:after="0" w:line="225" w:lineRule="exact"/>
        <w:rPr>
          <w:sz w:val="20"/>
          <w:szCs w:val="20"/>
          <w:color w:val="auto"/>
        </w:rPr>
      </w:pPr>
    </w:p>
    <w:p>
      <w:pPr>
        <w:ind w:left="340" w:right="2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 Plains Financial, Inc. (the “registrant”) for the quarter ended September 30, 2024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060" w:val="left"/>
          <w:tab w:leader="none" w:pos="768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B. Crockett, certify that:</w:t>
      </w:r>
    </w:p>
    <w:p>
      <w:pPr>
        <w:spacing w:after="0" w:line="225" w:lineRule="exact"/>
        <w:rPr>
          <w:sz w:val="20"/>
          <w:szCs w:val="20"/>
          <w:color w:val="auto"/>
        </w:rPr>
      </w:pPr>
    </w:p>
    <w:p>
      <w:pPr>
        <w:ind w:left="340" w:right="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 Plains Financial, Inc. (the “registrant”) for the quarter ended September 30, 2024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790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South Plains Financial, Inc. (the “Company”) for the quarter ended September 30, 2024 (the “Report”), as filed with the Securities and Exchange Commission on the date hereof, I certify, pursuant to 18 U.S.C. § 1350, as adopted pursuant to §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20" w:val="left"/>
          <w:tab w:leader="none" w:pos="796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South Plains Financial, Inc. (the “Company”) for the quarter ended September 30, 2024 (the “Report”), as filed with the Securities and Exchange Commission on the date hereof, I certify, pursuant to 18 U.S.C. § 1350, as adopted pursuant to §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20" w:val="left"/>
          <w:tab w:leader="none" w:pos="790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lvl w:ilvl="1">
      <w:lvlJc w:val="left"/>
      <w:lvlText w:val="(%2)"/>
      <w:numFmt w:val="lowerLetter"/>
      <w:start w:val="1"/>
    </w:lvl>
  </w:abstractNum>
  <w:abstractNum w:abstractNumId="15">
    <w:nsid w:val="431BD7B7"/>
    <w:multiLevelType w:val="hybridMultilevel"/>
    <w:lvl w:ilvl="0">
      <w:lvlJc w:val="left"/>
      <w:lvlText w:val="%1."/>
      <w:numFmt w:val="decimal"/>
      <w:start w:val="1"/>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61" Type="http://schemas.openxmlformats.org/officeDocument/2006/relationships/hyperlink" Target="https://www.sec.gov/Archives/edgar/data/1163668/000114036119007042/s002614x4_ex3-1.htm" TargetMode="External"/><Relationship Id="rId62" Type="http://schemas.openxmlformats.org/officeDocument/2006/relationships/hyperlink" Target="https://www.sec.gov/Archives/edgar/data/1163668/000114036121036078/brhc10030259_ex3-1.htm" TargetMode="External"/><Relationship Id="rId63" Type="http://schemas.openxmlformats.org/officeDocument/2006/relationships/hyperlink" Target="https://www.sec.gov/Archives/edgar/data/1163668/000114036124033157/ef20032298_ex99-1.htm" TargetMode="External"/><Relationship Id="rId64" Type="http://schemas.openxmlformats.org/officeDocument/2006/relationships/hyperlink" Target="https://www.sec.gov/Archives/edgar/data/1163668/000114036124033157/ef20032298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2024-11-06T15:53:51Z</dcterms:created>
  <dcterms:modified xsi:type="dcterms:W3CDTF">2024-11-06T15:53:51Z</dcterms:modified>
</cp:coreProperties>
</file>